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________to 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001-40721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FINWISE BANCORP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tbl>
      <w:tblPr>
        <w:tblW w:w="5053" w:type="dxa"/>
        <w:jc w:val="center"/>
        <w:tblInd w:w="0" w:type="dxa"/>
        <w:tblLayout w:type="fixed"/>
        <w:tblCellMar>
          <w:top w:w="28" w:type="dxa"/>
          <w:left w:w="28" w:type="dxa"/>
          <w:bottom w:w="28" w:type="dxa"/>
          <w:right w:w="28" w:type="dxa"/>
        </w:tblCellMar>
      </w:tblPr>
      <w:tblGrid>
        <w:gridCol w:w="1217"/>
        <w:gridCol w:w="1069"/>
        <w:gridCol w:w="1088"/>
        <w:gridCol w:w="490"/>
        <w:gridCol w:w="490"/>
        <w:gridCol w:w="69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Utah</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83-0356689</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756 East Winchester, Suite 100</w:t>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Murray, Utah</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84107</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(801) 501-7200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FINW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August 7, 2026, the registrant had 13,882,680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8729" w:type="dxa"/>
        <w:jc w:val="left"/>
        <w:tblInd w:w="0" w:type="dxa"/>
        <w:tblLayout w:type="fixed"/>
        <w:tblCellMar>
          <w:top w:w="28" w:type="dxa"/>
          <w:left w:w="28" w:type="dxa"/>
          <w:bottom w:w="28" w:type="dxa"/>
          <w:right w:w="28" w:type="dxa"/>
        </w:tblCellMar>
      </w:tblPr>
      <w:tblGrid>
        <w:gridCol w:w="299"/>
        <w:gridCol w:w="262"/>
        <w:gridCol w:w="263"/>
        <w:gridCol w:w="2453"/>
        <w:gridCol w:w="2453"/>
        <w:gridCol w:w="2458"/>
        <w:gridCol w:w="158"/>
        <w:gridCol w:w="158"/>
        <w:gridCol w:w="225"/>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0">
              <w:r>
                <w:rPr>
                  <w:rStyle w:val="InternetLink"/>
                  <w:rFonts w:ascii="Times New Roman;serif" w:hAnsi="Times New Roman;serif"/>
                  <w:b w:val="false"/>
                  <w:color w:val="0000FF"/>
                  <w:sz w:val="20"/>
                  <w:u w:val="single"/>
                </w:rPr>
                <w:t>Cautionary Note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0">
              <w:r>
                <w:rPr>
                  <w:rStyle w:val="InternetLink"/>
                  <w:rFonts w:ascii="Times New Roman;serif" w:hAnsi="Times New Roman;serif"/>
                  <w:b w:val="false"/>
                  <w:strike w:val="false"/>
                  <w:dstrike w:val="false"/>
                  <w:color w:val="000000"/>
                  <w:sz w:val="20"/>
                  <w:u w:val="none"/>
                  <w:effect w:val="none"/>
                </w:rPr>
                <w:t>3</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3">
              <w:r>
                <w:rPr>
                  <w:rStyle w:val="InternetLink"/>
                  <w:rFonts w:ascii="Times New Roman;serif" w:hAnsi="Times New Roman;serif"/>
                  <w:b w:val="false"/>
                  <w:strike w:val="false"/>
                  <w:dstrike w:val="false"/>
                  <w:color w:val="000000"/>
                  <w:sz w:val="20"/>
                  <w:u w:val="none"/>
                  <w:effect w:val="none"/>
                </w:rPr>
                <w:t>PART 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3">
              <w:r>
                <w:rPr>
                  <w:rStyle w:val="InternetLink"/>
                  <w:rFonts w:ascii="Times New Roman;serif" w:hAnsi="Times New Roman;serif"/>
                  <w:b w:val="false"/>
                  <w:color w:val="0000FF"/>
                  <w:sz w:val="20"/>
                  <w:u w:val="single"/>
                </w:rPr>
                <w:t>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3">
              <w:r>
                <w:rPr>
                  <w:rStyle w:val="InternetLink"/>
                  <w:rFonts w:ascii="Times New Roman;serif" w:hAnsi="Times New Roman;serif"/>
                  <w:b w:val="false"/>
                  <w:strike w:val="false"/>
                  <w:dstrike w:val="false"/>
                  <w:color w:val="000000"/>
                  <w:sz w:val="20"/>
                  <w:u w:val="none"/>
                  <w:effect w:val="none"/>
                </w:rPr>
                <w:t>5</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6">
              <w:r>
                <w:rPr>
                  <w:rStyle w:val="InternetLink"/>
                  <w:rFonts w:ascii="Times New Roman;serif" w:hAnsi="Times New Roman;serif"/>
                  <w:b w:val="false"/>
                  <w:color w:val="0000FF"/>
                  <w:sz w:val="20"/>
                  <w:u w:val="single"/>
                </w:rPr>
                <w:t>Financial Statements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6">
              <w:r>
                <w:rPr>
                  <w:rStyle w:val="InternetLink"/>
                  <w:rFonts w:ascii="Times New Roman;serif" w:hAnsi="Times New Roman;serif"/>
                  <w:b w:val="false"/>
                  <w:strike w:val="false"/>
                  <w:dstrike w:val="false"/>
                  <w:color w:val="000000"/>
                  <w:sz w:val="20"/>
                  <w:u w:val="none"/>
                  <w:effect w:val="none"/>
                </w:rPr>
                <w:t>5</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9">
              <w:r>
                <w:rPr>
                  <w:rStyle w:val="InternetLink"/>
                  <w:rFonts w:ascii="Times New Roman;serif" w:hAnsi="Times New Roman;serif"/>
                  <w:b w:val="false"/>
                  <w:color w:val="0000FF"/>
                  <w:sz w:val="20"/>
                  <w:u w:val="single"/>
                </w:rPr>
                <w:t>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9">
              <w:r>
                <w:rPr>
                  <w:rStyle w:val="InternetLink"/>
                  <w:rFonts w:ascii="Times New Roman;serif" w:hAnsi="Times New Roman;serif"/>
                  <w:b w:val="false"/>
                  <w:strike w:val="false"/>
                  <w:dstrike w:val="false"/>
                  <w:color w:val="000000"/>
                  <w:sz w:val="20"/>
                  <w:u w:val="none"/>
                  <w:effect w:val="none"/>
                </w:rPr>
                <w:t>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22">
              <w:r>
                <w:rPr>
                  <w:rStyle w:val="InternetLink"/>
                  <w:rFonts w:ascii="Times New Roman;serif" w:hAnsi="Times New Roman;serif"/>
                  <w:b w:val="false"/>
                  <w:color w:val="0000FF"/>
                  <w:sz w:val="20"/>
                  <w:u w:val="single"/>
                </w:rPr>
                <w:t>Consolidated Statements of Income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22">
              <w:r>
                <w:rPr>
                  <w:rStyle w:val="InternetLink"/>
                  <w:rFonts w:ascii="Times New Roman;serif" w:hAnsi="Times New Roman;serif"/>
                  <w:b w:val="false"/>
                  <w:strike w:val="false"/>
                  <w:dstrike w:val="false"/>
                  <w:color w:val="000000"/>
                  <w:sz w:val="20"/>
                  <w:u w:val="none"/>
                  <w:effect w:val="none"/>
                </w:rPr>
                <w:t>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25">
              <w:r>
                <w:rPr>
                  <w:rStyle w:val="InternetLink"/>
                  <w:rFonts w:ascii="Times New Roman;serif" w:hAnsi="Times New Roman;serif"/>
                  <w:b w:val="false"/>
                  <w:color w:val="0000FF"/>
                  <w:sz w:val="20"/>
                  <w:u w:val="single"/>
                </w:rPr>
                <w:t>Consolidated Statements of Comprehensive Income</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25">
              <w:r>
                <w:rPr>
                  <w:rStyle w:val="InternetLink"/>
                  <w:rFonts w:ascii="Times New Roman;serif" w:hAnsi="Times New Roman;serif"/>
                  <w:b w:val="false"/>
                  <w:strike w:val="false"/>
                  <w:dstrike w:val="false"/>
                  <w:color w:val="000000"/>
                  <w:sz w:val="20"/>
                  <w:u w:val="none"/>
                  <w:effect w:val="none"/>
                </w:rPr>
                <w:t>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28">
              <w:r>
                <w:rPr>
                  <w:rStyle w:val="InternetLink"/>
                  <w:rFonts w:ascii="Times New Roman;serif" w:hAnsi="Times New Roman;serif"/>
                  <w:b w:val="false"/>
                  <w:color w:val="0000FF"/>
                  <w:sz w:val="20"/>
                  <w:u w:val="single"/>
                </w:rPr>
                <w:t>Consolidated Statement of Changes in Shareholders’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28">
              <w:r>
                <w:rPr>
                  <w:rStyle w:val="InternetLink"/>
                  <w:rFonts w:ascii="Times New Roman;serif" w:hAnsi="Times New Roman;serif"/>
                  <w:b w:val="false"/>
                  <w:strike w:val="false"/>
                  <w:dstrike w:val="false"/>
                  <w:color w:val="000000"/>
                  <w:sz w:val="20"/>
                  <w:u w:val="none"/>
                  <w:effect w:val="none"/>
                </w:rPr>
                <w:t>9</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34">
              <w:r>
                <w:rPr>
                  <w:rStyle w:val="InternetLink"/>
                  <w:rFonts w:ascii="Times New Roman;serif" w:hAnsi="Times New Roman;serif"/>
                  <w:b w:val="false"/>
                  <w:color w:val="0000FF"/>
                  <w:sz w:val="20"/>
                  <w:u w:val="single"/>
                </w:rPr>
                <w:t>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34">
              <w:r>
                <w:rPr>
                  <w:rStyle w:val="InternetLink"/>
                  <w:rFonts w:ascii="Times New Roman;serif" w:hAnsi="Times New Roman;serif"/>
                  <w:b w:val="false"/>
                  <w:strike w:val="false"/>
                  <w:dstrike w:val="false"/>
                  <w:color w:val="000000"/>
                  <w:sz w:val="20"/>
                  <w:u w:val="none"/>
                  <w:effect w:val="none"/>
                </w:rPr>
                <w:t>11</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37">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37">
              <w:r>
                <w:rPr>
                  <w:rStyle w:val="InternetLink"/>
                  <w:rFonts w:ascii="Times New Roman;serif" w:hAnsi="Times New Roman;serif"/>
                  <w:b w:val="false"/>
                  <w:strike w:val="false"/>
                  <w:dstrike w:val="false"/>
                  <w:color w:val="000000"/>
                  <w:sz w:val="20"/>
                  <w:u w:val="none"/>
                  <w:effect w:val="none"/>
                </w:rPr>
                <w:t>12</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00">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00">
              <w:r>
                <w:rPr>
                  <w:rStyle w:val="InternetLink"/>
                  <w:rFonts w:ascii="Times New Roman;serif" w:hAnsi="Times New Roman;serif"/>
                  <w:b w:val="false"/>
                  <w:strike w:val="false"/>
                  <w:dstrike w:val="false"/>
                  <w:color w:val="000000"/>
                  <w:sz w:val="20"/>
                  <w:u w:val="none"/>
                  <w:effect w:val="none"/>
                </w:rPr>
                <w:t>45</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45">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45">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45">
              <w:r>
                <w:rPr>
                  <w:rStyle w:val="InternetLink"/>
                  <w:rFonts w:ascii="Times New Roman;serif" w:hAnsi="Times New Roman;serif"/>
                  <w:b w:val="false"/>
                  <w:strike w:val="false"/>
                  <w:dstrike w:val="false"/>
                  <w:color w:val="000000"/>
                  <w:sz w:val="20"/>
                  <w:u w:val="none"/>
                  <w:effect w:val="none"/>
                </w:rPr>
                <w:t>73</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48">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48">
              <w:r>
                <w:rPr>
                  <w:rStyle w:val="InternetLink"/>
                  <w:rFonts w:ascii="Times New Roman;serif" w:hAnsi="Times New Roman;serif"/>
                  <w:b w:val="false"/>
                  <w:color w:val="0000FF"/>
                  <w:sz w:val="20"/>
                  <w:u w:val="single"/>
                </w:rPr>
                <w:t>Controls and Procedures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48">
              <w:r>
                <w:rPr>
                  <w:rStyle w:val="InternetLink"/>
                  <w:rFonts w:ascii="Times New Roman;serif" w:hAnsi="Times New Roman;serif"/>
                  <w:b w:val="false"/>
                  <w:strike w:val="false"/>
                  <w:dstrike w:val="false"/>
                  <w:color w:val="000000"/>
                  <w:sz w:val="20"/>
                  <w:u w:val="none"/>
                  <w:effect w:val="none"/>
                </w:rPr>
                <w:t>75</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51">
              <w:r>
                <w:rPr>
                  <w:rStyle w:val="InternetLink"/>
                  <w:rFonts w:ascii="Times New Roman;serif" w:hAnsi="Times New Roman;serif"/>
                  <w:b w:val="false"/>
                  <w:strike w:val="false"/>
                  <w:dstrike w:val="false"/>
                  <w:color w:val="000000"/>
                  <w:sz w:val="20"/>
                  <w:u w:val="none"/>
                  <w:effect w:val="none"/>
                </w:rPr>
                <w:t>PART II.</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51">
              <w:r>
                <w:rPr>
                  <w:rStyle w:val="InternetLink"/>
                  <w:rFonts w:ascii="Times New Roman;serif" w:hAnsi="Times New Roman;serif"/>
                  <w:b w:val="false"/>
                  <w:color w:val="0000FF"/>
                  <w:sz w:val="20"/>
                  <w:u w:val="single"/>
                </w:rPr>
                <w:t>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69">
              <w:r>
                <w:rPr>
                  <w:rStyle w:val="InternetLink"/>
                  <w:rFonts w:ascii="Times New Roman;serif" w:hAnsi="Times New Roman;serif"/>
                  <w:b w:val="false"/>
                  <w:strike w:val="false"/>
                  <w:dstrike w:val="false"/>
                  <w:color w:val="000000"/>
                  <w:sz w:val="20"/>
                  <w:u w:val="none"/>
                  <w:effect w:val="none"/>
                </w:rPr>
                <w:t>77</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54">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54">
              <w:r>
                <w:rPr>
                  <w:rStyle w:val="InternetLink"/>
                  <w:rFonts w:ascii="Times New Roman;serif" w:hAnsi="Times New Roman;serif"/>
                  <w:b w:val="false"/>
                  <w:color w:val="0000FF"/>
                  <w:sz w:val="20"/>
                  <w:u w:val="single"/>
                </w:rPr>
                <w:t>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54">
              <w:r>
                <w:rPr>
                  <w:rStyle w:val="InternetLink"/>
                  <w:rFonts w:ascii="Times New Roman;serif" w:hAnsi="Times New Roman;serif"/>
                  <w:b w:val="false"/>
                  <w:strike w:val="false"/>
                  <w:dstrike w:val="false"/>
                  <w:color w:val="000000"/>
                  <w:sz w:val="20"/>
                  <w:u w:val="none"/>
                  <w:effect w:val="none"/>
                </w:rPr>
                <w:t>76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57">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57">
              <w:r>
                <w:rPr>
                  <w:rStyle w:val="InternetLink"/>
                  <w:rFonts w:ascii="Times New Roman;serif" w:hAnsi="Times New Roman;serif"/>
                  <w:b w:val="false"/>
                  <w:color w:val="0000FF"/>
                  <w:sz w:val="20"/>
                  <w:u w:val="singl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57">
              <w:r>
                <w:rPr>
                  <w:rStyle w:val="InternetLink"/>
                  <w:rFonts w:ascii="Times New Roman;serif" w:hAnsi="Times New Roman;serif"/>
                  <w:b w:val="false"/>
                  <w:strike w:val="false"/>
                  <w:dstrike w:val="false"/>
                  <w:color w:val="000000"/>
                  <w:sz w:val="20"/>
                  <w:u w:val="none"/>
                  <w:effect w:val="none"/>
                </w:rPr>
                <w:t>76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60">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60">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60">
              <w:r>
                <w:rPr>
                  <w:rStyle w:val="InternetLink"/>
                  <w:rFonts w:ascii="Times New Roman;serif" w:hAnsi="Times New Roman;serif"/>
                  <w:b w:val="false"/>
                  <w:strike w:val="false"/>
                  <w:dstrike w:val="false"/>
                  <w:color w:val="000000"/>
                  <w:sz w:val="20"/>
                  <w:u w:val="none"/>
                  <w:effect w:val="none"/>
                </w:rPr>
                <w:t>76</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63">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63">
              <w:r>
                <w:rPr>
                  <w:rStyle w:val="InternetLink"/>
                  <w:rFonts w:ascii="Times New Roman;serif" w:hAnsi="Times New Roman;serif"/>
                  <w:b w:val="false"/>
                  <w:color w:val="0000FF"/>
                  <w:sz w:val="20"/>
                  <w:u w:val="single"/>
                </w:rPr>
                <w:t>Defaults Upon Senior Securities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63">
              <w:r>
                <w:rPr>
                  <w:rStyle w:val="InternetLink"/>
                  <w:rFonts w:ascii="Times New Roman;serif" w:hAnsi="Times New Roman;serif"/>
                  <w:b w:val="false"/>
                  <w:strike w:val="false"/>
                  <w:dstrike w:val="false"/>
                  <w:color w:val="000000"/>
                  <w:sz w:val="20"/>
                  <w:u w:val="none"/>
                  <w:effect w:val="none"/>
                </w:rPr>
                <w:t>76</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66">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66">
              <w:r>
                <w:rPr>
                  <w:rStyle w:val="InternetLink"/>
                  <w:rFonts w:ascii="Times New Roman;serif" w:hAnsi="Times New Roman;serif"/>
                  <w:b w:val="false"/>
                  <w:color w:val="0000FF"/>
                  <w:sz w:val="20"/>
                  <w:u w:val="single"/>
                </w:rPr>
                <w:t>Mine Safety Disclosures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66">
              <w:r>
                <w:rPr>
                  <w:rStyle w:val="InternetLink"/>
                  <w:rFonts w:ascii="Times New Roman;serif" w:hAnsi="Times New Roman;serif"/>
                  <w:b w:val="false"/>
                  <w:strike w:val="false"/>
                  <w:dstrike w:val="false"/>
                  <w:color w:val="000000"/>
                  <w:sz w:val="20"/>
                  <w:u w:val="none"/>
                  <w:effect w:val="none"/>
                </w:rPr>
                <w:t>77</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69">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69">
              <w:r>
                <w:rPr>
                  <w:rStyle w:val="InternetLink"/>
                  <w:rFonts w:ascii="Times New Roman;serif" w:hAnsi="Times New Roman;serif"/>
                  <w:b w:val="false"/>
                  <w:color w:val="0000FF"/>
                  <w:sz w:val="20"/>
                  <w:u w:val="singl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69">
              <w:r>
                <w:rPr>
                  <w:rStyle w:val="InternetLink"/>
                  <w:rFonts w:ascii="Times New Roman;serif" w:hAnsi="Times New Roman;serif"/>
                  <w:b w:val="false"/>
                  <w:strike w:val="false"/>
                  <w:dstrike w:val="false"/>
                  <w:color w:val="000000"/>
                  <w:sz w:val="20"/>
                  <w:u w:val="none"/>
                  <w:effect w:val="none"/>
                </w:rPr>
                <w:t>77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72">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72">
              <w:r>
                <w:rPr>
                  <w:rStyle w:val="InternetLink"/>
                  <w:rFonts w:ascii="Times New Roman;serif" w:hAnsi="Times New Roman;serif"/>
                  <w:b w:val="false"/>
                  <w:color w:val="0000FF"/>
                  <w:sz w:val="20"/>
                  <w:u w:val="single"/>
                </w:rPr>
                <w:t>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72">
              <w:r>
                <w:rPr>
                  <w:rStyle w:val="InternetLink"/>
                  <w:rFonts w:ascii="Times New Roman;serif" w:hAnsi="Times New Roman;serif"/>
                  <w:b w:val="false"/>
                  <w:strike w:val="false"/>
                  <w:dstrike w:val="false"/>
                  <w:color w:val="000000"/>
                  <w:sz w:val="20"/>
                  <w:u w:val="none"/>
                  <w:effect w:val="none"/>
                </w:rPr>
                <w:t>77</w:t>
              </w:r>
            </w:hyperlink>
          </w:p>
        </w:tc>
      </w:tr>
      <w:tr>
        <w:trPr/>
        <w:tc>
          <w:tcPr>
            <w:tcW w:w="8188"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3bcfab094de42b396d92eaf194247c9_175">
              <w:r>
                <w:rPr>
                  <w:rStyle w:val="InternetLink"/>
                  <w:rFonts w:ascii="Times New Roman;serif" w:hAnsi="Times New Roman;serif"/>
                  <w:b w:val="false"/>
                  <w:color w:val="0000FF"/>
                  <w:sz w:val="20"/>
                  <w:u w:val="singl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3bcfab094de42b396d92eaf194247c9_175">
              <w:r>
                <w:rPr>
                  <w:rStyle w:val="InternetLink"/>
                  <w:rFonts w:ascii="Times New Roman;serif" w:hAnsi="Times New Roman;serif"/>
                  <w:b w:val="false"/>
                  <w:strike w:val="false"/>
                  <w:dstrike w:val="false"/>
                  <w:color w:val="000000"/>
                  <w:sz w:val="20"/>
                  <w:u w:val="none"/>
                  <w:effect w:val="none"/>
                </w:rPr>
                <w:t>78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this Quarterly Report on Form 10-Q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 LLC.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made pursuant to the safe harbor provisions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factors, among others, could cause our financial performance to differ materially from that expressed in such forward-looking statements, including, but not limited to, the following:</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success of the financial technology and banking-as-a-service (“BaaS”) industries, as well as the continued evolution of the regulation of these industries;</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ability of our Fintech Banking and Payment Solutions service providers to comply with regulatory regimes, and our ability to adequately oversee and monitor our Fintech Banking and Payment Solutions service providers;</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changes in the laws, rules, regulations, interpretations or policies relating to financial institutions, accounting, tax, trade, tariffs, monetary and fiscal matters, including the application of interest rate caps or maximums;</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our ability to keep pace with rapid technological changes in the industry or implement new technology effectively including development of applications utilizing artificial intelligence;</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system failure or cybersecurity breaches of our network security and potential exposure to fraud, negligence, computer theft and cyber-crime and other disruptions in our computer systems relating to our development and use of new technology platforms;</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 xml:space="preserve">our ability to maintain and grow relationships with and reliance on our service providers for core systems support, informational website hosting, internet services, online account opening and other processing services; </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increased national or regional competition in the banking and financial services industry including fintech companies acquiring banks or applying for bank charters;</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the adequacy of our risk management framework and our ability to measure and manage our credit risk effectively;</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the adequacy of our allowance for credit losses (“ACL”);</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changes in Small Business Administration (“SBA”) rules, regulations and loan products, including specifically the Section 7(a) program, or changes to the status of the Bank as an SBA Preferred Lender;</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changes in the existing regulatory framework for brokered deposits;</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performance of our loan portfolio including, the value of collateral securing our loans, our levels of nonperforming assets losses from loan defaults;</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sufficiency of the cash flows from the credit enhanced loan portfolios to absorb credit losses;</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our ability to protect our intellectual property and the ability to defend claims and litigation of infringement initiated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our ability to implement our growth strategy and to continue to launch new products and services successfully;</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anticipated benefits of any new lines of business that we may enter or investments or acquisitions we may make are not realized within the expected time frame or at all, including any negative impact on performance as a result of the recent acquisition of Tallied Technologies, Inc.;</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the concentration of our lending and depositor relationships through Strategic Programs (our nationwide strategic relationship programs) in the financial technology industry generally and our ability to develop a strong core deposit base or other low-cost funding sources;</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manage interest rate, volatility and liquidity risks and the sufficiency of our capital;</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the effectiveness of our internal control over financial reporting and our ability to remediate any significant deficiencies or material weakness that may occur in the future in our internal control over financial reporting;</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dependence on our management team and changes in management composition;</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compliance with laws and regulations, supervisory actions, the Dodd-Frank Act, capital requirements, the Bank Secrecy Act, and other anti-money laundering laws, predatory lending laws, and other statutes and regulations;</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changes in legislative, regulatory or tax priorities;</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our involvement from time to time in legal or regulatory proceedings, including any class action lawsuits;</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 xml:space="preserve">natural disasters and adverse weather, acts of terrorism, pandemics, an outbreak of hostilities or other international or domestic calamities, </w:t>
      </w:r>
      <w:r>
        <w:rPr>
          <w:rFonts w:ascii="Times New Roman;serif" w:hAnsi="Times New Roman;serif"/>
          <w:b w:val="false"/>
          <w:color w:val="000000"/>
          <w:sz w:val="20"/>
        </w:rPr>
        <w:t>including the ongoing conflicts in Iran and Middle East that can increase levels of political and economic unpredictability, contribute to rising energy and commodity prices, and increase the volatility of financial markets,</w:t>
      </w:r>
      <w:r>
        <w:rPr>
          <w:color w:val="000000"/>
          <w:shd w:fill="FFFFFF" w:val="clear"/>
        </w:rPr>
        <w:t xml:space="preserve"> </w:t>
      </w:r>
      <w:r>
        <w:rPr>
          <w:rFonts w:ascii="Times New Roman;serif" w:hAnsi="Times New Roman;serif"/>
          <w:b w:val="false"/>
          <w:color w:val="000000"/>
          <w:sz w:val="20"/>
          <w:shd w:fill="FFFFFF" w:val="clear"/>
        </w:rPr>
        <w:t>and other matters beyond our control;</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 xml:space="preserve">the availability of future equity and debt issuances and other capital raising opportunities on favorable terms; </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negative ratings outlooks or downgrades of our credit rating or securities or the U.S.’s long-term credit rating;</w:t>
      </w:r>
    </w:p>
    <w:p>
      <w:pPr>
        <w:pStyle w:val="TextBody"/>
        <w:bidi w:val="0"/>
        <w:spacing w:lineRule="auto" w:line="276"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federal government shutdowns and other political impasses, including with respect to the U.S. debt ceiling and federal budget and any reductions in staffing at U.S. governmental agencies; and</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shd w:fill="FFFFFF" w:val="clear"/>
        </w:rPr>
        <w:t xml:space="preserve">other factors listed from time to time in our filings with the Securities and Exchange Commission (the “SEC”), including </w:t>
      </w:r>
      <w:r>
        <w:rPr>
          <w:rFonts w:ascii="Times New Roman;serif" w:hAnsi="Times New Roman;serif"/>
          <w:b w:val="false"/>
          <w:color w:val="000000"/>
          <w:sz w:val="20"/>
        </w:rPr>
        <w:t>in our Annual Report on Form 10-K for the year ended December 31, 2025 (the “2025 Form 10-K”).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statements are based on information available to the Company as of the filing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Balance Sheets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and par value amounts)</w:t>
      </w:r>
    </w:p>
    <w:tbl>
      <w:tblPr>
        <w:tblW w:w="10205" w:type="dxa"/>
        <w:jc w:val="center"/>
        <w:tblInd w:w="0" w:type="dxa"/>
        <w:tblLayout w:type="fixed"/>
        <w:tblCellMar>
          <w:top w:w="28" w:type="dxa"/>
          <w:left w:w="28" w:type="dxa"/>
          <w:bottom w:w="28" w:type="dxa"/>
          <w:right w:w="28" w:type="dxa"/>
        </w:tblCellMar>
      </w:tblPr>
      <w:tblGrid>
        <w:gridCol w:w="3020"/>
        <w:gridCol w:w="2320"/>
        <w:gridCol w:w="2335"/>
        <w:gridCol w:w="196"/>
        <w:gridCol w:w="751"/>
        <w:gridCol w:w="109"/>
        <w:gridCol w:w="109"/>
        <w:gridCol w:w="109"/>
        <w:gridCol w:w="109"/>
        <w:gridCol w:w="203"/>
        <w:gridCol w:w="780"/>
        <w:gridCol w:w="164"/>
      </w:tblGrid>
      <w:tr>
        <w:trPr/>
        <w:tc>
          <w:tcPr>
            <w:tcW w:w="302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Interest-bearing deposits in other banks (restricted cash of $4.0 million and $4.1 million,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163,400 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 securities available-for-sale, at fair value, net of allowance for credit losses of $0, (amortized cost of $27.5 million and $27.5 million,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8"/>
              </w:rPr>
              <w:t>Investment securities held-to-maturity, net of allowance for credit losses of $0, (fair value of $7.9 million and $9.0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Program loans held-for-sale, at lower of cost or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8"/>
              </w:rPr>
              <w:t>Loans held-for-investment, net of allowance for credit losses of $47.4 million and $36.8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541,551 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enhancement asset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Assets subject to operating leases, net of accumulated depreciation of $5.7 million and $4.7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925,311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977,135</w:t>
            </w: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586,119 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754,561 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726,120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783,940</w:t>
            </w: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6)</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8"/>
              </w:rPr>
              <w:t>Preferred stock, $0.001 par value, 4,000,000 authorized; no shares issued and outstanding as of June 30, 2026 and December 31, 2025</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8"/>
              </w:rPr>
              <w:t>Common stock, $0.001 par value, 40,000,000 shares authorized; 13,687,680 and 13,655,961 shares issued and outstanding as of June 30, 2026 and December 31, 2025,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132,197 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199,191 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193,195 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925,311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977,135</w:t>
            </w:r>
            <w:r>
              <w:rPr>
                <w:color w:val="000000"/>
              </w:rPr>
              <w:t>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Income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and per share amounts)</w:t>
      </w:r>
    </w:p>
    <w:tbl>
      <w:tblPr>
        <w:tblW w:w="8564" w:type="dxa"/>
        <w:jc w:val="center"/>
        <w:tblInd w:w="0" w:type="dxa"/>
        <w:tblLayout w:type="fixed"/>
        <w:tblCellMar>
          <w:top w:w="28" w:type="dxa"/>
          <w:left w:w="28" w:type="dxa"/>
          <w:bottom w:w="28" w:type="dxa"/>
          <w:right w:w="28" w:type="dxa"/>
        </w:tblCellMar>
      </w:tblPr>
      <w:tblGrid>
        <w:gridCol w:w="1353"/>
        <w:gridCol w:w="1185"/>
        <w:gridCol w:w="119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Program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SBA loan servicing fees,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investment in BFG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Interchange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enhancement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miscellaneous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and equipment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enhancement servicing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enhancement guarantee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7,286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basic</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basic</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13,112,580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12,781,508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13,066,232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12,749,012</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diluted</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13,673,167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13,472,394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13,658,483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13,486,153</w:t>
            </w:r>
          </w:p>
        </w:tc>
      </w:tr>
    </w:tbl>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Comprehensive Income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91"/>
        <w:gridCol w:w="1609"/>
        <w:gridCol w:w="1627"/>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402"/>
      </w:tblGrid>
      <w:tr>
        <w:trPr/>
        <w:tc>
          <w:tcPr>
            <w:tcW w:w="189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7,286</w:t>
            </w:r>
            <w:r>
              <w:rPr>
                <w:color w:val="000000"/>
              </w:rPr>
              <w:t>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items: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securities available-for-sale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interest rate swaps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4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previously unrealized (gain) loss on interest rate swaps in 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4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2,102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4,080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4,855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7,101</w:t>
            </w:r>
            <w:r>
              <w:rPr>
                <w:color w:val="000000"/>
              </w:rPr>
              <w:t> </w:t>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Changes in Shareholders’ Equity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Three Months Ended June 30, 2026</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62"/>
        <w:gridCol w:w="320"/>
        <w:gridCol w:w="322"/>
        <w:gridCol w:w="344"/>
        <w:gridCol w:w="344"/>
        <w:gridCol w:w="348"/>
        <w:gridCol w:w="109"/>
        <w:gridCol w:w="109"/>
        <w:gridCol w:w="109"/>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513"/>
        <w:gridCol w:w="914"/>
        <w:gridCol w:w="266"/>
        <w:gridCol w:w="109"/>
        <w:gridCol w:w="109"/>
        <w:gridCol w:w="109"/>
        <w:gridCol w:w="233"/>
        <w:gridCol w:w="931"/>
        <w:gridCol w:w="175"/>
      </w:tblGrid>
      <w:tr>
        <w:trPr/>
        <w:tc>
          <w:tcPr>
            <w:tcW w:w="86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Equity</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13,706,693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61,702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134,847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w:t>
            </w:r>
            <w:r>
              <w:rPr>
                <w:color w:val="000000"/>
              </w:rPr>
              <w:t>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196,607</w:t>
            </w: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for tax withholding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13,687,680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62,359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136,804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199,191</w:t>
            </w: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Three Months Ended June 30, 2025</w:t>
      </w:r>
    </w:p>
    <w:tbl>
      <w:tblPr>
        <w:tblW w:w="10205" w:type="dxa"/>
        <w:jc w:val="left"/>
        <w:tblInd w:w="0" w:type="dxa"/>
        <w:tblLayout w:type="fixed"/>
        <w:tblCellMar>
          <w:top w:w="28" w:type="dxa"/>
          <w:left w:w="28" w:type="dxa"/>
          <w:bottom w:w="28" w:type="dxa"/>
          <w:right w:w="28" w:type="dxa"/>
        </w:tblCellMar>
      </w:tblPr>
      <w:tblGrid>
        <w:gridCol w:w="861"/>
        <w:gridCol w:w="320"/>
        <w:gridCol w:w="321"/>
        <w:gridCol w:w="344"/>
        <w:gridCol w:w="344"/>
        <w:gridCol w:w="348"/>
        <w:gridCol w:w="109"/>
        <w:gridCol w:w="109"/>
        <w:gridCol w:w="109"/>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513"/>
        <w:gridCol w:w="915"/>
        <w:gridCol w:w="266"/>
        <w:gridCol w:w="109"/>
        <w:gridCol w:w="109"/>
        <w:gridCol w:w="109"/>
        <w:gridCol w:w="233"/>
        <w:gridCol w:w="931"/>
        <w:gridCol w:w="176"/>
      </w:tblGrid>
      <w:tr>
        <w:trPr/>
        <w:tc>
          <w:tcPr>
            <w:tcW w:w="8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Equity</w:t>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13,216,903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57,548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119,781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w:t>
            </w:r>
            <w:r>
              <w:rPr>
                <w:color w:val="000000"/>
              </w:rPr>
              <w:t>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177,361</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for tax withholding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13,469,725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58,135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123,809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181,959</w:t>
            </w:r>
            <w:r>
              <w:rPr>
                <w:color w:val="000000"/>
              </w:rPr>
              <w:t>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Consolidated Statements of Changes in Shareholders’ Equity (Continued)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Six Months Ended</w:t>
      </w:r>
      <w:r>
        <w:rPr>
          <w:color w:val="000000"/>
          <w:shd w:fill="FFFFFF" w:val="clear"/>
        </w:rPr>
        <w:t xml:space="preserve"> </w:t>
      </w:r>
      <w:r>
        <w:rPr>
          <w:rFonts w:ascii="Times New Roman;serif" w:hAnsi="Times New Roman;serif"/>
          <w:b/>
          <w:color w:val="000000"/>
          <w:sz w:val="20"/>
        </w:rPr>
        <w:t>June 30, 2026</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4"/>
        <w:gridCol w:w="369"/>
        <w:gridCol w:w="371"/>
        <w:gridCol w:w="344"/>
        <w:gridCol w:w="344"/>
        <w:gridCol w:w="348"/>
        <w:gridCol w:w="109"/>
        <w:gridCol w:w="109"/>
        <w:gridCol w:w="109"/>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513"/>
        <w:gridCol w:w="914"/>
        <w:gridCol w:w="266"/>
        <w:gridCol w:w="109"/>
        <w:gridCol w:w="109"/>
        <w:gridCol w:w="109"/>
        <w:gridCol w:w="233"/>
        <w:gridCol w:w="931"/>
        <w:gridCol w:w="175"/>
      </w:tblGrid>
      <w:tr>
        <w:trPr/>
        <w:tc>
          <w:tcPr>
            <w:tcW w:w="7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 xml:space="preserve">Equity </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13,655,961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60,958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132,197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w:t>
            </w:r>
            <w:r>
              <w:rPr>
                <w:color w:val="000000"/>
              </w:rPr>
              <w:t>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193,195</w:t>
            </w: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for tax withholding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13,687,680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62,359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136,804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w:t>
            </w:r>
            <w:r>
              <w:rPr>
                <w:color w:val="000000"/>
              </w:rPr>
              <w:t>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199,191</w:t>
            </w: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Six Months Ended June 30, 2025</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4"/>
        <w:gridCol w:w="369"/>
        <w:gridCol w:w="370"/>
        <w:gridCol w:w="344"/>
        <w:gridCol w:w="344"/>
        <w:gridCol w:w="348"/>
        <w:gridCol w:w="109"/>
        <w:gridCol w:w="109"/>
        <w:gridCol w:w="109"/>
        <w:gridCol w:w="236"/>
        <w:gridCol w:w="421"/>
        <w:gridCol w:w="124"/>
        <w:gridCol w:w="109"/>
        <w:gridCol w:w="109"/>
        <w:gridCol w:w="109"/>
        <w:gridCol w:w="211"/>
        <w:gridCol w:w="736"/>
        <w:gridCol w:w="109"/>
        <w:gridCol w:w="109"/>
        <w:gridCol w:w="109"/>
        <w:gridCol w:w="109"/>
        <w:gridCol w:w="211"/>
        <w:gridCol w:w="841"/>
        <w:gridCol w:w="109"/>
        <w:gridCol w:w="109"/>
        <w:gridCol w:w="109"/>
        <w:gridCol w:w="109"/>
        <w:gridCol w:w="445"/>
        <w:gridCol w:w="1017"/>
        <w:gridCol w:w="231"/>
        <w:gridCol w:w="109"/>
        <w:gridCol w:w="109"/>
        <w:gridCol w:w="109"/>
        <w:gridCol w:w="233"/>
        <w:gridCol w:w="931"/>
        <w:gridCol w:w="176"/>
      </w:tblGrid>
      <w:tr>
        <w:trPr/>
        <w:tc>
          <w:tcPr>
            <w:tcW w:w="7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Shareholders’</w:t>
              <w:br/>
              <w:t>Equity</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13,211,640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56,926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116,594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w:t>
            </w:r>
            <w:r>
              <w:rPr>
                <w:color w:val="000000"/>
              </w:rPr>
              <w:t>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173,720</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 net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for tax withholding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13,469,725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58,135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123,809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181,959</w:t>
            </w:r>
            <w:r>
              <w:rPr>
                <w:color w:val="000000"/>
              </w:rPr>
              <w:t>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 (Unaudited)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w:t>
      </w:r>
    </w:p>
    <w:tbl>
      <w:tblPr>
        <w:tblW w:w="8389" w:type="dxa"/>
        <w:jc w:val="center"/>
        <w:tblInd w:w="0" w:type="dxa"/>
        <w:tblLayout w:type="fixed"/>
        <w:tblCellMar>
          <w:top w:w="28" w:type="dxa"/>
          <w:left w:w="28" w:type="dxa"/>
          <w:bottom w:w="28" w:type="dxa"/>
          <w:right w:w="28" w:type="dxa"/>
        </w:tblCellMar>
      </w:tblPr>
      <w:tblGrid>
        <w:gridCol w:w="2141"/>
        <w:gridCol w:w="1877"/>
        <w:gridCol w:w="1891"/>
        <w:gridCol w:w="219"/>
        <w:gridCol w:w="726"/>
        <w:gridCol w:w="109"/>
        <w:gridCol w:w="109"/>
        <w:gridCol w:w="109"/>
        <w:gridCol w:w="109"/>
        <w:gridCol w:w="219"/>
        <w:gridCol w:w="726"/>
        <w:gridCol w:w="154"/>
      </w:tblGrid>
      <w:tr>
        <w:trPr/>
        <w:tc>
          <w:tcPr>
            <w:tcW w:w="2141"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income to net cash used in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(accretion) amortization of securities (discounts) and premiums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Originations of Strategic Program loans held-for-sale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(3,048,151)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(2,575,192)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Strategic Program loans held-for-sale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2,519,908 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BFG</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SBA servicing asset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change in credit enhancement asset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changes in:</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(39,954)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loans receivable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lease pools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bank premises and equipment,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assets subject to operating leases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loans and leases held-for-investment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assets subject to operating leases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paydowns of securities held-to-maturity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FHLB stock</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(69,107)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deposits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taxes related to net share settlement of equity awards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 and restricted cash</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the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the period</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FinWise Bancorp</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w:t>
      </w:r>
    </w:p>
    <w:p>
      <w:pPr>
        <w:pStyle w:val="TextBody"/>
        <w:bidi w:val="0"/>
        <w:spacing w:lineRule="auto" w:line="288" w:before="200" w:after="283"/>
        <w:jc w:val="left"/>
        <w:rPr/>
      </w:pPr>
      <w:r>
        <w:rPr>
          <w:rFonts w:ascii="Times New Roman;serif" w:hAnsi="Times New Roman;serif"/>
          <w:b/>
          <w:color w:val="000000"/>
          <w:sz w:val="20"/>
        </w:rPr>
        <w:t xml:space="preserve">Nature of Business and Organization – </w:t>
      </w:r>
      <w:r>
        <w:rPr>
          <w:rFonts w:ascii="Times New Roman;serif" w:hAnsi="Times New Roman;serif"/>
          <w:b w:val="false"/>
          <w:color w:val="000000"/>
          <w:sz w:val="20"/>
        </w:rPr>
        <w:t>FinWise Bancorp is a Utah bank holding company headquartered in Murray, Utah and operates all business activities through its wholly-owned subsidiaries, FinWise Bank (“Bank”) and FinWise Investment, LLC. The Bank provides a full range of banking services to individual and commercial customers and provides banking and payments solutions to fintech brands. As a technology-focused bank, the Bank also has established Strategic Programs with various third-party platforms that use technology to streamline the origination of consumer and business loans and process payments. FinWise Investment, LLC’s purpose is to hold and manage private investments made by the Company and the Bank.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References to “FinWise Bancorp,” “Bancorp” or the “holding company,” refer to FinWise Bancorp on a standalone basis. References to the “Company” refer to FinWise Bancorp, FinWise Bank, and FinWise Investment, LLC collectively and on a consolidated basis.</w:t>
      </w:r>
    </w:p>
    <w:p>
      <w:pPr>
        <w:pStyle w:val="TextBody"/>
        <w:bidi w:val="0"/>
        <w:spacing w:lineRule="auto" w:line="288" w:before="200" w:after="283"/>
        <w:jc w:val="left"/>
        <w:rPr/>
      </w:pPr>
      <w:r>
        <w:rPr>
          <w:rFonts w:ascii="Times New Roman;serif" w:hAnsi="Times New Roman;serif"/>
          <w:b/>
          <w:color w:val="000000"/>
          <w:sz w:val="20"/>
        </w:rPr>
        <w:t>Basis of Presentation</w:t>
      </w:r>
      <w:r>
        <w:rPr>
          <w:color w:val="000000"/>
        </w:rPr>
        <w:t xml:space="preserve"> – </w:t>
      </w:r>
      <w:r>
        <w:rPr>
          <w:rFonts w:ascii="Times New Roman;serif" w:hAnsi="Times New Roman;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Accordingly,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statement of the consolidated financial condition and the consolidated results of operations for the periods presented have been included. The results of operations and other data presented for the three and six months ended June 30, 2026 are not necessarily indicative of the results of operations that may be expected for subsequent periods or the full year results. The consolidated balance sheet data as of December 31, 2025 was derived from audited financial statements; however, the accompanying notes to the unaudited consolidated financial statements do not include all of the annual disclosures required by GAAP and should be read in conjunction with the Company’s audited consolidated financial statements and related notes included in the Company’s Annual Report on Form 10-K for the year ended December 31, 2025.</w:t>
      </w:r>
    </w:p>
    <w:p>
      <w:pPr>
        <w:pStyle w:val="TextBody"/>
        <w:bidi w:val="0"/>
        <w:spacing w:lineRule="auto" w:line="288" w:before="200" w:after="283"/>
        <w:jc w:val="left"/>
        <w:rPr/>
      </w:pPr>
      <w:r>
        <w:rPr>
          <w:rFonts w:ascii="Times New Roman;serif" w:hAnsi="Times New Roman;serif"/>
          <w:b/>
          <w:color w:val="000000"/>
          <w:sz w:val="20"/>
        </w:rPr>
        <w:t>Reclassifications</w:t>
      </w:r>
      <w:r>
        <w:rPr>
          <w:color w:val="000000"/>
        </w:rPr>
        <w:t xml:space="preserve"> – </w:t>
      </w:r>
      <w:r>
        <w:rPr>
          <w:rFonts w:ascii="Times New Roman;serif" w:hAnsi="Times New Roman;serif"/>
          <w:b w:val="false"/>
          <w:color w:val="000000"/>
          <w:sz w:val="20"/>
        </w:rPr>
        <w:t>Certain reclassifications have been made to the consolidated financial statements to align them with the current period’s presentation. These adjustments did not have a material impact on the previously reported consolidated financial statements. The Company reclassified specific assets and liabilities from individual line items on the balance sheet to “other assets” or “other liabilities.” Corresponding amounts from prior periods have also been reclassified to ensure consistency with the current period’s presentation. Management evaluated these changes and concluded that the amounts involved were not significant enough to warrant separate disclosure.</w:t>
      </w:r>
    </w:p>
    <w:p>
      <w:pPr>
        <w:pStyle w:val="TextBody"/>
        <w:bidi w:val="0"/>
        <w:spacing w:lineRule="auto" w:line="288" w:before="200" w:after="283"/>
        <w:jc w:val="left"/>
        <w:rPr/>
      </w:pPr>
      <w:r>
        <w:rPr>
          <w:rFonts w:ascii="Times New Roman;serif" w:hAnsi="Times New Roman;serif"/>
          <w:b/>
          <w:color w:val="000000"/>
          <w:sz w:val="20"/>
        </w:rPr>
        <w:t>Use of Estimates</w:t>
      </w:r>
      <w:r>
        <w:rPr>
          <w:color w:val="000000"/>
        </w:rPr>
        <w:t xml:space="preserve"> – </w:t>
      </w:r>
      <w:r>
        <w:rPr>
          <w:rFonts w:ascii="Times New Roman;serif" w:hAnsi="Times New Roman;serif"/>
          <w:b w:val="false"/>
          <w:color w:val="000000"/>
          <w:sz w:val="20"/>
        </w:rPr>
        <w:t>In preparing the interim consolidated financial statements in accordance with 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pStyle w:val="TextBody"/>
        <w:bidi w:val="0"/>
        <w:spacing w:lineRule="auto" w:line="288" w:before="200" w:after="283"/>
        <w:jc w:val="left"/>
        <w:rPr/>
      </w:pPr>
      <w:r>
        <w:rPr>
          <w:rFonts w:ascii="Times New Roman;serif" w:hAnsi="Times New Roman;serif"/>
          <w:b/>
          <w:color w:val="000000"/>
          <w:sz w:val="20"/>
        </w:rPr>
        <w:t>Stock Repurchase Program</w:t>
      </w:r>
      <w:r>
        <w:rPr>
          <w:color w:val="000000"/>
        </w:rPr>
        <w:t xml:space="preserve"> – </w:t>
      </w:r>
      <w:r>
        <w:rPr>
          <w:rFonts w:ascii="Times New Roman;serif" w:hAnsi="Times New Roman;serif"/>
          <w:b w:val="false"/>
          <w:color w:val="000000"/>
          <w:sz w:val="20"/>
        </w:rPr>
        <w:t>On May 21, 2026, the Company announced that its Board of Directors (the “Board”) had authorized a common stock repurchase program, effective as of May 19, 2026, to purchase up to 685,000 shares of the Company’s common stock in the aggregate.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Share Repurchase Committee, designated by the Board of Directors, will have sole discretion in determining the timing, number, and value of any shares repurchased, taking into account factors such as the market price and trading volume of the Company's common stock, general market and economic conditions, the Company's capital needs, and applicable legal and regulatory requirements. The repurchase program does not obligate the Company to purchase any particular number of shares and may be limited or terminated at any time at the Company’s discretion without notice. Since commencement of the repurchase program, the Company had repurchased a total of 29,736 shares for $0.4 million at an average price of $14.15 per share as of June 30, 2026 and retired them at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color w:val="000000"/>
          <w:sz w:val="20"/>
        </w:rPr>
        <w:t>Segment Reporting</w:t>
      </w:r>
      <w:r>
        <w:rPr>
          <w:color w:val="000000"/>
        </w:rPr>
        <w:t xml:space="preserve"> – </w:t>
      </w:r>
      <w:r>
        <w:rPr>
          <w:rFonts w:ascii="Times New Roman;serif" w:hAnsi="Times New Roman;serif"/>
          <w:b w:val="false"/>
          <w:color w:val="000000"/>
          <w:sz w:val="20"/>
        </w:rPr>
        <w:t>As further described in Note 14, Segments, during the third quarter of 2025, the Company implemented segment reporting following the completion of a technology initiative to capture segment-specific financial data and develop reports used by the Company’s chief operating decision maker (“CODM”) to review the Company’s financial performance and determine how to allocate resources. The Company established three reportable segments: traditional banking, banking as a service (“BaaS”) and treasury and administration. For periods prior to July 1, 2025, the Company operated under one operating segment, consistent with the information that was presented to the Company’s CODM.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 Investments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 Securities Available-for-Sale, at Fair Value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Company’s available-for-sale (“AFS”) investment portfolio consists of U.S. Treasury securities. The Company reports debt securities AFS on the Company’s consolidated balance sheets at fair value. The amortized cost, gross unrealized gains and losses, and estimated fair value of investment securities AFS as of 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are summarized as follows:</w:t>
      </w:r>
    </w:p>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320"/>
        <w:gridCol w:w="549"/>
        <w:gridCol w:w="167"/>
        <w:gridCol w:w="109"/>
        <w:gridCol w:w="109"/>
        <w:gridCol w:w="109"/>
        <w:gridCol w:w="301"/>
        <w:gridCol w:w="579"/>
        <w:gridCol w:w="156"/>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28"/>
        <w:gridCol w:w="640"/>
        <w:gridCol w:w="642"/>
        <w:gridCol w:w="211"/>
        <w:gridCol w:w="721"/>
        <w:gridCol w:w="109"/>
        <w:gridCol w:w="109"/>
        <w:gridCol w:w="109"/>
        <w:gridCol w:w="109"/>
        <w:gridCol w:w="278"/>
        <w:gridCol w:w="614"/>
        <w:gridCol w:w="144"/>
        <w:gridCol w:w="109"/>
        <w:gridCol w:w="109"/>
        <w:gridCol w:w="109"/>
        <w:gridCol w:w="301"/>
        <w:gridCol w:w="579"/>
        <w:gridCol w:w="156"/>
        <w:gridCol w:w="109"/>
        <w:gridCol w:w="109"/>
        <w:gridCol w:w="109"/>
        <w:gridCol w:w="211"/>
        <w:gridCol w:w="7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presents the amortized cost and estimated fair value of investment securities AFS 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by contractual maturity:</w:t>
      </w:r>
    </w:p>
    <w:tbl>
      <w:tblPr>
        <w:tblW w:w="5995" w:type="dxa"/>
        <w:jc w:val="left"/>
        <w:tblInd w:w="0" w:type="dxa"/>
        <w:tblLayout w:type="fixed"/>
        <w:tblCellMar>
          <w:top w:w="28" w:type="dxa"/>
          <w:left w:w="28" w:type="dxa"/>
          <w:bottom w:w="28" w:type="dxa"/>
          <w:right w:w="28" w:type="dxa"/>
        </w:tblCellMar>
      </w:tblPr>
      <w:tblGrid>
        <w:gridCol w:w="1125"/>
        <w:gridCol w:w="988"/>
        <w:gridCol w:w="992"/>
        <w:gridCol w:w="211"/>
        <w:gridCol w:w="721"/>
        <w:gridCol w:w="109"/>
        <w:gridCol w:w="109"/>
        <w:gridCol w:w="109"/>
        <w:gridCol w:w="109"/>
        <w:gridCol w:w="211"/>
        <w:gridCol w:w="721"/>
        <w:gridCol w:w="109"/>
        <w:gridCol w:w="109"/>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securities AFS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At June 30, 2026, debt securities AFS with a fair value of </w:t>
      </w:r>
      <w:r>
        <w:rPr>
          <w:rFonts w:ascii="Times New Roman;serif" w:hAnsi="Times New Roman;serif"/>
          <w:b w:val="false"/>
          <w:color w:val="000000"/>
          <w:sz w:val="20"/>
        </w:rPr>
        <w:t>$27.5 million</w:t>
      </w:r>
      <w:r>
        <w:rPr>
          <w:color w:val="000000"/>
          <w:shd w:fill="FFFFFF" w:val="clear"/>
        </w:rPr>
        <w:t xml:space="preserve"> </w:t>
      </w:r>
      <w:r>
        <w:rPr>
          <w:rFonts w:ascii="Times New Roman;serif" w:hAnsi="Times New Roman;serif"/>
          <w:b w:val="false"/>
          <w:color w:val="000000"/>
          <w:sz w:val="20"/>
          <w:shd w:fill="FFFFFF" w:val="clear"/>
        </w:rPr>
        <w:t xml:space="preserve">were pledged as collateral for a credit line held by the Bank. Accrued interest receivable on debt securities AFS totaled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shd w:fill="FFFFFF" w:val="clear"/>
        </w:rPr>
        <w:t xml:space="preserve">at 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respectively, and was included in other assets on the consolidated balance sheets.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 Securities Held-to-Maturity, at Cost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held-to-maturity (“HTM”) investment portfolio consists of agency mortgage-backed securities and agency collateralized mortgage obligations. The Company reports debt securities HTM on the Company's consolidated balance sheets at carrying value which is amortized cost. The amortized cost, unrealized gains and losses, and estimated fair values of the Company’s debt securities HTM at June 30, 2026 and December 31, 2025, are summarized as follows:</w:t>
      </w:r>
    </w:p>
    <w:tbl>
      <w:tblPr>
        <w:tblW w:w="10205" w:type="dxa"/>
        <w:jc w:val="left"/>
        <w:tblInd w:w="0" w:type="dxa"/>
        <w:tblLayout w:type="fixed"/>
        <w:tblCellMar>
          <w:top w:w="28" w:type="dxa"/>
          <w:left w:w="28" w:type="dxa"/>
          <w:bottom w:w="28" w:type="dxa"/>
          <w:right w:w="28" w:type="dxa"/>
        </w:tblCellMar>
      </w:tblPr>
      <w:tblGrid>
        <w:gridCol w:w="968"/>
        <w:gridCol w:w="851"/>
        <w:gridCol w:w="854"/>
        <w:gridCol w:w="226"/>
        <w:gridCol w:w="662"/>
        <w:gridCol w:w="118"/>
        <w:gridCol w:w="109"/>
        <w:gridCol w:w="109"/>
        <w:gridCol w:w="109"/>
        <w:gridCol w:w="608"/>
        <w:gridCol w:w="1170"/>
        <w:gridCol w:w="314"/>
        <w:gridCol w:w="109"/>
        <w:gridCol w:w="109"/>
        <w:gridCol w:w="109"/>
        <w:gridCol w:w="301"/>
        <w:gridCol w:w="579"/>
        <w:gridCol w:w="156"/>
        <w:gridCol w:w="109"/>
        <w:gridCol w:w="109"/>
        <w:gridCol w:w="109"/>
        <w:gridCol w:w="229"/>
        <w:gridCol w:w="689"/>
        <w:gridCol w:w="120"/>
        <w:gridCol w:w="109"/>
        <w:gridCol w:w="109"/>
        <w:gridCol w:w="109"/>
        <w:gridCol w:w="224"/>
        <w:gridCol w:w="658"/>
        <w:gridCol w:w="170"/>
      </w:tblGrid>
      <w:tr>
        <w:trPr/>
        <w:tc>
          <w:tcPr>
            <w:tcW w:w="9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6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68"/>
        <w:gridCol w:w="851"/>
        <w:gridCol w:w="855"/>
        <w:gridCol w:w="226"/>
        <w:gridCol w:w="662"/>
        <w:gridCol w:w="118"/>
        <w:gridCol w:w="109"/>
        <w:gridCol w:w="109"/>
        <w:gridCol w:w="109"/>
        <w:gridCol w:w="608"/>
        <w:gridCol w:w="1171"/>
        <w:gridCol w:w="314"/>
        <w:gridCol w:w="109"/>
        <w:gridCol w:w="109"/>
        <w:gridCol w:w="109"/>
        <w:gridCol w:w="379"/>
        <w:gridCol w:w="460"/>
        <w:gridCol w:w="197"/>
        <w:gridCol w:w="109"/>
        <w:gridCol w:w="109"/>
        <w:gridCol w:w="109"/>
        <w:gridCol w:w="272"/>
        <w:gridCol w:w="622"/>
        <w:gridCol w:w="142"/>
        <w:gridCol w:w="109"/>
        <w:gridCol w:w="109"/>
        <w:gridCol w:w="109"/>
        <w:gridCol w:w="224"/>
        <w:gridCol w:w="658"/>
        <w:gridCol w:w="170"/>
      </w:tblGrid>
      <w:tr>
        <w:trPr/>
        <w:tc>
          <w:tcPr>
            <w:tcW w:w="9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amortized cost and estimated market value of debt securities HTM at June 30, 2026, by contractual maturity, are shown below. Actual maturities may differ from contractual maturities because borrowers may have the right to call or prepay obligations with or without call or prepayment penalties.</w:t>
      </w:r>
    </w:p>
    <w:tbl>
      <w:tblPr>
        <w:tblW w:w="5531" w:type="dxa"/>
        <w:jc w:val="left"/>
        <w:tblInd w:w="0" w:type="dxa"/>
        <w:tblLayout w:type="fixed"/>
        <w:tblCellMar>
          <w:top w:w="28" w:type="dxa"/>
          <w:left w:w="28" w:type="dxa"/>
          <w:bottom w:w="28" w:type="dxa"/>
          <w:right w:w="28" w:type="dxa"/>
        </w:tblCellMar>
      </w:tblPr>
      <w:tblGrid>
        <w:gridCol w:w="1136"/>
        <w:gridCol w:w="997"/>
        <w:gridCol w:w="1001"/>
        <w:gridCol w:w="226"/>
        <w:gridCol w:w="662"/>
        <w:gridCol w:w="118"/>
        <w:gridCol w:w="109"/>
        <w:gridCol w:w="109"/>
        <w:gridCol w:w="109"/>
        <w:gridCol w:w="228"/>
        <w:gridCol w:w="668"/>
        <w:gridCol w:w="168"/>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held-to-maturity</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At June 30, 2026, HTM debt securities with a book value of </w:t>
      </w:r>
      <w:r>
        <w:rPr>
          <w:rFonts w:ascii="Times New Roman;serif" w:hAnsi="Times New Roman;serif"/>
          <w:b w:val="false"/>
          <w:color w:val="000000"/>
          <w:sz w:val="20"/>
        </w:rPr>
        <w:t>$8.9 million</w:t>
      </w:r>
      <w:r>
        <w:rPr>
          <w:color w:val="000000"/>
          <w:shd w:fill="FFFFFF" w:val="clear"/>
        </w:rPr>
        <w:t xml:space="preserve"> </w:t>
      </w:r>
      <w:r>
        <w:rPr>
          <w:rFonts w:ascii="Times New Roman;serif" w:hAnsi="Times New Roman;serif"/>
          <w:b w:val="false"/>
          <w:color w:val="000000"/>
          <w:sz w:val="20"/>
          <w:shd w:fill="FFFFFF" w:val="clear"/>
        </w:rPr>
        <w:t xml:space="preserve">were pledged as collateral for a credit line held by the Bank. </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Credit Quality Indicators &amp; Allowance for Credit Losses - HTM and AFS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debt securities HTM and AFS, the Company evaluates the credit risk of its securities on at least a quarterly basis. The Company estimates expected credit losses on debt securities HTM and AFS on a collective basis by major security type. Accrued interest receivable on debt securities HTM and AFS is excluded from the estimate of credit losses. At June 30, 2026 and December 31, 2025, there was no ACL related to debt securities HTM or AFS as the portfolio consists of U.S. government-issued or guaranteed agency securities considered to have minimal credit risk.</w:t>
      </w:r>
    </w:p>
    <w:p>
      <w:pPr>
        <w:pStyle w:val="TextBody"/>
        <w:bidi w:val="0"/>
        <w:spacing w:lineRule="auto" w:line="288" w:before="200" w:after="283"/>
        <w:jc w:val="left"/>
        <w:rPr/>
      </w:pPr>
      <w:r>
        <w:rPr>
          <w:rFonts w:ascii="Times New Roman;serif" w:hAnsi="Times New Roman;serif"/>
          <w:b w:val="false"/>
          <w:color w:val="000000"/>
          <w:sz w:val="20"/>
          <w:shd w:fill="FFFFFF" w:val="clear"/>
        </w:rPr>
        <w:t>The Compa</w:t>
      </w:r>
      <w:r>
        <w:rPr>
          <w:rFonts w:ascii="Times New Roman;serif" w:hAnsi="Times New Roman;serif"/>
          <w:b w:val="false"/>
          <w:color w:val="000000"/>
          <w:sz w:val="20"/>
        </w:rPr>
        <w:t xml:space="preserve">ny had eighteen securities, consisting of eight collateralized mortgage obligations and ten mortgage-backed </w:t>
      </w:r>
      <w:r>
        <w:rPr>
          <w:rFonts w:ascii="Times New Roman;serif" w:hAnsi="Times New Roman;serif"/>
          <w:b w:val="false"/>
          <w:color w:val="000000"/>
          <w:sz w:val="20"/>
          <w:shd w:fill="FFFFFF" w:val="clear"/>
        </w:rPr>
        <w:t xml:space="preserve">securities in an unrealized loss position at June 30, 2026 and </w:t>
      </w:r>
      <w:r>
        <w:rPr>
          <w:rFonts w:ascii="Times New Roman;serif" w:hAnsi="Times New Roman;serif"/>
          <w:b w:val="false"/>
          <w:color w:val="000000"/>
          <w:sz w:val="20"/>
        </w:rPr>
        <w:t>seventeen</w:t>
      </w:r>
      <w:r>
        <w:rPr>
          <w:color w:val="000000"/>
          <w:shd w:fill="FFFFFF" w:val="clear"/>
        </w:rPr>
        <w:t xml:space="preserve"> </w:t>
      </w:r>
      <w:r>
        <w:rPr>
          <w:rFonts w:ascii="Times New Roman;serif" w:hAnsi="Times New Roman;serif"/>
          <w:b w:val="false"/>
          <w:color w:val="000000"/>
          <w:sz w:val="20"/>
          <w:shd w:fill="FFFFFF" w:val="clear"/>
        </w:rPr>
        <w:t>securities, consisting of</w:t>
      </w:r>
      <w:r>
        <w:rPr>
          <w:color w:val="000000"/>
        </w:rPr>
        <w:t xml:space="preserve"> </w:t>
      </w:r>
      <w:r>
        <w:rPr>
          <w:rFonts w:ascii="Times New Roman;serif" w:hAnsi="Times New Roman;serif"/>
          <w:b w:val="false"/>
          <w:color w:val="000000"/>
          <w:sz w:val="20"/>
        </w:rPr>
        <w:t xml:space="preserve">eight collateralized </w:t>
      </w:r>
      <w:r>
        <w:rPr>
          <w:rFonts w:ascii="Times New Roman;serif" w:hAnsi="Times New Roman;serif"/>
          <w:b w:val="false"/>
          <w:color w:val="000000"/>
          <w:sz w:val="20"/>
          <w:shd w:fill="FFFFFF" w:val="clear"/>
        </w:rPr>
        <w:t xml:space="preserve">mortgage obligations and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mortgage-backed securities in an unrealized loss position at December 31, 2025. The following tables present the estimated fair value and gross unrealized losses of debt securities HTM, aggregated by category and length of time in a continuous unrealized loss position at June 30, 2026 and December 31, 2025:</w:t>
      </w:r>
    </w:p>
    <w:tbl>
      <w:tblPr>
        <w:tblW w:w="10205" w:type="dxa"/>
        <w:jc w:val="left"/>
        <w:tblInd w:w="0" w:type="dxa"/>
        <w:tblLayout w:type="fixed"/>
        <w:tblCellMar>
          <w:top w:w="28" w:type="dxa"/>
          <w:left w:w="28" w:type="dxa"/>
          <w:bottom w:w="28" w:type="dxa"/>
          <w:right w:w="28" w:type="dxa"/>
        </w:tblCellMar>
      </w:tblPr>
      <w:tblGrid>
        <w:gridCol w:w="902"/>
        <w:gridCol w:w="792"/>
        <w:gridCol w:w="798"/>
        <w:gridCol w:w="250"/>
        <w:gridCol w:w="553"/>
        <w:gridCol w:w="128"/>
        <w:gridCol w:w="112"/>
        <w:gridCol w:w="112"/>
        <w:gridCol w:w="112"/>
        <w:gridCol w:w="369"/>
        <w:gridCol w:w="475"/>
        <w:gridCol w:w="192"/>
        <w:gridCol w:w="109"/>
        <w:gridCol w:w="109"/>
        <w:gridCol w:w="109"/>
        <w:gridCol w:w="222"/>
        <w:gridCol w:w="650"/>
        <w:gridCol w:w="114"/>
        <w:gridCol w:w="109"/>
        <w:gridCol w:w="109"/>
        <w:gridCol w:w="109"/>
        <w:gridCol w:w="229"/>
        <w:gridCol w:w="689"/>
        <w:gridCol w:w="120"/>
        <w:gridCol w:w="109"/>
        <w:gridCol w:w="109"/>
        <w:gridCol w:w="109"/>
        <w:gridCol w:w="222"/>
        <w:gridCol w:w="650"/>
        <w:gridCol w:w="114"/>
        <w:gridCol w:w="109"/>
        <w:gridCol w:w="109"/>
        <w:gridCol w:w="109"/>
        <w:gridCol w:w="229"/>
        <w:gridCol w:w="688"/>
        <w:gridCol w:w="17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Less than 12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2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r>
      <w:tr>
        <w:trPr/>
        <w:tc>
          <w:tcPr>
            <w:tcW w:w="2492"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492"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492"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492"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7,571 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56"/>
        <w:gridCol w:w="841"/>
        <w:gridCol w:w="723"/>
        <w:gridCol w:w="265"/>
        <w:gridCol w:w="511"/>
        <w:gridCol w:w="137"/>
        <w:gridCol w:w="110"/>
        <w:gridCol w:w="110"/>
        <w:gridCol w:w="110"/>
        <w:gridCol w:w="301"/>
        <w:gridCol w:w="579"/>
        <w:gridCol w:w="156"/>
        <w:gridCol w:w="109"/>
        <w:gridCol w:w="109"/>
        <w:gridCol w:w="109"/>
        <w:gridCol w:w="223"/>
        <w:gridCol w:w="651"/>
        <w:gridCol w:w="114"/>
        <w:gridCol w:w="109"/>
        <w:gridCol w:w="109"/>
        <w:gridCol w:w="109"/>
        <w:gridCol w:w="272"/>
        <w:gridCol w:w="622"/>
        <w:gridCol w:w="142"/>
        <w:gridCol w:w="109"/>
        <w:gridCol w:w="109"/>
        <w:gridCol w:w="109"/>
        <w:gridCol w:w="223"/>
        <w:gridCol w:w="651"/>
        <w:gridCol w:w="114"/>
        <w:gridCol w:w="109"/>
        <w:gridCol w:w="109"/>
        <w:gridCol w:w="109"/>
        <w:gridCol w:w="269"/>
        <w:gridCol w:w="614"/>
        <w:gridCol w:w="203"/>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br/>
              <w:t xml:space="preserve">Losses </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2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7,536 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sales or transfers of investment securities and no realized gains or losses on these securities during the six months ended June 30, 2026 or 2025.</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FHLB Stock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is a member of the Federal Home Loan Bank (“FHLB”) system. As a member, the Bank is required to maintain a minimum level of investment in FHLB stock based on a percentage of the Bank’s previous year-end assets and the Bank’s FHLB advances outstanding. At June 30, 2026 and December 31, 2025, the Bank owned $0.6 million and $0.4 million, respectively, of FHLB stock, which is carried at cost. The Company evaluated the carrying value of its FHLB stock investment at June 30, 2026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 Loans</w:t>
      </w:r>
    </w:p>
    <w:p>
      <w:pPr>
        <w:pStyle w:val="TextBody"/>
        <w:bidi w:val="0"/>
        <w:spacing w:lineRule="auto" w:line="288" w:before="200" w:after="283"/>
        <w:jc w:val="left"/>
        <w:rPr/>
      </w:pPr>
      <w:r>
        <w:rPr>
          <w:rFonts w:ascii="Times New Roman;serif" w:hAnsi="Times New Roman;serif"/>
          <w:b/>
          <w:color w:val="000000"/>
          <w:sz w:val="20"/>
          <w:shd w:fill="FFFFFF" w:val="clear"/>
        </w:rPr>
        <w:t>Loans held-for-investment, net</w:t>
      </w:r>
      <w:r>
        <w:rPr>
          <w:color w:val="000000"/>
          <w:shd w:fill="FFFFFF" w:val="clear"/>
        </w:rPr>
        <w:t xml:space="preserve"> – </w:t>
      </w:r>
      <w:r>
        <w:rPr>
          <w:rFonts w:ascii="Times New Roman;serif" w:hAnsi="Times New Roman;serif"/>
          <w:b w:val="false"/>
          <w:color w:val="000000"/>
          <w:sz w:val="20"/>
          <w:shd w:fill="FFFFFF" w:val="clear"/>
        </w:rPr>
        <w:t>The Company’s loans held-for-investment outstanding by general ledger classification as of June 30, 2026 and December 31, 2025, consisted of the following:</w:t>
      </w:r>
    </w:p>
    <w:tbl>
      <w:tblPr>
        <w:tblW w:w="10205" w:type="dxa"/>
        <w:jc w:val="left"/>
        <w:tblInd w:w="0" w:type="dxa"/>
        <w:tblLayout w:type="fixed"/>
        <w:tblCellMar>
          <w:top w:w="28" w:type="dxa"/>
          <w:left w:w="28" w:type="dxa"/>
          <w:bottom w:w="28" w:type="dxa"/>
          <w:right w:w="28" w:type="dxa"/>
        </w:tblCellMar>
      </w:tblPr>
      <w:tblGrid>
        <w:gridCol w:w="2585"/>
        <w:gridCol w:w="1974"/>
        <w:gridCol w:w="1983"/>
        <w:gridCol w:w="281"/>
        <w:gridCol w:w="1103"/>
        <w:gridCol w:w="145"/>
        <w:gridCol w:w="145"/>
        <w:gridCol w:w="145"/>
        <w:gridCol w:w="145"/>
        <w:gridCol w:w="300"/>
        <w:gridCol w:w="1176"/>
        <w:gridCol w:w="223"/>
      </w:tblGrid>
      <w:tr>
        <w:trPr/>
        <w:tc>
          <w:tcPr>
            <w:tcW w:w="2585"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6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6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SBA</w:t>
            </w:r>
            <w:r>
              <w:rPr>
                <w:rFonts w:ascii="Times New Roman;serif" w:hAnsi="Times New Roman;serif"/>
                <w:b w:val="false"/>
                <w:color w:val="000000"/>
                <w:sz w:val="13"/>
              </w:rPr>
              <w:t>(1)</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163,953 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205,615 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59,602 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Strategic Program loans - with credit enhancement</w:t>
            </w:r>
            <w:r>
              <w:rPr>
                <w:rFonts w:ascii="Times New Roman;serif" w:hAnsi="Times New Roman;serif"/>
                <w:b w:val="false"/>
                <w:color w:val="000000"/>
                <w:sz w:val="13"/>
              </w:rPr>
              <w:t>(2)</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120,787 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108,131 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Owner occupied</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Non-owner occupied</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571,386 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585,509 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loan fees and discounts, net</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net of deferred loans fees and discounts, net</w:t>
            </w:r>
          </w:p>
        </w:tc>
        <w:tc>
          <w:tcPr>
            <w:tcW w:w="13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561,936 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578,347 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514,501 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541,551 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the SBA loans held-for-investment above are $66.1 million and $102.7 million of loans guaranteed by the SBA as of June 30, 2026 and December 31, 2025, respectively.</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See Note 15 - Subsequent Event for the acquisition on July 20, 2026 of Tallied Technologies, Inc., a Strategic Program provider that participated in the Company’s credit enhanced lending program.</w:t>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The Bank sells participation interests in some loans it originates and may acquire a participation interest in loans originated by others.</w:t>
      </w:r>
      <w:r>
        <w:rPr>
          <w:color w:val="000000"/>
        </w:rPr>
        <w:t xml:space="preserve"> </w:t>
      </w:r>
      <w:r>
        <w:rPr>
          <w:rFonts w:ascii="Times New Roman;serif" w:hAnsi="Times New Roman;serif"/>
          <w:b w:val="false"/>
          <w:color w:val="000000"/>
          <w:sz w:val="20"/>
          <w:shd w:fill="FFFFFF" w:val="clear"/>
        </w:rPr>
        <w:t>All reported amounts reflect only the Bank’s ownership interest in the loans.</w:t>
      </w:r>
    </w:p>
    <w:p>
      <w:pPr>
        <w:pStyle w:val="TextBody"/>
        <w:bidi w:val="0"/>
        <w:spacing w:lineRule="auto" w:line="288" w:before="200" w:after="283"/>
        <w:jc w:val="left"/>
        <w:rPr/>
      </w:pPr>
      <w:r>
        <w:rPr>
          <w:rFonts w:ascii="Times New Roman;serif" w:hAnsi="Times New Roman;serif"/>
          <w:b/>
          <w:color w:val="000000"/>
          <w:sz w:val="20"/>
          <w:shd w:fill="FFFFFF" w:val="clear"/>
        </w:rPr>
        <w:t xml:space="preserve">Strategic Program Loans </w:t>
      </w:r>
      <w:r>
        <w:rPr>
          <w:color w:val="000000"/>
          <w:shd w:fill="FFFFFF" w:val="clear"/>
        </w:rPr>
        <w:t xml:space="preserve">– </w:t>
      </w:r>
      <w:r>
        <w:rPr>
          <w:rFonts w:ascii="Times New Roman;serif" w:hAnsi="Times New Roman;serif"/>
          <w:b w:val="false"/>
          <w:color w:val="000000"/>
          <w:sz w:val="20"/>
          <w:shd w:fill="FFFFFF" w:val="clear"/>
        </w:rPr>
        <w:t>The Company originates loans with various third-party loan origination platforms that use technology and other innovative systems to streamline the origination of unsecured and secured consumer and business loans to a wide array of borrowers within certain approved credit profiles. Loans issued by the Company through these programs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generally retains the loans and/or receivables for a number of business days after origination before selling the loans and/or receivables to the Strategic Program provider or another investor. Interest income is earned by the Company while holding the loans. These loans are classified as held-for-sale on the balance sheet and measured at the lower of cost or market.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choose to retain all or part of the originated loans or receivables, rather than selling them in their entirety. The portion that remains with the Company is classified as held-for-investment on the balance sheet.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generally the servicer of the loans it originates through Strategic Programs. The Company earns a servicing fee equal to a percentage of the outstanding balance of the loans generated under Strategic Programs for servicing such loans. In turn, the Strategic Program service providers, subject to the Company’s approval and oversight, typically serve as sub-servicer and perform primary servicing duties including loan collections, modifications, charging-off, reporting and monitoring, for which the Company incurs a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Each Strategic Program provider establishes a “reserve” deposit account with the Company to reasonably ensure the strategic programs will have sufficient funds available to purchase the loans. The agreements generally require that the reserve account deposit balance does not fall below an agreed upon dollar or percentage threshold related to the total loans currently outstanding as held-for-sale </w:t>
      </w:r>
      <w:r>
        <w:rPr>
          <w:rFonts w:ascii="Times New Roman;serif" w:hAnsi="Times New Roman;serif"/>
          <w:b w:val="false"/>
          <w:color w:val="000000"/>
          <w:sz w:val="20"/>
        </w:rPr>
        <w:t>by the Company for the specific Strategic Program. If necessary, the Company has the right to withdraw amounts from the reserve account to fulfill loan purchaser obligations created under the program agreements. Total cash held in reserve at the Company by Strategic Program providers for loans without credit enhancement at June 30, 2026 and December 31, 2025, was $26.9 million and $53.4 million,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Strategic Program providers that participate in the Company’s credit enhanced balance sheet program guarantee the credit and fraud losses by maintaining a reserve deposit account with the Bank. This reserve deposit account is intended to protect the Bank by ensuring that sufficient funds are available to cover any credit and fraud losses, and the Strategic Program provider must periodically replenish the account as needed to meet the required balance. Collateral reserve balances associated with the Company’s credit enhanced balance sheet program totaled $5.4 million and $5.4 million at June 30, 2026 and December 31, 2025, respectively.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Strategic Program loans retained and held-for-sale as of June 30, 2026 and December 31, 2025, are summarized as follows:</w:t>
      </w:r>
    </w:p>
    <w:tbl>
      <w:tblPr>
        <w:tblW w:w="7825" w:type="dxa"/>
        <w:jc w:val="left"/>
        <w:tblInd w:w="0" w:type="dxa"/>
        <w:tblLayout w:type="fixed"/>
        <w:tblCellMar>
          <w:top w:w="28" w:type="dxa"/>
          <w:left w:w="28" w:type="dxa"/>
          <w:bottom w:w="28" w:type="dxa"/>
          <w:right w:w="28" w:type="dxa"/>
        </w:tblCellMar>
      </w:tblPr>
      <w:tblGrid>
        <w:gridCol w:w="1613"/>
        <w:gridCol w:w="1419"/>
        <w:gridCol w:w="1423"/>
        <w:gridCol w:w="234"/>
        <w:gridCol w:w="919"/>
        <w:gridCol w:w="121"/>
        <w:gridCol w:w="109"/>
        <w:gridCol w:w="109"/>
        <w:gridCol w:w="109"/>
        <w:gridCol w:w="313"/>
        <w:gridCol w:w="1228"/>
        <w:gridCol w:w="228"/>
      </w:tblGrid>
      <w:tr>
        <w:trPr/>
        <w:tc>
          <w:tcPr>
            <w:tcW w:w="16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retained:</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108,131 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Strategic Program loans</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319,855 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276,241 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i/>
          <w:color w:val="000000"/>
          <w:sz w:val="20"/>
          <w:shd w:fill="FFFFFF" w:val="clear"/>
        </w:rPr>
        <w:t xml:space="preserve">Allowance for Credit Losses: </w:t>
      </w:r>
      <w:r>
        <w:rPr>
          <w:rFonts w:ascii="Times New Roman;serif" w:hAnsi="Times New Roman;serif"/>
          <w:b w:val="false"/>
          <w:color w:val="000000"/>
          <w:sz w:val="20"/>
          <w:shd w:fill="FFFFFF" w:val="clear"/>
        </w:rPr>
        <w:t>In determining an appropriate amount for the allowance, the Bank segmented and aggregated the loan portfolio based on the FDIC Consolidated Reports of Condition and Income (“Call Report”) codes. These classifications, which in general are based upon the nature of the collateral and type of borrower, are different than the classifications adopted for other financial reporting purposes, which are based upon the proposed use of the loan proceeds. The following pool segments were identified as of June 30, 2026 and December 31, 2025 for the purpose of estimating the ACL:</w:t>
      </w:r>
    </w:p>
    <w:tbl>
      <w:tblPr>
        <w:tblW w:w="9594" w:type="dxa"/>
        <w:jc w:val="left"/>
        <w:tblInd w:w="0" w:type="dxa"/>
        <w:tblLayout w:type="fixed"/>
        <w:tblCellMar>
          <w:top w:w="28" w:type="dxa"/>
          <w:left w:w="28" w:type="dxa"/>
          <w:bottom w:w="28" w:type="dxa"/>
          <w:right w:w="28" w:type="dxa"/>
        </w:tblCellMar>
      </w:tblPr>
      <w:tblGrid>
        <w:gridCol w:w="2254"/>
        <w:gridCol w:w="1980"/>
        <w:gridCol w:w="1990"/>
        <w:gridCol w:w="234"/>
        <w:gridCol w:w="919"/>
        <w:gridCol w:w="121"/>
        <w:gridCol w:w="109"/>
        <w:gridCol w:w="109"/>
        <w:gridCol w:w="109"/>
        <w:gridCol w:w="313"/>
        <w:gridCol w:w="1228"/>
        <w:gridCol w:w="228"/>
      </w:tblGrid>
      <w:tr>
        <w:trPr/>
        <w:tc>
          <w:tcPr>
            <w:tcW w:w="2254"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58,789 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right"/>
              <w:rPr>
                <w:color w:val="000000"/>
              </w:rPr>
            </w:pPr>
            <w:r>
              <w:rPr>
                <w:color w:val="000000"/>
              </w:rPr>
              <w:t> </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108,131 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571,386 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585,509 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loan fees and discounts,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net of deferred loan fees and discounts, net</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561,936 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578,347 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in the ACL by common characteristic loan pools was as follows for the periods indicated:</w:t>
      </w:r>
    </w:p>
    <w:tbl>
      <w:tblPr>
        <w:tblW w:w="10205" w:type="dxa"/>
        <w:jc w:val="left"/>
        <w:tblInd w:w="0" w:type="dxa"/>
        <w:tblLayout w:type="fixed"/>
        <w:tblCellMar>
          <w:top w:w="28" w:type="dxa"/>
          <w:left w:w="28" w:type="dxa"/>
          <w:bottom w:w="28" w:type="dxa"/>
          <w:right w:w="28" w:type="dxa"/>
        </w:tblCellMar>
      </w:tblPr>
      <w:tblGrid>
        <w:gridCol w:w="936"/>
        <w:gridCol w:w="737"/>
        <w:gridCol w:w="705"/>
        <w:gridCol w:w="255"/>
        <w:gridCol w:w="872"/>
        <w:gridCol w:w="131"/>
        <w:gridCol w:w="109"/>
        <w:gridCol w:w="109"/>
        <w:gridCol w:w="109"/>
        <w:gridCol w:w="376"/>
        <w:gridCol w:w="1287"/>
        <w:gridCol w:w="194"/>
        <w:gridCol w:w="109"/>
        <w:gridCol w:w="109"/>
        <w:gridCol w:w="109"/>
        <w:gridCol w:w="227"/>
        <w:gridCol w:w="795"/>
        <w:gridCol w:w="119"/>
        <w:gridCol w:w="109"/>
        <w:gridCol w:w="109"/>
        <w:gridCol w:w="109"/>
        <w:gridCol w:w="278"/>
        <w:gridCol w:w="614"/>
        <w:gridCol w:w="144"/>
        <w:gridCol w:w="109"/>
        <w:gridCol w:w="109"/>
        <w:gridCol w:w="109"/>
        <w:gridCol w:w="237"/>
        <w:gridCol w:w="811"/>
        <w:gridCol w:w="179"/>
      </w:tblGrid>
      <w:tr>
        <w:trPr/>
        <w:tc>
          <w:tcPr>
            <w:tcW w:w="9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3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32,228 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financing receivables</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(13,975)</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38,546 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22,677 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(13,975)</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48,132 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9"/>
        <w:gridCol w:w="716"/>
        <w:gridCol w:w="684"/>
        <w:gridCol w:w="256"/>
        <w:gridCol w:w="877"/>
        <w:gridCol w:w="132"/>
        <w:gridCol w:w="109"/>
        <w:gridCol w:w="109"/>
        <w:gridCol w:w="109"/>
        <w:gridCol w:w="382"/>
        <w:gridCol w:w="1306"/>
        <w:gridCol w:w="197"/>
        <w:gridCol w:w="109"/>
        <w:gridCol w:w="109"/>
        <w:gridCol w:w="109"/>
        <w:gridCol w:w="227"/>
        <w:gridCol w:w="795"/>
        <w:gridCol w:w="119"/>
        <w:gridCol w:w="109"/>
        <w:gridCol w:w="109"/>
        <w:gridCol w:w="109"/>
        <w:gridCol w:w="233"/>
        <w:gridCol w:w="681"/>
        <w:gridCol w:w="122"/>
        <w:gridCol w:w="109"/>
        <w:gridCol w:w="109"/>
        <w:gridCol w:w="109"/>
        <w:gridCol w:w="238"/>
        <w:gridCol w:w="813"/>
        <w:gridCol w:w="180"/>
      </w:tblGrid>
      <w:tr>
        <w:trPr/>
        <w:tc>
          <w:tcPr>
            <w:tcW w:w="9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6"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Owner occupied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Non-owner occupied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32,228 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33,119 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37,354 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33,258 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(23,853)</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48,132 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947"/>
        <w:gridCol w:w="749"/>
        <w:gridCol w:w="717"/>
        <w:gridCol w:w="256"/>
        <w:gridCol w:w="877"/>
        <w:gridCol w:w="132"/>
        <w:gridCol w:w="109"/>
        <w:gridCol w:w="109"/>
        <w:gridCol w:w="109"/>
        <w:gridCol w:w="408"/>
        <w:gridCol w:w="1193"/>
        <w:gridCol w:w="211"/>
        <w:gridCol w:w="109"/>
        <w:gridCol w:w="109"/>
        <w:gridCol w:w="109"/>
        <w:gridCol w:w="253"/>
        <w:gridCol w:w="757"/>
        <w:gridCol w:w="131"/>
        <w:gridCol w:w="109"/>
        <w:gridCol w:w="109"/>
        <w:gridCol w:w="109"/>
        <w:gridCol w:w="278"/>
        <w:gridCol w:w="614"/>
        <w:gridCol w:w="144"/>
        <w:gridCol w:w="109"/>
        <w:gridCol w:w="109"/>
        <w:gridCol w:w="109"/>
        <w:gridCol w:w="237"/>
        <w:gridCol w:w="813"/>
        <w:gridCol w:w="180"/>
      </w:tblGrid>
      <w:tr>
        <w:trPr/>
        <w:tc>
          <w:tcPr>
            <w:tcW w:w="9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4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financing receivables</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16,670 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5"/>
        <w:gridCol w:w="731"/>
        <w:gridCol w:w="700"/>
        <w:gridCol w:w="258"/>
        <w:gridCol w:w="884"/>
        <w:gridCol w:w="133"/>
        <w:gridCol w:w="109"/>
        <w:gridCol w:w="109"/>
        <w:gridCol w:w="109"/>
        <w:gridCol w:w="417"/>
        <w:gridCol w:w="1220"/>
        <w:gridCol w:w="215"/>
        <w:gridCol w:w="109"/>
        <w:gridCol w:w="109"/>
        <w:gridCol w:w="109"/>
        <w:gridCol w:w="253"/>
        <w:gridCol w:w="757"/>
        <w:gridCol w:w="131"/>
        <w:gridCol w:w="109"/>
        <w:gridCol w:w="109"/>
        <w:gridCol w:w="109"/>
        <w:gridCol w:w="278"/>
        <w:gridCol w:w="614"/>
        <w:gridCol w:w="144"/>
        <w:gridCol w:w="109"/>
        <w:gridCol w:w="109"/>
        <w:gridCol w:w="109"/>
        <w:gridCol w:w="239"/>
        <w:gridCol w:w="817"/>
        <w:gridCol w:w="181"/>
      </w:tblGrid>
      <w:tr>
        <w:trPr/>
        <w:tc>
          <w:tcPr>
            <w:tcW w:w="9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3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Provision for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Ending Balance</w:t>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lending commitments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13,640 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(5,730)</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16,670 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Nonaccrual and past due loans are summarized below as of June 30, 2026 and December 31, 2025:</w:t>
      </w:r>
    </w:p>
    <w:tbl>
      <w:tblPr>
        <w:tblW w:w="11130" w:type="dxa"/>
        <w:jc w:val="left"/>
        <w:tblInd w:w="0" w:type="dxa"/>
        <w:tblLayout w:type="fixed"/>
        <w:tblCellMar>
          <w:top w:w="28" w:type="dxa"/>
          <w:left w:w="28" w:type="dxa"/>
          <w:bottom w:w="28" w:type="dxa"/>
          <w:right w:w="28" w:type="dxa"/>
        </w:tblCellMar>
      </w:tblPr>
      <w:tblGrid>
        <w:gridCol w:w="1100"/>
        <w:gridCol w:w="462"/>
        <w:gridCol w:w="209"/>
        <w:gridCol w:w="211"/>
        <w:gridCol w:w="721"/>
        <w:gridCol w:w="109"/>
        <w:gridCol w:w="109"/>
        <w:gridCol w:w="109"/>
        <w:gridCol w:w="109"/>
        <w:gridCol w:w="211"/>
        <w:gridCol w:w="466"/>
        <w:gridCol w:w="109"/>
        <w:gridCol w:w="109"/>
        <w:gridCol w:w="109"/>
        <w:gridCol w:w="109"/>
        <w:gridCol w:w="211"/>
        <w:gridCol w:w="721"/>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110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30-89</w:t>
              <w:br/>
              <w:t>Days</w:t>
              <w:br/>
              <w:t>Past</w:t>
              <w:br/>
              <w:t>Due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 Days</w:t>
              <w:br/>
              <w:t>and Greater</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Nonaccrual Loans with no ACL</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29,192 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loan fees and discounts,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net of deferred loan fees and discounts,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29,192 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561,936 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0" w:type="dxa"/>
            <w:gridSpan w:val="4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the nonaccrual loan balances are $19.0 million of SBA 7(a) loan balances guaranteed by the SBA.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920" w:type="dxa"/>
        <w:jc w:val="left"/>
        <w:tblInd w:w="0" w:type="dxa"/>
        <w:tblLayout w:type="fixed"/>
        <w:tblCellMar>
          <w:top w:w="28" w:type="dxa"/>
          <w:left w:w="28" w:type="dxa"/>
          <w:bottom w:w="28" w:type="dxa"/>
          <w:right w:w="28" w:type="dxa"/>
        </w:tblCellMar>
      </w:tblPr>
      <w:tblGrid>
        <w:gridCol w:w="1101"/>
        <w:gridCol w:w="358"/>
        <w:gridCol w:w="312"/>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22"/>
        <w:gridCol w:w="759"/>
        <w:gridCol w:w="115"/>
        <w:gridCol w:w="109"/>
        <w:gridCol w:w="109"/>
        <w:gridCol w:w="109"/>
        <w:gridCol w:w="247"/>
        <w:gridCol w:w="721"/>
        <w:gridCol w:w="128"/>
        <w:gridCol w:w="109"/>
        <w:gridCol w:w="109"/>
        <w:gridCol w:w="109"/>
        <w:gridCol w:w="211"/>
        <w:gridCol w:w="826"/>
        <w:gridCol w:w="109"/>
        <w:gridCol w:w="109"/>
        <w:gridCol w:w="109"/>
        <w:gridCol w:w="109"/>
        <w:gridCol w:w="211"/>
        <w:gridCol w:w="82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30-89</w:t>
              <w:br/>
              <w:t>Days</w:t>
              <w:br/>
              <w:t>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 Days</w:t>
              <w:br/>
              <w:t>and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Nonaccrual Loans with no ACL</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loan fees and discounts,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net of deferred loan fees and discounts,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578,347 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0" w:type="dxa"/>
            <w:gridSpan w:val="4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the nonaccrual loan balances are $23.9 million of SBA 7(a) loan balances guaranteed by the SBA.</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was no interest income recognized for the three months ended June 30, 2026 and 2025 while loans were classified as nonaccrual. The amount of accrued interest that was reversed against interest income on nonaccrual loans was approximately $31.5 thousand and $0.5 million for the three months ended June 30, 2026 and 2025, respectively, and $0.1 million and $0.6 million for the six months ended June 30, 2026 and 2025, respectively.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Pass </w:t>
      </w:r>
      <w:r>
        <w:rPr>
          <w:color w:val="000000"/>
          <w:shd w:fill="FFFFFF" w:val="clear"/>
        </w:rPr>
        <w:t xml:space="preserve">– </w:t>
      </w:r>
      <w:r>
        <w:rPr>
          <w:rFonts w:ascii="Times New Roman;serif" w:hAnsi="Times New Roman;serif"/>
          <w:b w:val="false"/>
          <w:color w:val="000000"/>
          <w:sz w:val="20"/>
          <w:shd w:fill="FFFFFF" w:val="clear"/>
        </w:rPr>
        <w:t>A Pass asset is higher quality and does not fit any of the other categories</w:t>
      </w:r>
      <w:r>
        <w:rPr>
          <w:color w:val="000000"/>
          <w:shd w:fill="FFFFFF" w:val="clear"/>
        </w:rPr>
        <w:t xml:space="preserve"> </w:t>
      </w:r>
      <w:r>
        <w:rPr>
          <w:rFonts w:ascii="Times New Roman;serif" w:hAnsi="Times New Roman;serif"/>
          <w:b w:val="false"/>
          <w:color w:val="000000"/>
          <w:sz w:val="20"/>
          <w:shd w:fill="FFFFFF" w:val="clear"/>
        </w:rPr>
        <w:t>described below. The likelihood of loss is believed to be remote.</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Watch </w:t>
      </w:r>
      <w:r>
        <w:rPr>
          <w:color w:val="000000"/>
          <w:shd w:fill="FFFFFF" w:val="clear"/>
        </w:rPr>
        <w:t xml:space="preserve">– </w:t>
      </w:r>
      <w:r>
        <w:rPr>
          <w:rFonts w:ascii="Times New Roman;serif" w:hAnsi="Times New Roman;serif"/>
          <w:b w:val="false"/>
          <w:color w:val="000000"/>
          <w:sz w:val="20"/>
          <w:shd w:fill="FFFFFF" w:val="clear"/>
        </w:rPr>
        <w:t xml:space="preserve">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Special Mention </w:t>
      </w:r>
      <w:r>
        <w:rPr>
          <w:color w:val="000000"/>
          <w:shd w:fill="FFFFFF" w:val="clear"/>
        </w:rPr>
        <w:t xml:space="preserve">– </w:t>
      </w:r>
      <w:r>
        <w:rPr>
          <w:rFonts w:ascii="Times New Roman;serif" w:hAnsi="Times New Roman;serif"/>
          <w:b w:val="false"/>
          <w:color w:val="000000"/>
          <w:sz w:val="20"/>
          <w:shd w:fill="FFFFFF" w:val="clear"/>
        </w:rPr>
        <w:t>A Special Mention asset has potential weaknesses that may be</w:t>
      </w:r>
      <w:r>
        <w:rPr>
          <w:color w:val="000000"/>
          <w:shd w:fill="FFFFFF" w:val="clear"/>
        </w:rPr>
        <w:t xml:space="preserve"> </w:t>
      </w:r>
      <w:r>
        <w:rPr>
          <w:rFonts w:ascii="Times New Roman;serif" w:hAnsi="Times New Roman;serif"/>
          <w:b w:val="false"/>
          <w:color w:val="000000"/>
          <w:sz w:val="20"/>
          <w:shd w:fill="FFFFFF" w:val="clear"/>
        </w:rPr>
        <w:t>temporary or, if left uncorrected, may result in a loss. While concerns exist, the Company believes that it is currently protected against a default and loss is considered unlikely and not imminent.</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Substandard </w:t>
      </w:r>
      <w:r>
        <w:rPr>
          <w:color w:val="000000"/>
          <w:shd w:fill="FFFFFF" w:val="clear"/>
        </w:rPr>
        <w:t xml:space="preserve">– </w:t>
      </w:r>
      <w:r>
        <w:rPr>
          <w:rFonts w:ascii="Times New Roman;serif" w:hAnsi="Times New Roman;serif"/>
          <w:b w:val="false"/>
          <w:color w:val="000000"/>
          <w:sz w:val="20"/>
          <w:shd w:fill="FFFFFF" w:val="clear"/>
        </w:rPr>
        <w:t>A Substandard asset is believed to be inadequately protected by the current</w:t>
      </w:r>
      <w:r>
        <w:rPr>
          <w:color w:val="000000"/>
          <w:shd w:fill="FFFFFF" w:val="clear"/>
        </w:rPr>
        <w:t xml:space="preserve"> </w:t>
      </w:r>
      <w:r>
        <w:rPr>
          <w:rFonts w:ascii="Times New Roman;serif" w:hAnsi="Times New Roman;serif"/>
          <w:b w:val="false"/>
          <w:color w:val="000000"/>
          <w:sz w:val="20"/>
          <w:shd w:fill="FFFFFF" w:val="clear"/>
        </w:rPr>
        <w:t>sound worth and paying capacity of the obligor or of the collateral pledged, if any. Assets so classified have identified weaknesses and are characterized by the possibility that the Company may sustain some loss if deficiencies are not corrected.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i/>
          <w:color w:val="000000"/>
          <w:sz w:val="20"/>
          <w:shd w:fill="FFFFFF" w:val="clear"/>
        </w:rPr>
        <w:t>Doubtful</w:t>
      </w:r>
      <w:r>
        <w:rPr>
          <w:color w:val="000000"/>
          <w:shd w:fill="FFFFFF" w:val="clear"/>
        </w:rPr>
        <w:t xml:space="preserve"> – </w:t>
      </w:r>
      <w:r>
        <w:rPr>
          <w:rFonts w:ascii="Times New Roman;serif" w:hAnsi="Times New Roman;serif"/>
          <w:b w:val="false"/>
          <w:color w:val="000000"/>
          <w:sz w:val="20"/>
          <w:shd w:fill="FFFFFF" w:val="clear"/>
        </w:rPr>
        <w:t>A doubtful asset has an existing weakness or weaknesses that make collection or liquidation in full, on the basis of currently existing facts and conditions, highly questionable and improbable.</w:t>
      </w:r>
    </w:p>
    <w:p>
      <w:pPr>
        <w:pStyle w:val="TextBody"/>
        <w:bidi w:val="0"/>
        <w:spacing w:lineRule="auto" w:line="288" w:before="200" w:after="283"/>
        <w:jc w:val="left"/>
        <w:rPr/>
      </w:pPr>
      <w:r>
        <w:rPr>
          <w:rFonts w:ascii="Times New Roman;serif" w:hAnsi="Times New Roman;serif"/>
          <w:b w:val="false"/>
          <w:i/>
          <w:color w:val="000000"/>
          <w:sz w:val="20"/>
          <w:shd w:fill="FFFFFF" w:val="clear"/>
        </w:rPr>
        <w:t>Loss</w:t>
      </w:r>
      <w:r>
        <w:rPr>
          <w:color w:val="000000"/>
          <w:shd w:fill="FFFFFF" w:val="clear"/>
        </w:rPr>
        <w:t xml:space="preserve"> – </w:t>
      </w:r>
      <w:r>
        <w:rPr>
          <w:rFonts w:ascii="Times New Roman;serif" w:hAnsi="Times New Roman;serif"/>
          <w:b w:val="false"/>
          <w:color w:val="000000"/>
          <w:sz w:val="20"/>
          <w:shd w:fill="FFFFFF" w:val="clear"/>
        </w:rPr>
        <w:t>A loss asset has an existing weakness or weaknesses that render the loan uncollectible and of such little value that continuing to carry as an asset on the Company’s books is not warranted. This classification does not mean that the loan has absolutely no recovery or salvage value, but rather it is not practical nor desirable to defer writing off this basically worthless asset, even though partial recovery may be effected in the future.</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Not Rated </w:t>
      </w:r>
      <w:r>
        <w:rPr>
          <w:color w:val="000000"/>
          <w:shd w:fill="FFFFFF" w:val="clear"/>
        </w:rPr>
        <w:t xml:space="preserve">– </w:t>
      </w:r>
      <w:r>
        <w:rPr>
          <w:rFonts w:ascii="Times New Roman;serif" w:hAnsi="Times New Roman;serif"/>
          <w:b w:val="false"/>
          <w:color w:val="000000"/>
          <w:sz w:val="20"/>
          <w:shd w:fill="FFFFFF" w:val="clear"/>
        </w:rPr>
        <w:t>For Strategic Program loans,</w:t>
      </w:r>
      <w:r>
        <w:rPr>
          <w:color w:val="000000"/>
          <w:shd w:fill="FFFFFF" w:val="clear"/>
        </w:rPr>
        <w:t xml:space="preserve"> </w:t>
      </w:r>
      <w:r>
        <w:rPr>
          <w:rFonts w:ascii="Times New Roman;serif" w:hAnsi="Times New Roman;serif"/>
          <w:b w:val="false"/>
          <w:color w:val="000000"/>
          <w:sz w:val="20"/>
          <w:shd w:fill="FFFFFF" w:val="clear"/>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 xml:space="preserve">Credit quality for Strategic Program loans is highly correlated with delinquency levels.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of the Company's loan and lease portfolio by collateral type, risk rating and origination year as of June 30, 2026, in addition to the gross writeoff by collateral type for the six months ended June 30, 2026. The loans are grouped based on how they are assessed under CECL.</w:t>
      </w:r>
    </w:p>
    <w:tbl>
      <w:tblPr>
        <w:tblW w:w="10492" w:type="dxa"/>
        <w:jc w:val="left"/>
        <w:tblInd w:w="0" w:type="dxa"/>
        <w:tblLayout w:type="fixed"/>
        <w:tblCellMar>
          <w:top w:w="28" w:type="dxa"/>
          <w:left w:w="28" w:type="dxa"/>
          <w:bottom w:w="28" w:type="dxa"/>
          <w:right w:w="28" w:type="dxa"/>
        </w:tblCellMar>
      </w:tblPr>
      <w:tblGrid>
        <w:gridCol w:w="510"/>
        <w:gridCol w:w="411"/>
        <w:gridCol w:w="265"/>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350"/>
        <w:gridCol w:w="109"/>
        <w:gridCol w:w="109"/>
        <w:gridCol w:w="109"/>
        <w:gridCol w:w="109"/>
        <w:gridCol w:w="240"/>
        <w:gridCol w:w="497"/>
        <w:gridCol w:w="134"/>
        <w:gridCol w:w="109"/>
        <w:gridCol w:w="109"/>
        <w:gridCol w:w="109"/>
        <w:gridCol w:w="196"/>
        <w:gridCol w:w="646"/>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Loans and Leases Amortized Cost Basis by Origination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Construction and land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Total </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7,913 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Residential real estate multifamily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75"/>
        <w:gridCol w:w="600"/>
        <w:gridCol w:w="604"/>
        <w:gridCol w:w="323"/>
        <w:gridCol w:w="323"/>
        <w:gridCol w:w="109"/>
        <w:gridCol w:w="109"/>
        <w:gridCol w:w="109"/>
        <w:gridCol w:w="109"/>
        <w:gridCol w:w="323"/>
        <w:gridCol w:w="323"/>
        <w:gridCol w:w="109"/>
        <w:gridCol w:w="109"/>
        <w:gridCol w:w="109"/>
        <w:gridCol w:w="109"/>
        <w:gridCol w:w="323"/>
        <w:gridCol w:w="323"/>
        <w:gridCol w:w="109"/>
        <w:gridCol w:w="109"/>
        <w:gridCol w:w="109"/>
        <w:gridCol w:w="109"/>
        <w:gridCol w:w="323"/>
        <w:gridCol w:w="323"/>
        <w:gridCol w:w="109"/>
        <w:gridCol w:w="109"/>
        <w:gridCol w:w="109"/>
        <w:gridCol w:w="109"/>
        <w:gridCol w:w="323"/>
        <w:gridCol w:w="323"/>
        <w:gridCol w:w="109"/>
        <w:gridCol w:w="109"/>
        <w:gridCol w:w="109"/>
        <w:gridCol w:w="109"/>
        <w:gridCol w:w="323"/>
        <w:gridCol w:w="323"/>
        <w:gridCol w:w="109"/>
        <w:gridCol w:w="109"/>
        <w:gridCol w:w="109"/>
        <w:gridCol w:w="109"/>
        <w:gridCol w:w="203"/>
        <w:gridCol w:w="203"/>
        <w:gridCol w:w="109"/>
        <w:gridCol w:w="109"/>
        <w:gridCol w:w="109"/>
        <w:gridCol w:w="109"/>
        <w:gridCol w:w="368"/>
        <w:gridCol w:w="368"/>
        <w:gridCol w:w="156"/>
      </w:tblGrid>
      <w:tr>
        <w:trPr/>
        <w:tc>
          <w:tcPr>
            <w:tcW w:w="77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Commercial real estate - 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186,751 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Commercial real estate - non-owner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Commercial and industrial</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24,916 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Consumer </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17,012 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Lease financing receivables</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83,077 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1503" w:type="dxa"/>
        <w:jc w:val="left"/>
        <w:tblInd w:w="0" w:type="dxa"/>
        <w:tblLayout w:type="fixed"/>
        <w:tblCellMar>
          <w:top w:w="28" w:type="dxa"/>
          <w:left w:w="28" w:type="dxa"/>
          <w:bottom w:w="28" w:type="dxa"/>
          <w:right w:w="28" w:type="dxa"/>
        </w:tblCellMar>
      </w:tblPr>
      <w:tblGrid>
        <w:gridCol w:w="774"/>
        <w:gridCol w:w="258"/>
        <w:gridCol w:w="25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7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Retained Strategic Program loans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Watch - 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 Rated-without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 Rated-with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writeoff-without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writeoff-with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period gross writeoff</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(18,226)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portfolio loans receivable, gross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571,386 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loan fees and discounts,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portfolio loans receivable, net of deferred loans fees and discounts,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177,941 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561,936 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period gross writeoff</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(1,800)</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(17,188)</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(23,853)</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of the Company's loan and lease portfolio by collateral type, risk rating and origination year as of December 31, 2025, in addition to the gross writeoff by collateral type for the year ended December 31, 2025. The loans are grouped based on how they are assessed under CECL.</w:t>
      </w:r>
    </w:p>
    <w:tbl>
      <w:tblPr>
        <w:tblW w:w="10403" w:type="dxa"/>
        <w:jc w:val="left"/>
        <w:tblInd w:w="0" w:type="dxa"/>
        <w:tblLayout w:type="fixed"/>
        <w:tblCellMar>
          <w:top w:w="28" w:type="dxa"/>
          <w:left w:w="28" w:type="dxa"/>
          <w:bottom w:w="28" w:type="dxa"/>
          <w:right w:w="28" w:type="dxa"/>
        </w:tblCellMar>
      </w:tblPr>
      <w:tblGrid>
        <w:gridCol w:w="610"/>
        <w:gridCol w:w="293"/>
        <w:gridCol w:w="28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406"/>
        <w:gridCol w:w="109"/>
        <w:gridCol w:w="109"/>
        <w:gridCol w:w="109"/>
        <w:gridCol w:w="109"/>
        <w:gridCol w:w="240"/>
        <w:gridCol w:w="497"/>
        <w:gridCol w:w="134"/>
        <w:gridCol w:w="109"/>
        <w:gridCol w:w="109"/>
        <w:gridCol w:w="109"/>
        <w:gridCol w:w="196"/>
        <w:gridCol w:w="646"/>
        <w:gridCol w:w="154"/>
      </w:tblGrid>
      <w:tr>
        <w:trPr/>
        <w:tc>
          <w:tcPr>
            <w:tcW w:w="6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Loans and Leases Amortized Cost Basis by Origination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Construction and land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Total </w:t>
            </w:r>
          </w:p>
        </w:tc>
        <w:tc>
          <w:tcPr>
            <w:tcW w:w="84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27,443 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12,288 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49,070 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47"/>
        <w:gridCol w:w="560"/>
        <w:gridCol w:w="562"/>
        <w:gridCol w:w="323"/>
        <w:gridCol w:w="323"/>
        <w:gridCol w:w="109"/>
        <w:gridCol w:w="109"/>
        <w:gridCol w:w="109"/>
        <w:gridCol w:w="109"/>
        <w:gridCol w:w="323"/>
        <w:gridCol w:w="323"/>
        <w:gridCol w:w="109"/>
        <w:gridCol w:w="109"/>
        <w:gridCol w:w="109"/>
        <w:gridCol w:w="109"/>
        <w:gridCol w:w="323"/>
        <w:gridCol w:w="323"/>
        <w:gridCol w:w="109"/>
        <w:gridCol w:w="109"/>
        <w:gridCol w:w="109"/>
        <w:gridCol w:w="109"/>
        <w:gridCol w:w="321"/>
        <w:gridCol w:w="325"/>
        <w:gridCol w:w="109"/>
        <w:gridCol w:w="109"/>
        <w:gridCol w:w="109"/>
        <w:gridCol w:w="109"/>
        <w:gridCol w:w="277"/>
        <w:gridCol w:w="279"/>
        <w:gridCol w:w="109"/>
        <w:gridCol w:w="109"/>
        <w:gridCol w:w="109"/>
        <w:gridCol w:w="109"/>
        <w:gridCol w:w="321"/>
        <w:gridCol w:w="325"/>
        <w:gridCol w:w="109"/>
        <w:gridCol w:w="109"/>
        <w:gridCol w:w="109"/>
        <w:gridCol w:w="109"/>
        <w:gridCol w:w="203"/>
        <w:gridCol w:w="203"/>
        <w:gridCol w:w="109"/>
        <w:gridCol w:w="109"/>
        <w:gridCol w:w="109"/>
        <w:gridCol w:w="109"/>
        <w:gridCol w:w="368"/>
        <w:gridCol w:w="368"/>
        <w:gridCol w:w="156"/>
      </w:tblGrid>
      <w:tr>
        <w:trPr/>
        <w:tc>
          <w:tcPr>
            <w:tcW w:w="94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Residential real estate</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Residential real estate multifamily</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Commercial real estate - 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210,556 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Commercial real estate - non-owner occupied</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Commercial and industrial</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1173" w:type="dxa"/>
        <w:jc w:val="left"/>
        <w:tblInd w:w="0" w:type="dxa"/>
        <w:tblLayout w:type="fixed"/>
        <w:tblCellMar>
          <w:top w:w="28" w:type="dxa"/>
          <w:left w:w="28" w:type="dxa"/>
          <w:bottom w:w="28" w:type="dxa"/>
          <w:right w:w="28" w:type="dxa"/>
        </w:tblCellMar>
      </w:tblPr>
      <w:tblGrid>
        <w:gridCol w:w="849"/>
        <w:gridCol w:w="219"/>
        <w:gridCol w:w="223"/>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8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Consumer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Lease financing receivables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Retained Strategic Program loans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Pass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Watch - 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 Rated-without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 Rated-with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129,768 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writeoff-without credit enhancement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gross writeoff-with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period gross writeoff</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portfolio loans receivable, gross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753" w:type="dxa"/>
        <w:jc w:val="left"/>
        <w:tblInd w:w="0" w:type="dxa"/>
        <w:tblLayout w:type="fixed"/>
        <w:tblCellMar>
          <w:top w:w="28" w:type="dxa"/>
          <w:left w:w="28" w:type="dxa"/>
          <w:bottom w:w="28" w:type="dxa"/>
          <w:right w:w="28" w:type="dxa"/>
        </w:tblCellMar>
      </w:tblPr>
      <w:tblGrid>
        <w:gridCol w:w="334"/>
        <w:gridCol w:w="268"/>
        <w:gridCol w:w="26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3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loan fees and discounts,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portfolio loans receivable, net of deferred loans fees and discounts,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578,347 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period gross writeoff</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(6,614)</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(5,513)</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(1,652)</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(16,413)</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Allowance for Credit Losses - Strategic Program Loans with Credit Enhancement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partners with certain Strategic Program service providers who offer credit enhancement on loans, indemnifying or reimbursing the Bank for credit and fraud losses. In line with GAAP, we estimate and record expected loss provisions for these loans without factoring in the credit enhancement. When these provisions are recorded, a corresponding credit enhancement asset is recognized, reflecting anticipated recoveries under the service provider’s guarantee. Reimbursements are made through a deposit reserve account, which the provider replenishes periodically. The credit enhancement asset is reduced as payments or recoveries are received from the provider or its reserve account. The table below shows the activity in the credit enhancement asset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6"/>
        <w:gridCol w:w="1008"/>
        <w:gridCol w:w="991"/>
        <w:gridCol w:w="673"/>
        <w:gridCol w:w="2303"/>
        <w:gridCol w:w="348"/>
        <w:gridCol w:w="109"/>
        <w:gridCol w:w="109"/>
        <w:gridCol w:w="109"/>
        <w:gridCol w:w="644"/>
        <w:gridCol w:w="2202"/>
        <w:gridCol w:w="473"/>
      </w:tblGrid>
      <w:tr>
        <w:trPr/>
        <w:tc>
          <w:tcPr>
            <w:tcW w:w="123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Year Ended December 31, 2025</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asset at beginning of period</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22,411 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income</w:t>
            </w:r>
          </w:p>
        </w:tc>
        <w:tc>
          <w:tcPr>
            <w:tcW w:w="2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23,924 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losses settled with partner during period</w:t>
            </w:r>
          </w:p>
        </w:tc>
        <w:tc>
          <w:tcPr>
            <w:tcW w:w="2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(12,738)</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 enhancement reclassification</w:t>
            </w:r>
            <w:r>
              <w:rPr>
                <w:rFonts w:ascii="Times New Roman;serif" w:hAnsi="Times New Roman;serif"/>
                <w:b w:val="false"/>
                <w:color w:val="000000"/>
                <w:sz w:val="13"/>
              </w:rPr>
              <w:t>(1)</w:t>
            </w:r>
          </w:p>
        </w:tc>
        <w:tc>
          <w:tcPr>
            <w:tcW w:w="2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3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9"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asset at end of period</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31,906 </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22,411 </w:t>
            </w:r>
          </w:p>
        </w:tc>
        <w:tc>
          <w:tcPr>
            <w:tcW w:w="4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Credit enhancement asset related to loans reclassified following a strategic program provider’s exit from the credit enhancement program.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Modified Loans to Troubled Borrowers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Modified loans to troubled borrowers arise from a modification made to a loan in order to alleviate temporary difficulties in the borrower’s financial condition or constraints on the borrower’s ability to repay the loan, and to minimize potential losses to the Company. GAAP requires that certain types of modifications be reported, which consist of the following: principal forgiveness, interest rate reduction, other-than-insignificant payment delay, term extension, or any combination of the foregoing. </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Modified Loans Held-for-Investment (Excluding Retained Strategic Program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June 30, 2025 there were no new material loan modifications to loans held-for-investment, excluding Strategic Program loans which are discussed separately below. There were no payment defaults during the three and six months ended June 30, 2026. During the six months ended June 30, 2025, there was a payment default of $0.2 million on a commercial real estate owner occupied loan to a borrower whose loan was modified due to financial difficulties within the previous twelve months and the loan was placed on nonaccrual status. The loan was paid in full during 2025.</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Modified Retained Strategic Program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Retained Strategic Program loans of $144.6 million and $129.8 million as of June 30, 2026 and December 31, 2025, respectively, consist of personal loans to individuals and loans to businesses. A significant amount of the retained Strategic Program loans are made to subprime borrowers. The subprime borrowers’ ability to repay the loans according to the original loan terms can be compromised by both short-term financial challenges, such as unexpected car repairs or physical injury, and longer-term financial challenges, such as a job loss or more serious injury or illness.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certain circumstances, some of the Company’s strategic programs will modify the original loan terms to optimize the recovery of principal and interest. The loan modifications may include (1) a delay in payment and extension of the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term, or (2) accrued interest forgiveness and interest rate and payment reductions. As of June 30, 2026 and December 31, 2025, the balance of outstanding modified loans to individuals in the retained portfolio was approximately $0.2 million and $0.2 million, respectively. The Company does not have any obligation to fund additional amounts to the borrowers. If after modification, some or all of the loan is determined to be uncollectible, the full balance determined to be uncollectible is charged off. The amount charged off is included in the Company’s vintage analysis used to estimate the Company’s allowance for credit losses.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Collateral-Dependent Loans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collateral-dependent loan is a nonaccrual loan for which the Bank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the amortized cost basis of collateral-dependent loans by class of loans as of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7"/>
        <w:gridCol w:w="950"/>
        <w:gridCol w:w="956"/>
        <w:gridCol w:w="653"/>
        <w:gridCol w:w="1442"/>
        <w:gridCol w:w="338"/>
        <w:gridCol w:w="109"/>
        <w:gridCol w:w="109"/>
        <w:gridCol w:w="109"/>
        <w:gridCol w:w="215"/>
        <w:gridCol w:w="737"/>
        <w:gridCol w:w="110"/>
        <w:gridCol w:w="109"/>
        <w:gridCol w:w="109"/>
        <w:gridCol w:w="109"/>
        <w:gridCol w:w="370"/>
        <w:gridCol w:w="1083"/>
        <w:gridCol w:w="191"/>
        <w:gridCol w:w="109"/>
        <w:gridCol w:w="109"/>
        <w:gridCol w:w="109"/>
        <w:gridCol w:w="211"/>
        <w:gridCol w:w="721"/>
        <w:gridCol w:w="160"/>
      </w:tblGrid>
      <w:tr>
        <w:trPr/>
        <w:tc>
          <w:tcPr>
            <w:tcW w:w="108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Collateral Type</w:t>
            </w:r>
          </w:p>
        </w:tc>
      </w:tr>
      <w:tr>
        <w:trPr/>
        <w:tc>
          <w:tcPr>
            <w:tcW w:w="2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34,976 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37,651 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 of collateral-dependent loans as of June 30, 2026 include $19.0 million of SBA 7(a) loan balances that are guaranteed by the SBA.</w:t>
      </w:r>
    </w:p>
    <w:tbl>
      <w:tblPr>
        <w:tblW w:w="10205" w:type="dxa"/>
        <w:jc w:val="left"/>
        <w:tblInd w:w="0" w:type="dxa"/>
        <w:tblLayout w:type="fixed"/>
        <w:tblCellMar>
          <w:top w:w="28" w:type="dxa"/>
          <w:left w:w="28" w:type="dxa"/>
          <w:bottom w:w="28" w:type="dxa"/>
          <w:right w:w="28" w:type="dxa"/>
        </w:tblCellMar>
      </w:tblPr>
      <w:tblGrid>
        <w:gridCol w:w="1086"/>
        <w:gridCol w:w="952"/>
        <w:gridCol w:w="956"/>
        <w:gridCol w:w="653"/>
        <w:gridCol w:w="1442"/>
        <w:gridCol w:w="338"/>
        <w:gridCol w:w="109"/>
        <w:gridCol w:w="109"/>
        <w:gridCol w:w="109"/>
        <w:gridCol w:w="215"/>
        <w:gridCol w:w="737"/>
        <w:gridCol w:w="110"/>
        <w:gridCol w:w="109"/>
        <w:gridCol w:w="109"/>
        <w:gridCol w:w="109"/>
        <w:gridCol w:w="370"/>
        <w:gridCol w:w="1082"/>
        <w:gridCol w:w="191"/>
        <w:gridCol w:w="109"/>
        <w:gridCol w:w="109"/>
        <w:gridCol w:w="109"/>
        <w:gridCol w:w="211"/>
        <w:gridCol w:w="721"/>
        <w:gridCol w:w="160"/>
      </w:tblGrid>
      <w:tr>
        <w:trPr/>
        <w:tc>
          <w:tcPr>
            <w:tcW w:w="108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Collateral Type</w:t>
            </w:r>
          </w:p>
        </w:tc>
      </w:tr>
      <w:tr>
        <w:trPr/>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4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2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40,056 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amount of collateral-dependent loans as of December 31, 2025 include $23.9 million of SBA 7(a) loan balances that are guaranteed by the SBA.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 SBA Servicing Asset,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periodically sells the guaranteed portions of SBA loans and retains rights to service the loans. Loans serviced for others are not included in the accompanying balance sheets. The unpaid principal balances of SBA loans serviced for others was $298.9 million and $275.8 million at June 30, 2026 and December 31, 2025, respectively. The Company’s SBA servicing asset is recognized in other assets on the 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SBA servicing asset, net activity for the periods indicated:</w:t>
      </w:r>
    </w:p>
    <w:tbl>
      <w:tblPr>
        <w:tblW w:w="7425" w:type="dxa"/>
        <w:jc w:val="left"/>
        <w:tblInd w:w="0" w:type="dxa"/>
        <w:tblLayout w:type="fixed"/>
        <w:tblCellMar>
          <w:top w:w="28" w:type="dxa"/>
          <w:left w:w="28" w:type="dxa"/>
          <w:bottom w:w="28" w:type="dxa"/>
          <w:right w:w="28" w:type="dxa"/>
        </w:tblCellMar>
      </w:tblPr>
      <w:tblGrid>
        <w:gridCol w:w="961"/>
        <w:gridCol w:w="845"/>
        <w:gridCol w:w="84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servicing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servicing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fair value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in the valuation allowance for the SBA servicing asset was as follows for the periods indicated:</w:t>
      </w:r>
    </w:p>
    <w:tbl>
      <w:tblPr>
        <w:tblW w:w="7710" w:type="dxa"/>
        <w:jc w:val="left"/>
        <w:tblInd w:w="0" w:type="dxa"/>
        <w:tblLayout w:type="fixed"/>
        <w:tblCellMar>
          <w:top w:w="28" w:type="dxa"/>
          <w:left w:w="28" w:type="dxa"/>
          <w:bottom w:w="28" w:type="dxa"/>
          <w:right w:w="28" w:type="dxa"/>
        </w:tblCellMar>
      </w:tblPr>
      <w:tblGrid>
        <w:gridCol w:w="956"/>
        <w:gridCol w:w="840"/>
        <w:gridCol w:w="844"/>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Recovery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Recovery or impairment adjustments to servicing rights are mainly due to market-based assumptions associated with discounted cash flows, loan prepayment speeds, and changes in interest rates. A significant change in these assumptions could result in a significant change in the SBA servicing asset carrying amount.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assumed a weighted average prepayment rate of 19.2%, weighted average term of 3.42 years, and a weighted average discount rate of 11.9% at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assumed a weighted average prepayment rate of 19.1%, weighted average term of 3.46 years, and a weighted average discount rate of 12.3%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 Capital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risk-weighting, and other factors. Prompt corrective action provisions are not applicable to the bank holding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June 30, 2026 and December 31, 2025, that the Bank’s capital levels exceed the regulatory floors required to be classified as a well-capitalized bank.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amount and ratio of capital required to be categorized as well-capitalized as of the dates indicated:</w:t>
      </w:r>
    </w:p>
    <w:tbl>
      <w:tblPr>
        <w:tblW w:w="7412" w:type="dxa"/>
        <w:jc w:val="left"/>
        <w:tblInd w:w="0" w:type="dxa"/>
        <w:tblLayout w:type="fixed"/>
        <w:tblCellMar>
          <w:top w:w="28" w:type="dxa"/>
          <w:left w:w="28" w:type="dxa"/>
          <w:bottom w:w="28" w:type="dxa"/>
          <w:right w:w="28" w:type="dxa"/>
        </w:tblCellMar>
      </w:tblPr>
      <w:tblGrid>
        <w:gridCol w:w="972"/>
        <w:gridCol w:w="854"/>
        <w:gridCol w:w="858"/>
        <w:gridCol w:w="211"/>
        <w:gridCol w:w="826"/>
        <w:gridCol w:w="109"/>
        <w:gridCol w:w="109"/>
        <w:gridCol w:w="109"/>
        <w:gridCol w:w="109"/>
        <w:gridCol w:w="233"/>
        <w:gridCol w:w="233"/>
        <w:gridCol w:w="341"/>
        <w:gridCol w:w="109"/>
        <w:gridCol w:w="109"/>
        <w:gridCol w:w="109"/>
        <w:gridCol w:w="211"/>
        <w:gridCol w:w="721"/>
        <w:gridCol w:w="109"/>
        <w:gridCol w:w="109"/>
        <w:gridCol w:w="109"/>
        <w:gridCol w:w="109"/>
        <w:gridCol w:w="180"/>
        <w:gridCol w:w="181"/>
        <w:gridCol w:w="392"/>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Well-Capitalized</w:t>
              <w:br/>
              <w:t xml:space="preserve">Requirement </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Ratio </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Bank Dividends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Federal statute and federal and state regulations and supervisory guidance, as well as prudent capital management practices, limits the dividends that a bank holding company should pay as dividends or other distribution of capital. Generally, dividends should be paid only if the existing capital and future earnings expectations exceeds its current and estimated future capital needs, and payment of such dividend or capital distribution does not compromise the entity’s compliance with the capital rules or the current and future safety and soundness of the holding company or its subsidiary banks. If a subsidiary bank is significantly undercapitalized, or undercapitalized without an acceptable capital restoration plan, regulators may require prior Federal Reserve approval for any dividend or capital distribution.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since FinWise Bancorp is a legal entity separate and distinct from the Bank and does not conduct stand-alone operations, an ability to pay dividends depends on the ability of the Bank to pay dividends to FinWise Bancorp.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not paid any cash dividends on its common stock since inception and it does not intend to pay cash dividends in the foreseeable future. However, the Company’s Board of Directors may declare a cash or stock dividend out of retained earnings provided the regulatory capital ratio and other regulatory requirements are met. The Company plans to maintain capital ratios that meet or exceed the well-capitalized standards per the regulations and, therefore, would limit dividends to amounts that are appropriate to maintain those well-capitalized regulatory capital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 –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Federal Home Loan Bank Secured Line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Bank’s available line of credit with the FHLB to borrow funds was $10.8 million and $20.5 million, respectively. All borrowings are short-term and the interest rate is equal to the correspondent bank’s daily federal funds purchase rate. As of June 30, 2026 and December 31, 2025, no amounts were outstanding under the line of credit. Loans totaling $18.0 million and $34.2 million were pledged to secure the FHLB line of credit as of June 30, 2026 and December 31, 2025,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Federal Reserve Bank Lines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Bank had a maximum borrowing capacity of $177.0 million and $193.8 million, respectively, with the FRB, including the secured borrowing capacity through the Discount Window and the Borrower-in-Custody (“BIC”) program, to the extent of collateral pledged. Loans totaling $213.3 million and $235.8 million and securities of $36.4 million and $37.4 million were pledged to secure these lines of credit with the FRB as of June 30, 2026 and December 31, 2025, respectively. The Company had no advances outstanding under either program as of June 30, 2026 and December 31,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Lines of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Bank had an available unsecured line of credit with Pacific Coast Bankers’ Bank to borrow up to $10.0 million in overnight funds at June 30, 2026 and December 31, 2025. Through Zions Bank, the Bank had an available unsecured 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credit of $5.0 million at June 30, 2026 and December 31, 2025. The Bank had an available line of credit with Bankers’ Bank of the West to borrow up to $1.1 million in overnight funds at June 30, 2026 and December 31, 2025. The Bank had no outstanding balances on such unsecured or secured lines of credit as of June 30, 2026 and December 31, 2025.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Instruments with Off-Balance-Sheet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Commitments to Extend Credit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Bank has entered into commitments to extend credit to customers which have not yet been exercised. These financial instruments include commitments to extend credit in the form of loans and credit card arrangements. Those instruments involve to varying degrees, elements of credit and interest rate risk in excess of the amount recognized in the balance sheets. For credit card customers, the Company reserves the right to modify or terminate the terms and conditions of credit card accounts at its discretion. It is important to note that a significant portion of the Company’s commitments and undrawn credit card lines are not fully utilized by customers, so the total amount of these commitments does not necessarily reflect the Company’s future cash obligations. The Company assesses each customer’s credit profile individually to determine creditworthiness. The Company’s commitments to extend credit as of the periods indicated are summarized below. Since commitments associated with commitments to extend credit may expire unused, the amounts shown in the table below do not necessarily reflect the actual future cash funding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financial instruments with off-balance-sheet risk were as follows:</w:t>
      </w:r>
    </w:p>
    <w:tbl>
      <w:tblPr>
        <w:tblW w:w="6241" w:type="dxa"/>
        <w:jc w:val="left"/>
        <w:tblInd w:w="0" w:type="dxa"/>
        <w:tblLayout w:type="fixed"/>
        <w:tblCellMar>
          <w:top w:w="28" w:type="dxa"/>
          <w:left w:w="28" w:type="dxa"/>
          <w:bottom w:w="28" w:type="dxa"/>
          <w:right w:w="28" w:type="dxa"/>
        </w:tblCellMar>
      </w:tblPr>
      <w:tblGrid>
        <w:gridCol w:w="1254"/>
        <w:gridCol w:w="1103"/>
        <w:gridCol w:w="1107"/>
        <w:gridCol w:w="211"/>
        <w:gridCol w:w="826"/>
        <w:gridCol w:w="109"/>
        <w:gridCol w:w="109"/>
        <w:gridCol w:w="109"/>
        <w:gridCol w:w="109"/>
        <w:gridCol w:w="231"/>
        <w:gridCol w:w="905"/>
        <w:gridCol w:w="168"/>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open-end lines of credit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arrangements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Undisbursed commercial real estate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unused commitments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unfunded loan commitments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340,677 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Allowance for Credit Losses on Unfunded Commitments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$0.7 million and $0.6 million as of June 30, 2026 and December 31, 2025, respectively.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Class Action Litigation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notified approximately 600,000 individuals of an alleged data breach in which their personal data was exposed by a former employee following termination of their employment. Subsequently, several class action lawsuits were filed, all of which have been consolidated into a single class action lawsuit in Utah federal court. The Company participated in a pre-discovery mediation with the plaintiffs’ attorneys on March 17, 2026, which resulted in a settlement agreement that was submitted to the court for approval on May 8, 2026. On July 1, 2026 the court preliminarily approved the settlement fund, which, including all fees and expense associated with the proceedings, is expected to be covered in full by the Company’s cyber insurance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7 – Stock-Based Compensation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 Plans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2019 Stock Plan (“2019 Plan”) was adopted on June 20, 2019 following approval by the Company’s Board of Directors and shareholders. The 2019 Plan will terminate as to future awards 10 years from the later of the effective date or the earlier of the most recent Board or stockholder approval of an increase in the number of shares reserved for issuance under the 2019 Plan. On June 25, 2026, the shareholders of the Company approved an amendment to the 2019 Plan increasing the number of shares of common stock reserved for issuance under the plan by an additional 750,000 shares to 2,530,000. At June 30, 2026, 877,334 shares under the 2019 Plan were available for future issuance.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2016 Stock Plan (“2016 Plan”) was adopted on April 20, 2017 following approval by the Company’s Board of Directors and shareholders.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June 30, 2026, 3,189 shares under the 2016 Plan were available for future issuance.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2019 Plan and the 2016 Plan (collectively, the “Plans”) provide for the issuance of non-statutory stock options and restricted stock to employees, directors and consultants. The Plans also provide for the issuance of incentive stock options only to employees. The stock-based incentive awards for the Plans are granted at an exercise price not less than the fair market value of the Company’s common stock on the date of grant in the case of stock options. Restricted stock is valued based on the fair market value of the Company’s common stock on the grant date. Vesting of the options vary by employee or director and can have a term no more than 10 years, with the options generally having vesting periods ranging from 1 to 5 years. Restricted stock vests over periods ranging from approximately 1 to 5 years. Upon the exercise of stock</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options, the Company issues new authorized shares.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 the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or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stock option activity for the six months ended June 30, 2026:</w:t>
      </w:r>
    </w:p>
    <w:tbl>
      <w:tblPr>
        <w:tblW w:w="9851" w:type="dxa"/>
        <w:jc w:val="left"/>
        <w:tblInd w:w="0" w:type="dxa"/>
        <w:tblLayout w:type="fixed"/>
        <w:tblCellMar>
          <w:top w:w="28" w:type="dxa"/>
          <w:left w:w="28" w:type="dxa"/>
          <w:bottom w:w="28" w:type="dxa"/>
          <w:right w:w="28" w:type="dxa"/>
        </w:tblCellMar>
      </w:tblPr>
      <w:tblGrid>
        <w:gridCol w:w="1457"/>
        <w:gridCol w:w="1280"/>
        <w:gridCol w:w="1283"/>
        <w:gridCol w:w="263"/>
        <w:gridCol w:w="263"/>
        <w:gridCol w:w="268"/>
        <w:gridCol w:w="109"/>
        <w:gridCol w:w="109"/>
        <w:gridCol w:w="109"/>
        <w:gridCol w:w="232"/>
        <w:gridCol w:w="563"/>
        <w:gridCol w:w="121"/>
        <w:gridCol w:w="109"/>
        <w:gridCol w:w="109"/>
        <w:gridCol w:w="109"/>
        <w:gridCol w:w="599"/>
        <w:gridCol w:w="599"/>
        <w:gridCol w:w="601"/>
        <w:gridCol w:w="109"/>
        <w:gridCol w:w="109"/>
        <w:gridCol w:w="109"/>
        <w:gridCol w:w="211"/>
        <w:gridCol w:w="97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 Remaining</w:t>
              <w:br/>
              <w:t>Contractual</w:t>
              <w:br/>
              <w:t>Life (in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8,744,727 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7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at June 30, 2026</w:t>
            </w:r>
          </w:p>
        </w:tc>
        <w:tc>
          <w:tcPr>
            <w:tcW w:w="794"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5,643,993 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bookmarkStart w:id="0" w:name="ie57d58a12bf141ca9f8be803b2705bb7_3715"/>
      <w:bookmarkEnd w:id="0"/>
      <w:r>
        <w:rPr>
          <w:rFonts w:ascii="Times New Roman;serif" w:hAnsi="Times New Roman;serif"/>
          <w:b/>
          <w:i/>
          <w:color w:val="000000"/>
          <w:sz w:val="20"/>
        </w:rPr>
        <w:t>Restricted Stock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restricted stock activity for the six months ended June 30, 2026:</w:t>
      </w:r>
    </w:p>
    <w:tbl>
      <w:tblPr>
        <w:tblW w:w="8546" w:type="dxa"/>
        <w:jc w:val="left"/>
        <w:tblInd w:w="0" w:type="dxa"/>
        <w:tblLayout w:type="fixed"/>
        <w:tblCellMar>
          <w:top w:w="28" w:type="dxa"/>
          <w:left w:w="28" w:type="dxa"/>
          <w:bottom w:w="28" w:type="dxa"/>
          <w:right w:w="28" w:type="dxa"/>
        </w:tblCellMar>
      </w:tblPr>
      <w:tblGrid>
        <w:gridCol w:w="1060"/>
        <w:gridCol w:w="931"/>
        <w:gridCol w:w="934"/>
        <w:gridCol w:w="539"/>
        <w:gridCol w:w="539"/>
        <w:gridCol w:w="541"/>
        <w:gridCol w:w="109"/>
        <w:gridCol w:w="109"/>
        <w:gridCol w:w="109"/>
        <w:gridCol w:w="790"/>
        <w:gridCol w:w="2308"/>
        <w:gridCol w:w="577"/>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16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that vested during the six months ended June 30, 2026 and 2025 was $3.1 million and $2.1 million,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stock-based compensation expense recognized and income tax benefit for stock-based compensation related to restricted shares:</w:t>
      </w:r>
    </w:p>
    <w:tbl>
      <w:tblPr>
        <w:tblW w:w="8399" w:type="dxa"/>
        <w:jc w:val="left"/>
        <w:tblInd w:w="0" w:type="dxa"/>
        <w:tblLayout w:type="fixed"/>
        <w:tblCellMar>
          <w:top w:w="28" w:type="dxa"/>
          <w:left w:w="28" w:type="dxa"/>
          <w:bottom w:w="28" w:type="dxa"/>
          <w:right w:w="28" w:type="dxa"/>
        </w:tblCellMar>
      </w:tblPr>
      <w:tblGrid>
        <w:gridCol w:w="1369"/>
        <w:gridCol w:w="1201"/>
        <w:gridCol w:w="12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restricted shares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unrecognized stock-based compensation expense related to stock options and restricted stock of approximately $1.7 thousand and $3.5 million, respectively, which is expected to be recognized over the remaining weighted average recognition period of 1.2 years and 1.5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 Fair Value of Financial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TextBody"/>
        <w:bidi w:val="0"/>
        <w:spacing w:lineRule="auto" w:line="288" w:before="200" w:after="283"/>
        <w:jc w:val="left"/>
        <w:rPr/>
      </w:pPr>
      <w:r>
        <w:rPr>
          <w:rFonts w:ascii="Times New Roman;serif" w:hAnsi="Times New Roman;serif"/>
          <w:b/>
          <w:color w:val="000000"/>
          <w:sz w:val="20"/>
        </w:rPr>
        <w:t xml:space="preserve">Level 1 </w:t>
      </w:r>
      <w:r>
        <w:rPr>
          <w:color w:val="000000"/>
        </w:rPr>
        <w:t xml:space="preserve">– </w:t>
      </w:r>
      <w:r>
        <w:rPr>
          <w:rFonts w:ascii="Times New Roman;serif" w:hAnsi="Times New Roman;serif"/>
          <w:b w:val="false"/>
          <w:color w:val="000000"/>
          <w:sz w:val="20"/>
        </w:rPr>
        <w:t>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bidi w:val="0"/>
        <w:spacing w:lineRule="auto" w:line="288" w:before="200" w:after="283"/>
        <w:jc w:val="left"/>
        <w:rPr/>
      </w:pPr>
      <w:r>
        <w:rPr>
          <w:rFonts w:ascii="Times New Roman;serif" w:hAnsi="Times New Roman;serif"/>
          <w:b/>
          <w:color w:val="000000"/>
          <w:sz w:val="20"/>
        </w:rPr>
        <w:t xml:space="preserve">Level 2 </w:t>
      </w:r>
      <w:r>
        <w:rPr>
          <w:color w:val="000000"/>
        </w:rPr>
        <w:t xml:space="preserve">– </w:t>
      </w:r>
      <w:r>
        <w:rPr>
          <w:rFonts w:ascii="Times New Roman;serif" w:hAnsi="Times New Roman;serif"/>
          <w:b w:val="false"/>
          <w:color w:val="000000"/>
          <w:sz w:val="20"/>
        </w:rPr>
        <w:t>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TextBody"/>
        <w:bidi w:val="0"/>
        <w:spacing w:lineRule="auto" w:line="288" w:before="200" w:after="283"/>
        <w:jc w:val="left"/>
        <w:rPr/>
      </w:pPr>
      <w:r>
        <w:rPr>
          <w:rFonts w:ascii="Times New Roman;serif" w:hAnsi="Times New Roman;serif"/>
          <w:b/>
          <w:color w:val="000000"/>
          <w:sz w:val="20"/>
        </w:rPr>
        <w:t xml:space="preserve">Level 3 </w:t>
      </w:r>
      <w:r>
        <w:rPr>
          <w:color w:val="000000"/>
        </w:rPr>
        <w:t xml:space="preserve">– </w:t>
      </w:r>
      <w:r>
        <w:rPr>
          <w:rFonts w:ascii="Times New Roman;serif" w:hAnsi="Times New Roman;serif"/>
          <w:b w:val="false"/>
          <w:color w:val="000000"/>
          <w:sz w:val="20"/>
        </w:rPr>
        <w:t>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 There were no transfers between fair value levels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methods were used to estimate the fair value of each class of financial instruments on a recurring basis:</w:t>
      </w:r>
    </w:p>
    <w:p>
      <w:pPr>
        <w:pStyle w:val="TextBody"/>
        <w:bidi w:val="0"/>
        <w:spacing w:lineRule="auto" w:line="288" w:before="200" w:after="283"/>
        <w:jc w:val="left"/>
        <w:rPr/>
      </w:pPr>
      <w:r>
        <w:rPr>
          <w:rFonts w:ascii="Times New Roman;serif" w:hAnsi="Times New Roman;serif"/>
          <w:b/>
          <w:color w:val="000000"/>
          <w:sz w:val="20"/>
        </w:rPr>
        <w:t>Investment securities available-for-sale</w:t>
      </w:r>
      <w:r>
        <w:rPr>
          <w:rFonts w:ascii="Times New Roman;serif" w:hAnsi="Times New Roman;serif"/>
          <w:b w:val="false"/>
          <w:color w:val="000000"/>
          <w:sz w:val="20"/>
        </w:rPr>
        <w:t>: Investment securities available-for-sale consist of U.S. Treasury securities and are carried at fair value. The Company estimates the fair value of investment securities available-for-sale using current active market quotes, if available, which are considered Level 1 measurements. Level 1 measurements include securities issued by the U.S. Treasury.</w:t>
      </w:r>
    </w:p>
    <w:p>
      <w:pPr>
        <w:pStyle w:val="TextBody"/>
        <w:bidi w:val="0"/>
        <w:spacing w:lineRule="auto" w:line="288" w:before="200" w:after="283"/>
        <w:jc w:val="left"/>
        <w:rPr/>
      </w:pPr>
      <w:r>
        <w:rPr>
          <w:rFonts w:ascii="Times New Roman;serif" w:hAnsi="Times New Roman;serif"/>
          <w:b/>
          <w:color w:val="000000"/>
          <w:sz w:val="20"/>
        </w:rPr>
        <w:t>Investment in Business Funding Group, LLC (“ BFG”)</w:t>
      </w:r>
      <w:r>
        <w:rPr>
          <w:rFonts w:ascii="Times New Roman;serif" w:hAnsi="Times New Roman;serif"/>
          <w:b w:val="false"/>
          <w:color w:val="000000"/>
          <w:sz w:val="20"/>
        </w:rPr>
        <w:t>: The Company’s valuation technique utilized the average of the discounted cash flow method and the Guideline Public Company method. A 4.5% discount for non-voting shares was applied to the valuation to arrive at fair value as of June 30, 2026 and December 31, 2025. The calculation of fair value utilized significant unobservable inputs, including projected cash flows, growth rates, and discount rates. The Company’s investment in BFG is recognized in other assets on the consolidated balance sheets.</w:t>
      </w:r>
    </w:p>
    <w:p>
      <w:pPr>
        <w:pStyle w:val="TextBody"/>
        <w:bidi w:val="0"/>
        <w:spacing w:lineRule="auto" w:line="288" w:before="200" w:after="283"/>
        <w:jc w:val="left"/>
        <w:rPr/>
      </w:pPr>
      <w:r>
        <w:rPr>
          <w:rFonts w:ascii="Times New Roman;serif" w:hAnsi="Times New Roman;serif"/>
          <w:b/>
          <w:color w:val="000000"/>
          <w:sz w:val="20"/>
        </w:rPr>
        <w:t>Derivative instruments:</w:t>
      </w:r>
      <w:r>
        <w:rPr>
          <w:color w:val="000000"/>
        </w:rPr>
        <w:t xml:space="preserve"> </w:t>
      </w:r>
      <w:r>
        <w:rPr>
          <w:rFonts w:ascii="Times New Roman;serif" w:hAnsi="Times New Roman;serif"/>
          <w:b w:val="false"/>
          <w:color w:val="000000"/>
          <w:sz w:val="20"/>
        </w:rPr>
        <w:t>The Company’s derivative instruments consist of interest rate swaps accounted for as cash flow hedges. The Company’s derivative instruments are carried at fair value and considered Level 2 measurements. The Company measures fair value of interest rate swaps utilizing market observable inputs, such as forecasted yield curves.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financial instruments valued on a recurring basis at the periods indicated:</w:t>
      </w:r>
    </w:p>
    <w:tbl>
      <w:tblPr>
        <w:tblW w:w="6293" w:type="dxa"/>
        <w:jc w:val="left"/>
        <w:tblInd w:w="0" w:type="dxa"/>
        <w:tblLayout w:type="fixed"/>
        <w:tblCellMar>
          <w:top w:w="28" w:type="dxa"/>
          <w:left w:w="28" w:type="dxa"/>
          <w:bottom w:w="28" w:type="dxa"/>
          <w:right w:w="28" w:type="dxa"/>
        </w:tblCellMar>
      </w:tblPr>
      <w:tblGrid>
        <w:gridCol w:w="728"/>
        <w:gridCol w:w="639"/>
        <w:gridCol w:w="642"/>
        <w:gridCol w:w="195"/>
        <w:gridCol w:w="195"/>
        <w:gridCol w:w="196"/>
        <w:gridCol w:w="109"/>
        <w:gridCol w:w="109"/>
        <w:gridCol w:w="109"/>
        <w:gridCol w:w="258"/>
        <w:gridCol w:w="883"/>
        <w:gridCol w:w="133"/>
        <w:gridCol w:w="109"/>
        <w:gridCol w:w="109"/>
        <w:gridCol w:w="109"/>
        <w:gridCol w:w="344"/>
        <w:gridCol w:w="1175"/>
        <w:gridCol w:w="25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the Company’s investment in BFG classified as a Level 3 financial instrument and measured at fair value on a recurring basis for the periods indicated:</w:t>
      </w:r>
    </w:p>
    <w:tbl>
      <w:tblPr>
        <w:tblW w:w="7170" w:type="dxa"/>
        <w:jc w:val="left"/>
        <w:tblInd w:w="0" w:type="dxa"/>
        <w:tblLayout w:type="fixed"/>
        <w:tblCellMar>
          <w:top w:w="28" w:type="dxa"/>
          <w:left w:w="28" w:type="dxa"/>
          <w:bottom w:w="28" w:type="dxa"/>
          <w:right w:w="28" w:type="dxa"/>
        </w:tblCellMar>
      </w:tblPr>
      <w:tblGrid>
        <w:gridCol w:w="869"/>
        <w:gridCol w:w="764"/>
        <w:gridCol w:w="7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BFG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financial instruments valued on a nonrecurring basis at the periods indicated:</w:t>
      </w:r>
    </w:p>
    <w:tbl>
      <w:tblPr>
        <w:tblW w:w="8038"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color w:val="000000"/>
          <w:sz w:val="20"/>
        </w:rPr>
        <w:t xml:space="preserve">Individually evaluated loans </w:t>
      </w:r>
      <w:r>
        <w:rPr>
          <w:color w:val="000000"/>
        </w:rPr>
        <w:t xml:space="preserve">– </w:t>
      </w:r>
      <w:r>
        <w:rPr>
          <w:rFonts w:ascii="Times New Roman;serif" w:hAnsi="Times New Roman;serif"/>
          <w:b w:val="false"/>
          <w:color w:val="000000"/>
          <w:sz w:val="20"/>
        </w:rPr>
        <w:t xml:space="preserve">The loan amount above represents loans individually evaluated that have been adjusted to the lower of cost or fair value. When collateral-dependent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analysis, which may include historical knowledge, changes in market conditions, estimated selling and other anticipated costs, and/or expertise and knowledge. The loss, if any, represents charge-offs on loans when the fair value of the collateral is less than the carrying amount of the loan.</w:t>
      </w:r>
    </w:p>
    <w:p>
      <w:pPr>
        <w:pStyle w:val="TextBody"/>
        <w:bidi w:val="0"/>
        <w:spacing w:lineRule="auto" w:line="288" w:before="200" w:after="283"/>
        <w:jc w:val="left"/>
        <w:rPr/>
      </w:pPr>
      <w:r>
        <w:rPr>
          <w:rFonts w:ascii="Times New Roman;serif" w:hAnsi="Times New Roman;serif"/>
          <w:b/>
          <w:color w:val="000000"/>
          <w:sz w:val="20"/>
        </w:rPr>
        <w:t xml:space="preserve">Quantitative information for Level 3 fair value measurements </w:t>
      </w:r>
      <w:r>
        <w:rPr>
          <w:color w:val="000000"/>
        </w:rPr>
        <w:t xml:space="preserve">– </w:t>
      </w:r>
      <w:r>
        <w:rPr>
          <w:rFonts w:ascii="Times New Roman;serif" w:hAnsi="Times New Roman;serif"/>
          <w:b w:val="false"/>
          <w:color w:val="000000"/>
          <w:sz w:val="20"/>
        </w:rPr>
        <w:t>The following table presents information about quantitative inputs and assumptions used to fair value Level 3 nonrecurring assets as of June 30, 2026 and December 31, 2025:</w:t>
      </w:r>
    </w:p>
    <w:tbl>
      <w:tblPr>
        <w:tblW w:w="10205" w:type="dxa"/>
        <w:jc w:val="left"/>
        <w:tblInd w:w="0" w:type="dxa"/>
        <w:tblLayout w:type="fixed"/>
        <w:tblCellMar>
          <w:top w:w="28" w:type="dxa"/>
          <w:left w:w="28" w:type="dxa"/>
          <w:bottom w:w="28" w:type="dxa"/>
          <w:right w:w="28" w:type="dxa"/>
        </w:tblCellMar>
      </w:tblPr>
      <w:tblGrid>
        <w:gridCol w:w="794"/>
        <w:gridCol w:w="660"/>
        <w:gridCol w:w="661"/>
        <w:gridCol w:w="211"/>
        <w:gridCol w:w="721"/>
        <w:gridCol w:w="109"/>
        <w:gridCol w:w="109"/>
        <w:gridCol w:w="109"/>
        <w:gridCol w:w="109"/>
        <w:gridCol w:w="349"/>
        <w:gridCol w:w="349"/>
        <w:gridCol w:w="353"/>
        <w:gridCol w:w="1211"/>
        <w:gridCol w:w="1211"/>
        <w:gridCol w:w="1214"/>
        <w:gridCol w:w="109"/>
        <w:gridCol w:w="109"/>
        <w:gridCol w:w="109"/>
        <w:gridCol w:w="379"/>
        <w:gridCol w:w="338"/>
        <w:gridCol w:w="991"/>
      </w:tblGrid>
      <w:tr>
        <w:trPr/>
        <w:tc>
          <w:tcPr>
            <w:tcW w:w="79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w:t>
              <w:br/>
              <w:t>Technique</w:t>
            </w:r>
          </w:p>
        </w:tc>
        <w:tc>
          <w:tcPr>
            <w:tcW w:w="3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Unobservable</w:t>
              <w:b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Range</w:t>
              <w:br/>
              <w:t xml:space="preserve">(Weighted Average) </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br/>
              <w:t>comparable</w:t>
            </w:r>
          </w:p>
        </w:tc>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to 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br/>
              <w:t>comparable</w:t>
            </w:r>
          </w:p>
        </w:tc>
        <w:tc>
          <w:tcPr>
            <w:tcW w:w="3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to appraisal value for estimated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range and weighted average of the significant unobservable inputs used to fair value the investment in BFG as of June 30, 2026 and as of December 31, 2025 are shown in the following table:</w:t>
      </w:r>
    </w:p>
    <w:tbl>
      <w:tblPr>
        <w:tblW w:w="6596" w:type="dxa"/>
        <w:jc w:val="left"/>
        <w:tblInd w:w="0" w:type="dxa"/>
        <w:tblLayout w:type="fixed"/>
        <w:tblCellMar>
          <w:top w:w="28" w:type="dxa"/>
          <w:left w:w="28" w:type="dxa"/>
          <w:bottom w:w="28" w:type="dxa"/>
          <w:right w:w="28" w:type="dxa"/>
        </w:tblCellMar>
      </w:tblPr>
      <w:tblGrid>
        <w:gridCol w:w="950"/>
        <w:gridCol w:w="835"/>
        <w:gridCol w:w="839"/>
        <w:gridCol w:w="400"/>
        <w:gridCol w:w="400"/>
        <w:gridCol w:w="1000"/>
        <w:gridCol w:w="109"/>
        <w:gridCol w:w="109"/>
        <w:gridCol w:w="109"/>
        <w:gridCol w:w="376"/>
        <w:gridCol w:w="376"/>
        <w:gridCol w:w="1093"/>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br/>
              <w:t>Range</w:t>
              <w:b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br/>
              <w:t>Range</w:t>
              <w:br/>
              <w:t>(Weighted Average)</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Discounted Cash Flows</w:t>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growth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Expense growth rate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Lack of marketability discount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Guideline Public Company</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Multiples of enterprise value</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3.0x to 6.0x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3.5x to 5.3x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carrying amount and estimated fair value of the Company's financial instruments at the periods indicated:</w:t>
      </w:r>
    </w:p>
    <w:tbl>
      <w:tblPr>
        <w:tblW w:w="10205" w:type="dxa"/>
        <w:jc w:val="left"/>
        <w:tblInd w:w="0" w:type="dxa"/>
        <w:tblLayout w:type="fixed"/>
        <w:tblCellMar>
          <w:top w:w="28" w:type="dxa"/>
          <w:left w:w="28" w:type="dxa"/>
          <w:bottom w:w="28" w:type="dxa"/>
          <w:right w:w="28" w:type="dxa"/>
        </w:tblCellMar>
      </w:tblPr>
      <w:tblGrid>
        <w:gridCol w:w="1122"/>
        <w:gridCol w:w="715"/>
        <w:gridCol w:w="667"/>
        <w:gridCol w:w="109"/>
        <w:gridCol w:w="109"/>
        <w:gridCol w:w="109"/>
        <w:gridCol w:w="253"/>
        <w:gridCol w:w="991"/>
        <w:gridCol w:w="130"/>
        <w:gridCol w:w="109"/>
        <w:gridCol w:w="109"/>
        <w:gridCol w:w="109"/>
        <w:gridCol w:w="279"/>
        <w:gridCol w:w="1096"/>
        <w:gridCol w:w="144"/>
        <w:gridCol w:w="109"/>
        <w:gridCol w:w="109"/>
        <w:gridCol w:w="109"/>
        <w:gridCol w:w="211"/>
        <w:gridCol w:w="721"/>
        <w:gridCol w:w="109"/>
        <w:gridCol w:w="109"/>
        <w:gridCol w:w="109"/>
        <w:gridCol w:w="109"/>
        <w:gridCol w:w="211"/>
        <w:gridCol w:w="826"/>
        <w:gridCol w:w="109"/>
        <w:gridCol w:w="109"/>
        <w:gridCol w:w="109"/>
        <w:gridCol w:w="109"/>
        <w:gridCol w:w="282"/>
        <w:gridCol w:w="544"/>
        <w:gridCol w:w="160"/>
      </w:tblGrid>
      <w:tr>
        <w:trPr/>
        <w:tc>
          <w:tcPr>
            <w:tcW w:w="112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514,501 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538,959 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538,959 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660,691 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7"/>
        <w:gridCol w:w="691"/>
        <w:gridCol w:w="639"/>
        <w:gridCol w:w="109"/>
        <w:gridCol w:w="109"/>
        <w:gridCol w:w="109"/>
        <w:gridCol w:w="249"/>
        <w:gridCol w:w="978"/>
        <w:gridCol w:w="129"/>
        <w:gridCol w:w="109"/>
        <w:gridCol w:w="109"/>
        <w:gridCol w:w="109"/>
        <w:gridCol w:w="274"/>
        <w:gridCol w:w="1075"/>
        <w:gridCol w:w="141"/>
        <w:gridCol w:w="109"/>
        <w:gridCol w:w="109"/>
        <w:gridCol w:w="109"/>
        <w:gridCol w:w="211"/>
        <w:gridCol w:w="826"/>
        <w:gridCol w:w="109"/>
        <w:gridCol w:w="109"/>
        <w:gridCol w:w="109"/>
        <w:gridCol w:w="109"/>
        <w:gridCol w:w="211"/>
        <w:gridCol w:w="826"/>
        <w:gridCol w:w="109"/>
        <w:gridCol w:w="109"/>
        <w:gridCol w:w="109"/>
        <w:gridCol w:w="109"/>
        <w:gridCol w:w="282"/>
        <w:gridCol w:w="544"/>
        <w:gridCol w:w="159"/>
      </w:tblGrid>
      <w:tr>
        <w:trPr/>
        <w:tc>
          <w:tcPr>
            <w:tcW w:w="111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541,551 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576,270 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576,270 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servicing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BFG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754,561 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727,637 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 Income Taxes</w:t>
      </w:r>
    </w:p>
    <w:p>
      <w:pPr>
        <w:pStyle w:val="TextBody"/>
        <w:bidi w:val="0"/>
        <w:spacing w:lineRule="auto" w:line="288" w:before="200" w:after="283"/>
        <w:jc w:val="left"/>
        <w:rPr/>
      </w:pPr>
      <w:r>
        <w:rPr>
          <w:rFonts w:ascii="Times New Roman;serif" w:hAnsi="Times New Roman;serif"/>
          <w:b w:val="false"/>
          <w:color w:val="000000"/>
          <w:sz w:val="20"/>
        </w:rPr>
        <w:t>For the three months ended June 30, 2026 and 2025, income tax expense was $0.7 million and $1.3 million, respectively, resulting in an effective income tax rate of 24.0% and 24.5%, respectively. For the six months ended June 30, 2026 and 2025, income tax expense was $1.7 million and $2.6 million, respectively, resulting in an effective income tax rate of 26.3% and 26.1%, respectively. The effective tax rate differs from the statutory rate of 21.0% during the three months ended June 30, 2026 primarily due to</w:t>
      </w:r>
      <w:r>
        <w:rPr>
          <w:color w:val="000000"/>
          <w:shd w:fill="FFFFFF" w:val="clear"/>
        </w:rPr>
        <w:t xml:space="preserve"> </w:t>
      </w:r>
      <w:r>
        <w:rPr>
          <w:rFonts w:ascii="Times New Roman;serif" w:hAnsi="Times New Roman;serif"/>
          <w:b w:val="false"/>
          <w:color w:val="000000"/>
          <w:sz w:val="20"/>
          <w:shd w:fill="FFFFFF" w:val="clear"/>
        </w:rPr>
        <w:t>state and local income taxes and certain non-deductible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 Derivatives and Hedging Activities</w:t>
      </w:r>
    </w:p>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 Management Objective of Using Derivatives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Such derivatives were used to hedge the variable cash flows associated with existing variable-rate deposits.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derivatives designated and that qualify as cash flow hedges of interest rate risk, the gain or loss on the derivative is recorded in accumulated other comprehensive income (“OCI”) and subsequently reclassified into interest expense in the same period(s) during which the hedged transaction affects earnings. Amounts reported in accumulated OCI related to derivatives will be reclassified to interest on deposits as interest payments are made on the Company’s variable-rate deposits. During the twelve months following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estimates that an additional </w:t>
      </w:r>
      <w:r>
        <w:rPr>
          <w:rFonts w:ascii="Times New Roman;serif" w:hAnsi="Times New Roman;serif"/>
          <w:b w:val="false"/>
          <w:color w:val="000000"/>
          <w:sz w:val="20"/>
        </w:rPr>
        <w:t>$6.0 thousand</w:t>
      </w:r>
      <w:r>
        <w:rPr>
          <w:color w:val="000000"/>
          <w:shd w:fill="FFFFFF" w:val="clear"/>
        </w:rPr>
        <w:t xml:space="preserve"> </w:t>
      </w:r>
      <w:r>
        <w:rPr>
          <w:rFonts w:ascii="Times New Roman;serif" w:hAnsi="Times New Roman;serif"/>
          <w:b w:val="false"/>
          <w:color w:val="000000"/>
          <w:sz w:val="20"/>
          <w:shd w:fill="FFFFFF" w:val="clear"/>
        </w:rPr>
        <w:t>will be reclassifie</w:t>
      </w:r>
      <w:r>
        <w:rPr>
          <w:rFonts w:ascii="Times New Roman;serif" w:hAnsi="Times New Roman;serif"/>
          <w:b w:val="false"/>
          <w:color w:val="000000"/>
          <w:sz w:val="20"/>
        </w:rPr>
        <w:t>d as an increase to interest expense.</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Fair Value of Derivative Instruments on the Consolidated Balance Sheets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tables below present the notional amount, location, and fair value of the Company’s derivative financial instruments on the consolidated balance sheets as of the periods indicated:</w:t>
      </w:r>
    </w:p>
    <w:tbl>
      <w:tblPr>
        <w:tblW w:w="9458" w:type="dxa"/>
        <w:jc w:val="left"/>
        <w:tblInd w:w="0" w:type="dxa"/>
        <w:tblLayout w:type="fixed"/>
        <w:tblCellMar>
          <w:top w:w="28" w:type="dxa"/>
          <w:left w:w="28" w:type="dxa"/>
          <w:bottom w:w="28" w:type="dxa"/>
          <w:right w:w="28" w:type="dxa"/>
        </w:tblCellMar>
      </w:tblPr>
      <w:tblGrid>
        <w:gridCol w:w="1478"/>
        <w:gridCol w:w="1299"/>
        <w:gridCol w:w="1303"/>
        <w:gridCol w:w="316"/>
        <w:gridCol w:w="1081"/>
        <w:gridCol w:w="163"/>
        <w:gridCol w:w="109"/>
        <w:gridCol w:w="109"/>
        <w:gridCol w:w="109"/>
        <w:gridCol w:w="699"/>
        <w:gridCol w:w="699"/>
        <w:gridCol w:w="701"/>
        <w:gridCol w:w="109"/>
        <w:gridCol w:w="109"/>
        <w:gridCol w:w="109"/>
        <w:gridCol w:w="309"/>
        <w:gridCol w:w="530"/>
        <w:gridCol w:w="226"/>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57" w:type="dxa"/>
        <w:jc w:val="left"/>
        <w:tblInd w:w="0" w:type="dxa"/>
        <w:tblLayout w:type="fixed"/>
        <w:tblCellMar>
          <w:top w:w="28" w:type="dxa"/>
          <w:left w:w="28" w:type="dxa"/>
          <w:bottom w:w="28" w:type="dxa"/>
          <w:right w:w="28" w:type="dxa"/>
        </w:tblCellMar>
      </w:tblPr>
      <w:tblGrid>
        <w:gridCol w:w="1478"/>
        <w:gridCol w:w="1299"/>
        <w:gridCol w:w="1303"/>
        <w:gridCol w:w="316"/>
        <w:gridCol w:w="1081"/>
        <w:gridCol w:w="163"/>
        <w:gridCol w:w="109"/>
        <w:gridCol w:w="109"/>
        <w:gridCol w:w="109"/>
        <w:gridCol w:w="699"/>
        <w:gridCol w:w="699"/>
        <w:gridCol w:w="701"/>
        <w:gridCol w:w="109"/>
        <w:gridCol w:w="109"/>
        <w:gridCol w:w="109"/>
        <w:gridCol w:w="270"/>
        <w:gridCol w:w="597"/>
        <w:gridCol w:w="197"/>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Cash Flow Hedge Accounting on Accumulated Other Comprehensive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tables below present the pre-tax effect of cash flow hedge accounting on accumulated other comprehensive income for the periods indicated:</w:t>
      </w:r>
    </w:p>
    <w:tbl>
      <w:tblPr>
        <w:tblW w:w="10205" w:type="dxa"/>
        <w:jc w:val="left"/>
        <w:tblInd w:w="0" w:type="dxa"/>
        <w:tblLayout w:type="fixed"/>
        <w:tblCellMar>
          <w:top w:w="28" w:type="dxa"/>
          <w:left w:w="28" w:type="dxa"/>
          <w:bottom w:w="28" w:type="dxa"/>
          <w:right w:w="28" w:type="dxa"/>
        </w:tblCellMar>
      </w:tblPr>
      <w:tblGrid>
        <w:gridCol w:w="808"/>
        <w:gridCol w:w="693"/>
        <w:gridCol w:w="604"/>
        <w:gridCol w:w="109"/>
        <w:gridCol w:w="109"/>
        <w:gridCol w:w="109"/>
        <w:gridCol w:w="633"/>
        <w:gridCol w:w="983"/>
        <w:gridCol w:w="279"/>
        <w:gridCol w:w="127"/>
        <w:gridCol w:w="127"/>
        <w:gridCol w:w="127"/>
        <w:gridCol w:w="127"/>
        <w:gridCol w:w="803"/>
        <w:gridCol w:w="803"/>
        <w:gridCol w:w="805"/>
        <w:gridCol w:w="127"/>
        <w:gridCol w:w="127"/>
        <w:gridCol w:w="127"/>
        <w:gridCol w:w="726"/>
        <w:gridCol w:w="1281"/>
        <w:gridCol w:w="404"/>
        <w:gridCol w:w="167"/>
      </w:tblGrid>
      <w:tr>
        <w:trPr/>
        <w:tc>
          <w:tcPr>
            <w:tcW w:w="80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1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OCI on Derivative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from Accumulated OCI into Income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Reclassified from Accumulated OCI into Income</w:t>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08"/>
        <w:gridCol w:w="693"/>
        <w:gridCol w:w="604"/>
        <w:gridCol w:w="109"/>
        <w:gridCol w:w="109"/>
        <w:gridCol w:w="109"/>
        <w:gridCol w:w="633"/>
        <w:gridCol w:w="983"/>
        <w:gridCol w:w="279"/>
        <w:gridCol w:w="127"/>
        <w:gridCol w:w="127"/>
        <w:gridCol w:w="127"/>
        <w:gridCol w:w="127"/>
        <w:gridCol w:w="803"/>
        <w:gridCol w:w="803"/>
        <w:gridCol w:w="805"/>
        <w:gridCol w:w="127"/>
        <w:gridCol w:w="127"/>
        <w:gridCol w:w="127"/>
        <w:gridCol w:w="649"/>
        <w:gridCol w:w="1397"/>
        <w:gridCol w:w="366"/>
        <w:gridCol w:w="166"/>
      </w:tblGrid>
      <w:tr>
        <w:trPr/>
        <w:tc>
          <w:tcPr>
            <w:tcW w:w="80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1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OCI on Derivative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from Accumulated OCI into Income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Reclassified from Accumulated OCI into Income</w:t>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1"/>
        <w:gridCol w:w="695"/>
        <w:gridCol w:w="607"/>
        <w:gridCol w:w="109"/>
        <w:gridCol w:w="109"/>
        <w:gridCol w:w="109"/>
        <w:gridCol w:w="554"/>
        <w:gridCol w:w="1098"/>
        <w:gridCol w:w="254"/>
        <w:gridCol w:w="121"/>
        <w:gridCol w:w="121"/>
        <w:gridCol w:w="121"/>
        <w:gridCol w:w="121"/>
        <w:gridCol w:w="807"/>
        <w:gridCol w:w="807"/>
        <w:gridCol w:w="809"/>
        <w:gridCol w:w="121"/>
        <w:gridCol w:w="121"/>
        <w:gridCol w:w="121"/>
        <w:gridCol w:w="730"/>
        <w:gridCol w:w="1288"/>
        <w:gridCol w:w="407"/>
        <w:gridCol w:w="164"/>
      </w:tblGrid>
      <w:tr>
        <w:trPr/>
        <w:tc>
          <w:tcPr>
            <w:tcW w:w="8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6"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OCI on Derivative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from Accumulated OCI into Income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Reclassified from Accumulated OCI into Income</w:t>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2"/>
        <w:gridCol w:w="696"/>
        <w:gridCol w:w="608"/>
        <w:gridCol w:w="109"/>
        <w:gridCol w:w="109"/>
        <w:gridCol w:w="109"/>
        <w:gridCol w:w="516"/>
        <w:gridCol w:w="1154"/>
        <w:gridCol w:w="238"/>
        <w:gridCol w:w="119"/>
        <w:gridCol w:w="119"/>
        <w:gridCol w:w="119"/>
        <w:gridCol w:w="119"/>
        <w:gridCol w:w="808"/>
        <w:gridCol w:w="808"/>
        <w:gridCol w:w="811"/>
        <w:gridCol w:w="119"/>
        <w:gridCol w:w="119"/>
        <w:gridCol w:w="119"/>
        <w:gridCol w:w="653"/>
        <w:gridCol w:w="1406"/>
        <w:gridCol w:w="368"/>
        <w:gridCol w:w="167"/>
      </w:tblGrid>
      <w:tr>
        <w:trPr/>
        <w:tc>
          <w:tcPr>
            <w:tcW w:w="81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8"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2427" w:type="dxa"/>
            <w:gridSpan w:val="3"/>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OCI on Derivative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from Accumulated OCI into Income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of Gain (Loss) Reclassified from Accumulated OCI into Income</w:t>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Cash Flow Hedge Accounting on the Statements of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tables below present the effect of the Company’s derivative financial instruments on the consolidated statements of income for the periods indicated:</w:t>
      </w:r>
    </w:p>
    <w:tbl>
      <w:tblPr>
        <w:tblW w:w="10205" w:type="dxa"/>
        <w:jc w:val="left"/>
        <w:tblInd w:w="0" w:type="dxa"/>
        <w:tblLayout w:type="fixed"/>
        <w:tblCellMar>
          <w:top w:w="28" w:type="dxa"/>
          <w:left w:w="28" w:type="dxa"/>
          <w:bottom w:w="28" w:type="dxa"/>
          <w:right w:w="28" w:type="dxa"/>
        </w:tblCellMar>
      </w:tblPr>
      <w:tblGrid>
        <w:gridCol w:w="1353"/>
        <w:gridCol w:w="1170"/>
        <w:gridCol w:w="1174"/>
        <w:gridCol w:w="109"/>
        <w:gridCol w:w="109"/>
        <w:gridCol w:w="109"/>
        <w:gridCol w:w="921"/>
        <w:gridCol w:w="1587"/>
        <w:gridCol w:w="395"/>
        <w:gridCol w:w="109"/>
        <w:gridCol w:w="109"/>
        <w:gridCol w:w="109"/>
        <w:gridCol w:w="859"/>
        <w:gridCol w:w="1563"/>
        <w:gridCol w:w="529"/>
      </w:tblGrid>
      <w:tr>
        <w:trPr/>
        <w:tc>
          <w:tcPr>
            <w:tcW w:w="135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r>
      <w:tr>
        <w:trPr/>
        <w:tc>
          <w:tcPr>
            <w:tcW w:w="36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and Amount of Gain (Loss) Recognized in Income on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and Amount of Gain (Loss) Recognized in Income on Cash Flow Hedging Relationships</w:t>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Location of gain (loss) recognized in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amounts of income and expense line items presented in the consolidated statements of income in which the effects of cash flow hedges are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effects of cash flow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(loss) reclassified from accumulated OCI into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5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353"/>
        <w:gridCol w:w="1170"/>
        <w:gridCol w:w="1174"/>
        <w:gridCol w:w="109"/>
        <w:gridCol w:w="109"/>
        <w:gridCol w:w="109"/>
        <w:gridCol w:w="878"/>
        <w:gridCol w:w="1629"/>
        <w:gridCol w:w="395"/>
        <w:gridCol w:w="109"/>
        <w:gridCol w:w="109"/>
        <w:gridCol w:w="109"/>
        <w:gridCol w:w="821"/>
        <w:gridCol w:w="1601"/>
        <w:gridCol w:w="530"/>
      </w:tblGrid>
      <w:tr>
        <w:trPr/>
        <w:tc>
          <w:tcPr>
            <w:tcW w:w="135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Six Months Ended</w:t>
              <w:br/>
              <w:t>June 30, 2025</w:t>
            </w:r>
          </w:p>
        </w:tc>
      </w:tr>
      <w:tr>
        <w:trPr/>
        <w:tc>
          <w:tcPr>
            <w:tcW w:w="36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and Amount of Gain (Loss) Recognized in Income on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Location and Amount of Gain (Loss) Recognized in Income on Cash Flow Hedging Relationships</w:t>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Location of gain (loss) recognized in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on deposits</w:t>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amounts of income and expense line items presented in the consolidated statements of income in which the effects of cash flow hedges are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effects of cash flow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(loss) reclassified from accumulated OCI into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5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Offsetting Derivative Assets and Liabilities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tables below present a gross presentation, the effects of offsetting, and a net presentation of the Company’s derivatives as of </w:t>
      </w:r>
      <w:r>
        <w:rPr>
          <w:rFonts w:ascii="Times New Roman;serif" w:hAnsi="Times New Roman;serif"/>
          <w:b w:val="false"/>
          <w:color w:val="000000"/>
          <w:sz w:val="20"/>
        </w:rPr>
        <w:t>June 30, 2026 and December 31, 2025</w:t>
      </w:r>
      <w:r>
        <w:rPr>
          <w:rFonts w:ascii="Times New Roman;serif" w:hAnsi="Times New Roman;serif"/>
          <w:b w:val="false"/>
          <w:color w:val="000000"/>
          <w:sz w:val="20"/>
          <w:shd w:fill="FFFFFF" w:val="clear"/>
        </w:rPr>
        <w:t>. The net amounts of derivative assets and liabilities can be reconciled to the tabular disclosure of fair value. The tabular disclosure of fair value provides the location that derivative assets and liabilities are presented on the consolidated balance sheets.</w:t>
      </w:r>
    </w:p>
    <w:tbl>
      <w:tblPr>
        <w:tblW w:w="10205" w:type="dxa"/>
        <w:jc w:val="left"/>
        <w:tblInd w:w="0" w:type="dxa"/>
        <w:tblLayout w:type="fixed"/>
        <w:tblCellMar>
          <w:top w:w="28" w:type="dxa"/>
          <w:left w:w="28" w:type="dxa"/>
          <w:bottom w:w="28" w:type="dxa"/>
          <w:right w:w="28" w:type="dxa"/>
        </w:tblCellMar>
      </w:tblPr>
      <w:tblGrid>
        <w:gridCol w:w="488"/>
        <w:gridCol w:w="284"/>
        <w:gridCol w:w="285"/>
        <w:gridCol w:w="401"/>
        <w:gridCol w:w="679"/>
        <w:gridCol w:w="226"/>
        <w:gridCol w:w="109"/>
        <w:gridCol w:w="109"/>
        <w:gridCol w:w="109"/>
        <w:gridCol w:w="400"/>
        <w:gridCol w:w="829"/>
        <w:gridCol w:w="224"/>
        <w:gridCol w:w="109"/>
        <w:gridCol w:w="109"/>
        <w:gridCol w:w="109"/>
        <w:gridCol w:w="497"/>
        <w:gridCol w:w="840"/>
        <w:gridCol w:w="277"/>
        <w:gridCol w:w="119"/>
        <w:gridCol w:w="119"/>
        <w:gridCol w:w="119"/>
        <w:gridCol w:w="350"/>
        <w:gridCol w:w="691"/>
        <w:gridCol w:w="133"/>
        <w:gridCol w:w="119"/>
        <w:gridCol w:w="119"/>
        <w:gridCol w:w="119"/>
        <w:gridCol w:w="356"/>
        <w:gridCol w:w="524"/>
        <w:gridCol w:w="136"/>
        <w:gridCol w:w="119"/>
        <w:gridCol w:w="119"/>
        <w:gridCol w:w="119"/>
        <w:gridCol w:w="313"/>
        <w:gridCol w:w="363"/>
        <w:gridCol w:w="184"/>
      </w:tblGrid>
      <w:tr>
        <w:trPr/>
        <w:tc>
          <w:tcPr>
            <w:tcW w:w="48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Not Offset in the Statement of Financial Position</w:t>
            </w:r>
          </w:p>
        </w:tc>
      </w:tr>
      <w:tr>
        <w:trPr/>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the Statement of Financial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Amounts of Liabilities presented in the Statement of Financial Position</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Instruments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Cash Collateral Pledged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w:t>
            </w:r>
          </w:p>
        </w:tc>
      </w:tr>
      <w:tr>
        <w:trPr/>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4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9"/>
        <w:gridCol w:w="403"/>
        <w:gridCol w:w="404"/>
        <w:gridCol w:w="342"/>
        <w:gridCol w:w="736"/>
        <w:gridCol w:w="192"/>
        <w:gridCol w:w="109"/>
        <w:gridCol w:w="109"/>
        <w:gridCol w:w="109"/>
        <w:gridCol w:w="383"/>
        <w:gridCol w:w="794"/>
        <w:gridCol w:w="215"/>
        <w:gridCol w:w="109"/>
        <w:gridCol w:w="109"/>
        <w:gridCol w:w="109"/>
        <w:gridCol w:w="414"/>
        <w:gridCol w:w="890"/>
        <w:gridCol w:w="232"/>
        <w:gridCol w:w="117"/>
        <w:gridCol w:w="117"/>
        <w:gridCol w:w="117"/>
        <w:gridCol w:w="339"/>
        <w:gridCol w:w="694"/>
        <w:gridCol w:w="131"/>
        <w:gridCol w:w="117"/>
        <w:gridCol w:w="117"/>
        <w:gridCol w:w="117"/>
        <w:gridCol w:w="344"/>
        <w:gridCol w:w="521"/>
        <w:gridCol w:w="133"/>
        <w:gridCol w:w="117"/>
        <w:gridCol w:w="117"/>
        <w:gridCol w:w="117"/>
        <w:gridCol w:w="233"/>
        <w:gridCol w:w="454"/>
        <w:gridCol w:w="185"/>
      </w:tblGrid>
      <w:tr>
        <w:trPr/>
        <w:tc>
          <w:tcPr>
            <w:tcW w:w="45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Not Offset in the Statement of Financial Position</w:t>
            </w:r>
          </w:p>
        </w:tc>
      </w:tr>
      <w:tr>
        <w:trPr/>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the Statement of Financial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Amounts of Liabilities presented in the Statement of Financial Position</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Instruments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Cash Collateral Pledged</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Amount</w:t>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11 – Related Party Transactions</w:t>
      </w:r>
    </w:p>
    <w:p>
      <w:pPr>
        <w:pStyle w:val="TextBody"/>
        <w:bidi w:val="0"/>
        <w:spacing w:lineRule="auto" w:line="288" w:before="200" w:after="283"/>
        <w:jc w:val="left"/>
        <w:rPr/>
      </w:pPr>
      <w:r>
        <w:rPr>
          <w:rFonts w:ascii="Times New Roman;serif" w:hAnsi="Times New Roman;serif"/>
          <w:b w:val="false"/>
          <w:color w:val="000000"/>
          <w:sz w:val="20"/>
        </w:rPr>
        <w:t xml:space="preserve">In the ordinary course of business, the Bank may grant loans to certain executive officers and directors and the companies with which they are associated. The Company had </w:t>
      </w:r>
      <w:r>
        <w:rPr>
          <w:rFonts w:ascii="Times New Roman;serif" w:hAnsi="Times New Roman;serif"/>
          <w:b w:val="false"/>
          <w:i/>
          <w:color w:val="000000"/>
          <w:sz w:val="20"/>
        </w:rPr>
        <w:t xml:space="preserve">de minimis </w:t>
      </w:r>
      <w:r>
        <w:rPr>
          <w:rFonts w:ascii="Times New Roman;serif" w:hAnsi="Times New Roman;serif"/>
          <w:b w:val="false"/>
          <w:color w:val="000000"/>
          <w:sz w:val="20"/>
        </w:rPr>
        <w:t>loans outstanding to related parties as of June 30, 2026 and December 31, 2025. Total deposits from certain executive officers and directors and the companies with which they are associated were $2.4 million and $1.2 million as of June 30, 2026 and December 31,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BFG is a small business loan broker, primarily under the SBA’s 7(a) loan program. The Company has a 20% ownership in the outstanding membership units of BFG. The Company underwrites loans sourced by BFG in its normal course of business. If approved and funded, the Company pays BFG a commission fee based on the amount funded. There is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guarantee or commitment made by the Company to BFG to approve or fund loans referred by BFG. The Company is able to use its sole discretion in deciding to approve and fund loans referred by BFG.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a summary of related party transactions with BFG for the periods indicated:</w:t>
      </w:r>
    </w:p>
    <w:tbl>
      <w:tblPr>
        <w:tblW w:w="8115" w:type="dxa"/>
        <w:jc w:val="left"/>
        <w:tblInd w:w="0" w:type="dxa"/>
        <w:tblLayout w:type="fixed"/>
        <w:tblCellMar>
          <w:top w:w="28" w:type="dxa"/>
          <w:left w:w="28" w:type="dxa"/>
          <w:bottom w:w="28" w:type="dxa"/>
          <w:right w:w="28" w:type="dxa"/>
        </w:tblCellMar>
      </w:tblPr>
      <w:tblGrid>
        <w:gridCol w:w="1059"/>
        <w:gridCol w:w="931"/>
        <w:gridCol w:w="93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7(a) loans sourced from BFG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fees paid to BFG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Distributions received from BFG</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Recorded in the consolidated statements of income in other miscellaneous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 Earnings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two-class method is used in the calculation of basic and diluted earnings per share as the restricted stock awards are deemed to be participating securities. Under the two-class method, earnings available to common shareholders for the period are allocated between common shareholders and participating securities according to participation rights in undistributed earnings. The following table is a reconciliation of the components used to derive basic and diluted earnings per share for the three and six months ended June 30, 2026 and 2025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862"/>
        <w:gridCol w:w="1581"/>
        <w:gridCol w:w="1590"/>
        <w:gridCol w:w="233"/>
        <w:gridCol w:w="681"/>
        <w:gridCol w:w="122"/>
        <w:gridCol w:w="109"/>
        <w:gridCol w:w="109"/>
        <w:gridCol w:w="109"/>
        <w:gridCol w:w="233"/>
        <w:gridCol w:w="681"/>
        <w:gridCol w:w="122"/>
        <w:gridCol w:w="109"/>
        <w:gridCol w:w="109"/>
        <w:gridCol w:w="109"/>
        <w:gridCol w:w="233"/>
        <w:gridCol w:w="681"/>
        <w:gridCol w:w="122"/>
        <w:gridCol w:w="109"/>
        <w:gridCol w:w="109"/>
        <w:gridCol w:w="109"/>
        <w:gridCol w:w="232"/>
        <w:gridCol w:w="678"/>
        <w:gridCol w:w="173"/>
      </w:tblGrid>
      <w:tr>
        <w:trPr/>
        <w:tc>
          <w:tcPr>
            <w:tcW w:w="186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Amounts allocated to participating common shareholders</w:t>
            </w:r>
            <w:r>
              <w:rPr>
                <w:rFonts w:ascii="Times New Roman;serif" w:hAnsi="Times New Roman;serif"/>
                <w:b w:val="false"/>
                <w:color w:val="000000"/>
                <w:sz w:val="13"/>
              </w:rPr>
              <w:t>(1)</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allocated to common shareholders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13,112,580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12,781,508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13,066,232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12,749,012</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dilutive securities: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578,742</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158,399</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13,673,167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13,486,153</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basic</w:t>
            </w:r>
          </w:p>
        </w:tc>
        <w:tc>
          <w:tcPr>
            <w:tcW w:w="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2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2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2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7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 diluted</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excluded from the calculation of diluted earnings per share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earnings attributable to holders of unvested restricted stock issued to the Company’s directors and employees. Effective December 31, 2025, executive management elected to waive the dividend rights on their unvested restricted stock awards, and this waiver extends to restricted stock awards granted in 2026 to directors and various other employees. As a result, these unvested shares are no longer treated as participating securities and are excluded from the two-class method calculation of EPS. The impact on basic and diluted earnings per share was de minimis, and previously reported periods are not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 Accumulated Other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changes to accumulated other comprehensive income by component for the periods indicated (in thousands):</w:t>
      </w:r>
    </w:p>
    <w:tbl>
      <w:tblPr>
        <w:tblW w:w="10205" w:type="dxa"/>
        <w:jc w:val="left"/>
        <w:tblInd w:w="0" w:type="dxa"/>
        <w:tblLayout w:type="fixed"/>
        <w:tblCellMar>
          <w:top w:w="28" w:type="dxa"/>
          <w:left w:w="28" w:type="dxa"/>
          <w:bottom w:w="28" w:type="dxa"/>
          <w:right w:w="28" w:type="dxa"/>
        </w:tblCellMar>
      </w:tblPr>
      <w:tblGrid>
        <w:gridCol w:w="1653"/>
        <w:gridCol w:w="1298"/>
        <w:gridCol w:w="1307"/>
        <w:gridCol w:w="109"/>
        <w:gridCol w:w="109"/>
        <w:gridCol w:w="109"/>
        <w:gridCol w:w="676"/>
        <w:gridCol w:w="1158"/>
        <w:gridCol w:w="350"/>
        <w:gridCol w:w="109"/>
        <w:gridCol w:w="109"/>
        <w:gridCol w:w="109"/>
        <w:gridCol w:w="359"/>
        <w:gridCol w:w="730"/>
        <w:gridCol w:w="186"/>
        <w:gridCol w:w="109"/>
        <w:gridCol w:w="109"/>
        <w:gridCol w:w="109"/>
        <w:gridCol w:w="435"/>
        <w:gridCol w:w="747"/>
        <w:gridCol w:w="325"/>
      </w:tblGrid>
      <w:tr>
        <w:trPr/>
        <w:tc>
          <w:tcPr>
            <w:tcW w:w="165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37"/>
        <w:gridCol w:w="1268"/>
        <w:gridCol w:w="1259"/>
        <w:gridCol w:w="109"/>
        <w:gridCol w:w="109"/>
        <w:gridCol w:w="109"/>
        <w:gridCol w:w="688"/>
        <w:gridCol w:w="1178"/>
        <w:gridCol w:w="356"/>
        <w:gridCol w:w="109"/>
        <w:gridCol w:w="109"/>
        <w:gridCol w:w="109"/>
        <w:gridCol w:w="370"/>
        <w:gridCol w:w="754"/>
        <w:gridCol w:w="191"/>
        <w:gridCol w:w="109"/>
        <w:gridCol w:w="109"/>
        <w:gridCol w:w="109"/>
        <w:gridCol w:w="440"/>
        <w:gridCol w:w="755"/>
        <w:gridCol w:w="328"/>
      </w:tblGrid>
      <w:tr>
        <w:trPr/>
        <w:tc>
          <w:tcPr>
            <w:tcW w:w="16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50"/>
        <w:gridCol w:w="1335"/>
        <w:gridCol w:w="1342"/>
        <w:gridCol w:w="109"/>
        <w:gridCol w:w="109"/>
        <w:gridCol w:w="109"/>
        <w:gridCol w:w="586"/>
        <w:gridCol w:w="1294"/>
        <w:gridCol w:w="304"/>
        <w:gridCol w:w="109"/>
        <w:gridCol w:w="109"/>
        <w:gridCol w:w="109"/>
        <w:gridCol w:w="326"/>
        <w:gridCol w:w="813"/>
        <w:gridCol w:w="168"/>
        <w:gridCol w:w="109"/>
        <w:gridCol w:w="109"/>
        <w:gridCol w:w="109"/>
        <w:gridCol w:w="435"/>
        <w:gridCol w:w="747"/>
        <w:gridCol w:w="324"/>
      </w:tblGrid>
      <w:tr>
        <w:trPr/>
        <w:tc>
          <w:tcPr>
            <w:tcW w:w="155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574"/>
        <w:gridCol w:w="1330"/>
        <w:gridCol w:w="1336"/>
        <w:gridCol w:w="109"/>
        <w:gridCol w:w="109"/>
        <w:gridCol w:w="109"/>
        <w:gridCol w:w="661"/>
        <w:gridCol w:w="1178"/>
        <w:gridCol w:w="341"/>
        <w:gridCol w:w="109"/>
        <w:gridCol w:w="109"/>
        <w:gridCol w:w="109"/>
        <w:gridCol w:w="348"/>
        <w:gridCol w:w="770"/>
        <w:gridCol w:w="179"/>
        <w:gridCol w:w="109"/>
        <w:gridCol w:w="109"/>
        <w:gridCol w:w="109"/>
        <w:gridCol w:w="380"/>
        <w:gridCol w:w="841"/>
        <w:gridCol w:w="286"/>
      </w:tblGrid>
      <w:tr>
        <w:trPr/>
        <w:tc>
          <w:tcPr>
            <w:tcW w:w="157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OCI</w:t>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14 – 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the Company experienced significant growth in size and complexity, management reassessed its approach to analyzing revenues, financial performance, and business activities. To align with the internal financial reporting with the organizational structure and how the CODM manages the business, evaluates performance, and allocates resources, the Company completed a technology project to capture financial information by segment. The CODM currently reviews the revenues and financial results for three operating and reportable segments: traditional banking, banking as a service (“BaaS”), and treasury and administration. Considering management’s needs due to the increased volume and complexity of its business, management implemented new processes and utilized system capabilities to capture accounting information by cost centers. The cost centers are subsequently mapped to the established business segments and reports reflecting the new structure and processes were finalized and provided to the CODM during the third quarter of 2025. Due to the fact that financial data was not previously recorded by cost center, it is not practicable to present segment financial information for comparative prior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traditional banking segment provides loan and deposit products and services to consumers and businesses nationally and in and around the Salt Lake City, Utah metropolitan statistical area (“MSA”). The Company’s BaaS segment provides lending, card and payments solutions nationally to fintech brands. The treasury and administration segment consists of investments, deposits sourced nationally to support the business segments, interest charged to the traditional banking and BaaS segments on funding provided to those businesses, and other items not specific to the traditional banking or BaaS segments.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accounting policies applicable to our segments are consistent with those described in the notes to consolidated financial statements included in the 2025 Form 10-K. Intersegment interest and expense transactions are recorded at the Company’s cost; there is no intercompany profit or loss on intersegment transactions. The Company has implemented a transfer pricing process that credits or charges the traditional banking and BaaS segments with intrabank interest income or expense, with the treasury and administration segment as the offset for those entries.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CODM evaluates performance and allocates resources for each of the Company’s reportable segments based on segment income or loss before other allocated operating expenses and net income. The CODM uses income or loss before other allocated operating expenses to allocate resources for each segment predominantly in the annual budget and forecasting process. The CODM considers budget-to-actual variances on a monthly basis using the income before other allocated operating expenses when making decisions about allocating capital and personnel to the 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and its president.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segment reporting below, a non-GAAP subtotal is shown captioned “Income (loss) before other operating expense allocation”. That subtotal presents an income (loss) subtotal before consideration of allocated corporate expenses which might be fixed, semi-fixed or otherwise resist changes without regard to a particular line of business. The following tables provide segment information for the periods indicated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29"/>
        <w:gridCol w:w="519"/>
        <w:gridCol w:w="481"/>
        <w:gridCol w:w="109"/>
        <w:gridCol w:w="109"/>
        <w:gridCol w:w="109"/>
        <w:gridCol w:w="236"/>
        <w:gridCol w:w="925"/>
        <w:gridCol w:w="122"/>
        <w:gridCol w:w="109"/>
        <w:gridCol w:w="109"/>
        <w:gridCol w:w="109"/>
        <w:gridCol w:w="211"/>
        <w:gridCol w:w="826"/>
        <w:gridCol w:w="109"/>
        <w:gridCol w:w="109"/>
        <w:gridCol w:w="109"/>
        <w:gridCol w:w="109"/>
        <w:gridCol w:w="299"/>
        <w:gridCol w:w="1172"/>
        <w:gridCol w:w="154"/>
        <w:gridCol w:w="109"/>
        <w:gridCol w:w="109"/>
        <w:gridCol w:w="109"/>
        <w:gridCol w:w="330"/>
        <w:gridCol w:w="988"/>
        <w:gridCol w:w="172"/>
        <w:gridCol w:w="109"/>
        <w:gridCol w:w="109"/>
        <w:gridCol w:w="109"/>
        <w:gridCol w:w="211"/>
        <w:gridCol w:w="826"/>
        <w:gridCol w:w="160"/>
      </w:tblGrid>
      <w:tr>
        <w:trPr/>
        <w:tc>
          <w:tcPr>
            <w:tcW w:w="82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9"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 and for the Three Months Ended June 30, 2026</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Traditional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 and Administration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Intersegment 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(3,291)</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33,979 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other operating expense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operating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405,848 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925,311 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70"/>
        <w:gridCol w:w="564"/>
        <w:gridCol w:w="529"/>
        <w:gridCol w:w="109"/>
        <w:gridCol w:w="109"/>
        <w:gridCol w:w="109"/>
        <w:gridCol w:w="257"/>
        <w:gridCol w:w="880"/>
        <w:gridCol w:w="133"/>
        <w:gridCol w:w="109"/>
        <w:gridCol w:w="109"/>
        <w:gridCol w:w="109"/>
        <w:gridCol w:w="211"/>
        <w:gridCol w:w="721"/>
        <w:gridCol w:w="109"/>
        <w:gridCol w:w="109"/>
        <w:gridCol w:w="109"/>
        <w:gridCol w:w="109"/>
        <w:gridCol w:w="375"/>
        <w:gridCol w:w="1098"/>
        <w:gridCol w:w="196"/>
        <w:gridCol w:w="109"/>
        <w:gridCol w:w="109"/>
        <w:gridCol w:w="109"/>
        <w:gridCol w:w="340"/>
        <w:gridCol w:w="1019"/>
        <w:gridCol w:w="177"/>
        <w:gridCol w:w="109"/>
        <w:gridCol w:w="109"/>
        <w:gridCol w:w="109"/>
        <w:gridCol w:w="211"/>
        <w:gridCol w:w="721"/>
        <w:gridCol w:w="159"/>
      </w:tblGrid>
      <w:tr>
        <w:trPr/>
        <w:tc>
          <w:tcPr>
            <w:tcW w:w="87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Traditional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 and Administration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Intersegment 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(6,648)</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67,520 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56,839 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other operating expense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operating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Interest income and expense are allocated to segments based on their respective funding requirements using an internal transfer pricing methodology. The treasury and administration segment earns interest income from providing funds to the traditional banking and BaaS segments, which in turn incur corresponding interest expense. These internal interest flows are eliminated at the consolidated level through the intersegment/eliminations column.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15 – Subsequent Event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20, 2026, the Company acquired the technology platform and related assets of Tallied Technologies, Inc. (“Tallied”), the credit card issuance and processing platform that has powered the Bank's co-branded credit card programs. With this acquisition, the Company now owns its card technology stack end-to-end, from application, through issuing, processing and servicing.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acquisition will be accounted for in accordance with ASC 805 “Business Combinations”, whereby the purchase price paid will be allocated to the tangible and identifiable intangible assets acquired and liabilities assumed from Tallied based on their estimated fair values as of the closing date. The Company expects integration and transition costs of approximately $4.0 million in total over the next year. The Company expects the costs to be greater in the next two quarters and to narrow over the following two quarters as it fully integrates the platform into the bank and eliminates duplicative third-party vendor and platform costs. The transaction results in the credit card receivable being reclassified from the credit enhanced portfolio of approximately $45.3 million to credit card loan receivable beginning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is intended as a review and summary of significant factors affecting our financial condition and results of operations for the periods indicated and should be read together with our consolidated audited financial statements and related notes thereto included in the 2025 Form 10-K and our unaudited consolidated financial statements included in Part I, Item 1 of this Report.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2025 Form 10-K entitled “Risk Factors” and “Cautionary Note Regarding Forward-Looking Statements” and elsewhere in this Report. We assume no obligation to update any of these forward-looking statements except to the extent required by law.</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pertains to our historical results, on a consolidated basis. However, because we conduct all material business operations through our wholly owned subsidiary, FinWise Bank, the discussion and analysis relates to activities primarily conducted at the subsidiary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management’s discussion and analysis of financial condition and results of operations is based upon our unaudited consolidated financial statements included in Part I, Item 1 of this Report. The preparation of these unaudited consolidated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primarily relate to the allowance for credit losses. See Note 1 - Summary of Significant Accounting Policies to the consolidated financial statements included in Part II, Item 8 in our 2025 Form 10-K for information on our accounting policy related to this critical accounting estimate.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during the six months ended June 30, 2026 to the methods we used and judgments we made relating to critical accounting estimates from those disclosed in “Management’s Discussion and Analysis of Financial Condition and Results of Operations”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Business 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FinWise Bancorp is a Utah corporation and the parent company of FinWise Bank and FinWise Investment, LLC. Our assets consist primarily of our investment in the Bank and all of our material business activities are conducted through the Bank. </w:t>
      </w:r>
    </w:p>
    <w:p>
      <w:pPr>
        <w:pStyle w:val="TextBody"/>
        <w:bidi w:val="0"/>
        <w:spacing w:lineRule="auto" w:line="288" w:before="200" w:after="283"/>
        <w:jc w:val="left"/>
        <w:rPr/>
      </w:pPr>
      <w:r>
        <w:rPr>
          <w:rFonts w:ascii="Times New Roman;serif" w:hAnsi="Times New Roman;serif"/>
          <w:b w:val="false"/>
          <w:color w:val="000000"/>
          <w:sz w:val="20"/>
        </w:rPr>
        <w:t xml:space="preserve">We gather deposits in the Salt Lake City, Utah MSA through our one branch and nationwide from our Strategic Program service providers, SBA 7(a) borrowers, institutional deposit exchanges, brokered deposit arrangements and other deposit sources. </w:t>
      </w:r>
      <w:r>
        <w:rPr>
          <w:rFonts w:ascii="Times New Roman;serif" w:hAnsi="Times New Roman;serif"/>
          <w:b w:val="false"/>
          <w:color w:val="000000"/>
          <w:sz w:val="20"/>
          <w:shd w:fill="FFFFFF" w:val="clear"/>
        </w:rPr>
        <w:t>Attracting nationwide deposits from the general public, businesses and other financial institutions, and investing those deposits, together with borrowings and other sources of funds, is also critical to our banking business.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banking business offers a diverse range of commercial and retail banking products and services, and consists primarily of originating loans in a variety of sectors. While our commercial and residential real estate lending and other products and services offered from our branch continue to be concentrated in and around the Salt Lake City, Utah MSA, our third-party loan origination relationships have allowed us to expand into markets across the United States. These relationships were developed to support our ability to generate significant loan volume across diverse consumer and commercial markets and have been the primary source of our growth and our consistent ability to operate profitability since developing the third-party loan origination business.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financial condition and results of operations depend primarily on our ability to originate loans and leases directly, or by using our strategic relationships with third-party loan origination platforms, to earn interest and non-interest income.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lending focuses on two main lending areas: (1) traditional lending which includes SBA 7(a) loans, residential and commercial real estate, and commercial leasing; and (2) Strategic Programs lending which includes held-for-sale, credit enhanced, and retained loans. For a description and analysis of the Company’s loan categories, see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Reportable Segments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Historically, we managed our business as a single operating and reportable segment. In the third quarter of 2025, after completing </w:t>
      </w:r>
      <w:r>
        <w:rPr>
          <w:rFonts w:ascii="Times New Roman;serif" w:hAnsi="Times New Roman;serif"/>
          <w:b w:val="false"/>
          <w:color w:val="000000"/>
          <w:sz w:val="20"/>
        </w:rPr>
        <w:t>a technology initiative to capture and report segment-specific financial data, we revised our reportable segments. Due to significant operational growth</w:t>
      </w:r>
      <w:r>
        <w:rPr>
          <w:color w:val="000000"/>
          <w:shd w:fill="FFFFFF" w:val="clear"/>
        </w:rPr>
        <w:t xml:space="preserve"> </w:t>
      </w:r>
      <w:r>
        <w:rPr>
          <w:rFonts w:ascii="Times New Roman;serif" w:hAnsi="Times New Roman;serif"/>
          <w:b w:val="false"/>
          <w:color w:val="000000"/>
          <w:sz w:val="20"/>
          <w:shd w:fill="FFFFFF" w:val="clear"/>
        </w:rPr>
        <w:t>and how our chief operating decision maker (“CODM”) reviews operating results and allocates resources, we manage our business through three reportable segments: traditional banking, banking as a service (“BaaS”) and treasury and administration.</w:t>
      </w:r>
      <w:r>
        <w:rPr>
          <w:color w:val="000000"/>
        </w:rPr>
        <w:t xml:space="preserve"> </w:t>
      </w:r>
      <w:r>
        <w:rPr>
          <w:rFonts w:ascii="Times New Roman;serif" w:hAnsi="Times New Roman;serif"/>
          <w:b w:val="false"/>
          <w:color w:val="000000"/>
          <w:sz w:val="20"/>
        </w:rPr>
        <w:t>It is not practicable to provide prior period reportable segment results as segregating the data in a meaningful way would require unreasonable effort due to limitations in historical records.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traditional banking segment provides loan and deposit products and services to consumers and businesses nationally and in and around the Salt Lake City, Utah MSA. The BaaS segment provides lending, card and payments solutions nationally to fintech brands. The treasury and administration segment consists of investments, deposits sourced nationally to support the business segments, and other items not specific to the traditional banking or BaaS segments.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Subsequent Acquisition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20, 2026, we acquired the technology platform and related assets of Tallied Technologies, Inc. (“Tallied”), the credit card issuance and processing platform that has powered the Bank's co-branded credit card programs. With this acquisition, we now own its card technology stack end-to-end, from application, through issuing, processing and servicing. The Company expects integration and transition costs of approximately $4.0 million in total over the next year. The Company expects the costs to be greater in the next two quarters and to narrow over the following two quarters as it fully integrates the platform into the bank and eliminates duplicative third-party vendor and platform costs. The transaction results in the credit card receivable being reclassified from the credit enhanced portfolio to credit card loan receivable beginning in the third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executive summary provides certain 2026 and 2025 consolidated financial highlights from the discussion and analysis that follows: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For the three months ended June 30, 2026, originations increased to $1.6 billion from $1.5 billion when compared to the three months ended June 30, 2025. For the six months ended June 30, 2026, originations increased to $3.4 billion from $2.7 billion when compared to the six months ended June 30, 2025. New strategic programs and organic growth through certain established strategic programs contributed to the increase in loan originations.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interest margin (“NIM”) was 13.69% for the three months ended June 30, 2026, compared to 7.81% for the three months ended June 30, 2025. NIM was 13.29% for the six months ended June 30, 2026, compared to 8.03% for the six months ended June 30, 2025. NIM is impacted by income earned from interest-earning assets and interest costs incurred on interest-bearing liabilities and increased significantly for the three and six months ended June 30, 2026 compared to the same periods in 2025 due to the growth of the credit enhanced loan program.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We generated $2.1 million and $4.1 million of net income for the three months ended June 30, 2026 and 2025, respectively, and $4.9 million and $7.3 million of net income for the six months ended June 30, 2026 and 2025, respectively. Net income declined primarily due to an increase in the provision for credit losses, driven by higher net charge-offs within the traditional banking portfolio.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assets decreased by $51.8 million to $925.3 million as of June 30, 2026 compared to December 31, 2025, principally due to decreases in interest-bearing cash deposits and loans-held-for-investment, partially offset by an increase in Strategic Program loans held-for-sale.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principal components of net income for the periods indicated:</w:t>
      </w:r>
    </w:p>
    <w:tbl>
      <w:tblPr>
        <w:tblW w:w="10205" w:type="dxa"/>
        <w:jc w:val="left"/>
        <w:tblInd w:w="0" w:type="dxa"/>
        <w:tblLayout w:type="fixed"/>
        <w:tblCellMar>
          <w:top w:w="28" w:type="dxa"/>
          <w:left w:w="28" w:type="dxa"/>
          <w:bottom w:w="28" w:type="dxa"/>
          <w:right w:w="28" w:type="dxa"/>
        </w:tblCellMar>
      </w:tblPr>
      <w:tblGrid>
        <w:gridCol w:w="752"/>
        <w:gridCol w:w="626"/>
        <w:gridCol w:w="629"/>
        <w:gridCol w:w="211"/>
        <w:gridCol w:w="721"/>
        <w:gridCol w:w="109"/>
        <w:gridCol w:w="109"/>
        <w:gridCol w:w="109"/>
        <w:gridCol w:w="109"/>
        <w:gridCol w:w="211"/>
        <w:gridCol w:w="721"/>
        <w:gridCol w:w="109"/>
        <w:gridCol w:w="109"/>
        <w:gridCol w:w="109"/>
        <w:gridCol w:w="109"/>
        <w:gridCol w:w="307"/>
        <w:gridCol w:w="309"/>
        <w:gridCol w:w="551"/>
        <w:gridCol w:w="109"/>
        <w:gridCol w:w="109"/>
        <w:gridCol w:w="109"/>
        <w:gridCol w:w="211"/>
        <w:gridCol w:w="721"/>
        <w:gridCol w:w="109"/>
        <w:gridCol w:w="109"/>
        <w:gridCol w:w="109"/>
        <w:gridCol w:w="109"/>
        <w:gridCol w:w="211"/>
        <w:gridCol w:w="721"/>
        <w:gridCol w:w="109"/>
        <w:gridCol w:w="109"/>
        <w:gridCol w:w="109"/>
        <w:gridCol w:w="109"/>
        <w:gridCol w:w="307"/>
        <w:gridCol w:w="309"/>
        <w:gridCol w:w="616"/>
      </w:tblGrid>
      <w:tr>
        <w:trPr/>
        <w:tc>
          <w:tcPr>
            <w:tcW w:w="75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Interest Income and NIM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was the primary contributor to our earnings in 2026 and 2025.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increased for the three months ended June 30, 2026, compared to the same period in 2025, primarily due to the increase in the credit enhanced loans and a change in estimate, based on additional information and experience, on the allocation of interest received on credit enhanced loans in excess of the amount we retain. We now estimate that all excess interest is attributable to servicing and credit guarantee expense, whereas in the prior year it had been estimated that a portion was attributable to origination costs, or finders' fees, and was reported in net 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increased for the six months ended June 30, 2026, compared to the same period in 2025, primarily due to an increase in average interest-earning assets of $133.8 million, partially offset by lower yields on interest-earning assets, and an increase in the average interest-bearing liabilities of $94.2 million mainly attributable to the increase in brokered deposits used to fund our loan growth.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NIM increased to 13.69% for the three months ended June 30, 2026 from 7.81% for the three months ended June 30, 2025 and increased to 13.29% for the six months ended June 30, 2026 from 8.03% for the six months ended June 30, 2025, primarily from the growth in the higher yielding credit-enhanced portfolio average balance and higher yields on loans held for investment, the change in estimated allocation of excess interest as previously described, and slightly lower rates paid on deposits.</w:t>
      </w:r>
    </w:p>
    <w:p>
      <w:pPr>
        <w:pStyle w:val="TextBody"/>
        <w:bidi w:val="0"/>
        <w:spacing w:lineRule="auto" w:line="288" w:before="200" w:after="283"/>
        <w:jc w:val="left"/>
        <w:rPr/>
      </w:pPr>
      <w:r>
        <w:rPr>
          <w:rFonts w:ascii="Times New Roman;serif" w:hAnsi="Times New Roman;serif"/>
          <w:b w:val="false"/>
          <w:i/>
          <w:color w:val="000000"/>
          <w:sz w:val="20"/>
        </w:rPr>
        <w:t>Average Balances and Yields</w:t>
      </w:r>
      <w:r>
        <w:rPr>
          <w:rFonts w:ascii="Times New Roman;serif" w:hAnsi="Times New Roman;serif"/>
          <w:b w:val="false"/>
          <w:color w:val="000000"/>
          <w:sz w:val="20"/>
        </w:rPr>
        <w:t>. The following tables present average balances for assets and liabilities, the total dollar amounts of interest income from interest-earning assets, the total dollar amounts of interest expense on interest-bearing liabilities, the resulting average yields and costs, and NIM. The yields and costs for the periods indicated are derived by dividing the annualized income or expense by the average balances for assets or liabilities, respectively, for the periods presented. The weighted average yields and rates include amortization of fees, costs, premiums and discounts, which are considered adjustments to yield/rates. Average balances have been calculated using daily averages.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34"/>
        <w:gridCol w:w="533"/>
        <w:gridCol w:w="494"/>
        <w:gridCol w:w="211"/>
        <w:gridCol w:w="826"/>
        <w:gridCol w:w="109"/>
        <w:gridCol w:w="109"/>
        <w:gridCol w:w="109"/>
        <w:gridCol w:w="109"/>
        <w:gridCol w:w="211"/>
        <w:gridCol w:w="721"/>
        <w:gridCol w:w="109"/>
        <w:gridCol w:w="109"/>
        <w:gridCol w:w="109"/>
        <w:gridCol w:w="109"/>
        <w:gridCol w:w="337"/>
        <w:gridCol w:w="339"/>
        <w:gridCol w:w="462"/>
        <w:gridCol w:w="109"/>
        <w:gridCol w:w="109"/>
        <w:gridCol w:w="109"/>
        <w:gridCol w:w="211"/>
        <w:gridCol w:w="826"/>
        <w:gridCol w:w="109"/>
        <w:gridCol w:w="109"/>
        <w:gridCol w:w="109"/>
        <w:gridCol w:w="109"/>
        <w:gridCol w:w="211"/>
        <w:gridCol w:w="721"/>
        <w:gridCol w:w="109"/>
        <w:gridCol w:w="109"/>
        <w:gridCol w:w="109"/>
        <w:gridCol w:w="109"/>
        <w:gridCol w:w="337"/>
        <w:gridCol w:w="339"/>
        <w:gridCol w:w="421"/>
      </w:tblGrid>
      <w:tr>
        <w:trPr/>
        <w:tc>
          <w:tcPr>
            <w:tcW w:w="93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Yield/Cost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Average</w:t>
              <w:br/>
              <w:t>Yield/Cost</w:t>
            </w:r>
          </w:p>
        </w:tc>
      </w:tr>
      <w:tr>
        <w:trPr/>
        <w:tc>
          <w:tcPr>
            <w:tcW w:w="1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Loans held-for-investment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Net interest income and interest rate spread</w:t>
            </w:r>
            <w:r>
              <w:rPr>
                <w:rFonts w:ascii="Times New Roman;serif" w:hAnsi="Times New Roman;serif"/>
                <w:b w:val="false"/>
                <w:color w:val="000000"/>
                <w:sz w:val="13"/>
              </w:rPr>
              <w:t>(2)</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Net interest margin</w:t>
            </w:r>
            <w:r>
              <w:rPr>
                <w:rFonts w:ascii="Times New Roman;serif" w:hAnsi="Times New Roman;serif"/>
                <w:b w:val="false"/>
                <w:color w:val="000000"/>
                <w:sz w:val="13"/>
              </w:rPr>
              <w:t>(3)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4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4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Ratio of average interest-earning assets to average interest-bearing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153.92</w:t>
            </w:r>
          </w:p>
        </w:tc>
        <w:tc>
          <w:tcPr>
            <w:tcW w:w="46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153.28</w:t>
            </w:r>
          </w:p>
        </w:tc>
        <w:tc>
          <w:tcPr>
            <w:tcW w:w="4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34"/>
        <w:gridCol w:w="532"/>
        <w:gridCol w:w="494"/>
        <w:gridCol w:w="211"/>
        <w:gridCol w:w="826"/>
        <w:gridCol w:w="109"/>
        <w:gridCol w:w="109"/>
        <w:gridCol w:w="109"/>
        <w:gridCol w:w="109"/>
        <w:gridCol w:w="211"/>
        <w:gridCol w:w="721"/>
        <w:gridCol w:w="109"/>
        <w:gridCol w:w="109"/>
        <w:gridCol w:w="109"/>
        <w:gridCol w:w="109"/>
        <w:gridCol w:w="337"/>
        <w:gridCol w:w="339"/>
        <w:gridCol w:w="462"/>
        <w:gridCol w:w="109"/>
        <w:gridCol w:w="109"/>
        <w:gridCol w:w="109"/>
        <w:gridCol w:w="211"/>
        <w:gridCol w:w="826"/>
        <w:gridCol w:w="109"/>
        <w:gridCol w:w="109"/>
        <w:gridCol w:w="109"/>
        <w:gridCol w:w="109"/>
        <w:gridCol w:w="211"/>
        <w:gridCol w:w="721"/>
        <w:gridCol w:w="109"/>
        <w:gridCol w:w="109"/>
        <w:gridCol w:w="109"/>
        <w:gridCol w:w="109"/>
        <w:gridCol w:w="337"/>
        <w:gridCol w:w="339"/>
        <w:gridCol w:w="422"/>
      </w:tblGrid>
      <w:tr>
        <w:trPr/>
        <w:tc>
          <w:tcPr>
            <w:tcW w:w="93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Average</w:t>
              <w:br/>
              <w:t>Yield/Rate</w:t>
            </w:r>
          </w:p>
        </w:tc>
      </w:tr>
      <w:tr>
        <w:trPr/>
        <w:tc>
          <w:tcPr>
            <w:tcW w:w="1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Loans held-for-investment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Net interest income and interest rate spread</w:t>
            </w:r>
            <w:r>
              <w:rPr>
                <w:rFonts w:ascii="Times New Roman;serif" w:hAnsi="Times New Roman;serif"/>
                <w:b w:val="false"/>
                <w:color w:val="000000"/>
                <w:sz w:val="13"/>
              </w:rPr>
              <w:t>(2)</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Net interest margin</w:t>
            </w:r>
            <w:r>
              <w:rPr>
                <w:rFonts w:ascii="Times New Roman;serif" w:hAnsi="Times New Roman;serif"/>
                <w:b w:val="false"/>
                <w:color w:val="000000"/>
                <w:sz w:val="13"/>
              </w:rPr>
              <w:t>(3)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4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4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average interest-earning assets to average interest- 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154.99</w:t>
            </w:r>
          </w:p>
        </w:tc>
        <w:tc>
          <w:tcPr>
            <w:tcW w:w="46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157.65</w:t>
            </w:r>
          </w:p>
        </w:tc>
        <w:tc>
          <w:tcPr>
            <w:tcW w:w="4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Loans placed on nonaccrual status are included in loan balances. See “Nonperforming Assets” below.</w:t>
      </w:r>
    </w:p>
    <w:p>
      <w:pPr>
        <w:pStyle w:val="TextBody"/>
        <w:bidi w:val="0"/>
        <w:spacing w:lineRule="auto" w:line="288" w:before="2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Interest spread is the weighted average yield on interest-earning assets, less the weighted average rate incurred on interest-bearing liabilities.</w:t>
      </w:r>
    </w:p>
    <w:p>
      <w:pPr>
        <w:pStyle w:val="TextBody"/>
        <w:bidi w:val="0"/>
        <w:spacing w:lineRule="auto" w:line="288" w:before="20" w:after="283"/>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Net interest margin is net interest income, expressed as a percentage of average earning assets.</w:t>
      </w:r>
    </w:p>
    <w:p>
      <w:pPr>
        <w:pStyle w:val="TextBody"/>
        <w:bidi w:val="0"/>
        <w:spacing w:lineRule="auto" w:line="288" w:before="200" w:after="283"/>
        <w:jc w:val="left"/>
        <w:rPr/>
      </w:pPr>
      <w:r>
        <w:rPr>
          <w:rFonts w:ascii="Times New Roman;serif" w:hAnsi="Times New Roman;serif"/>
          <w:b w:val="false"/>
          <w:i/>
          <w:color w:val="000000"/>
          <w:sz w:val="20"/>
        </w:rPr>
        <w:t xml:space="preserve">Rate/Volume Analysis. </w:t>
      </w:r>
      <w:r>
        <w:rPr>
          <w:rFonts w:ascii="Times New Roman;serif" w:hAnsi="Times New Roman;serif"/>
          <w:b w:val="false"/>
          <w:color w:val="000000"/>
          <w:sz w:val="20"/>
        </w:rPr>
        <w:t>The following table sets forth the effects of changing rates and volumes on our net interest income based on average balances. The 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096"/>
        <w:gridCol w:w="713"/>
        <w:gridCol w:w="67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5"/>
      </w:tblGrid>
      <w:tr>
        <w:trPr/>
        <w:tc>
          <w:tcPr>
            <w:tcW w:w="10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 vs 2025</w:t>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Due to</w:t>
              <w:b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Increase (Decrease) Due to</w:t>
              <w:br/>
              <w:t xml:space="preserve">Change in: </w:t>
            </w:r>
          </w:p>
        </w:tc>
      </w:tr>
      <w:tr>
        <w:trPr/>
        <w:tc>
          <w:tcPr>
            <w:tcW w:w="2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with the Federal Reserve, non-U.S. central banks and other banks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29,242 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interest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Credit Losses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the components of the provision for credit losses for the periods indicated:</w:t>
      </w:r>
    </w:p>
    <w:tbl>
      <w:tblPr>
        <w:tblW w:w="10205" w:type="dxa"/>
        <w:jc w:val="left"/>
        <w:tblInd w:w="0" w:type="dxa"/>
        <w:tblLayout w:type="fixed"/>
        <w:tblCellMar>
          <w:top w:w="28" w:type="dxa"/>
          <w:left w:w="28" w:type="dxa"/>
          <w:bottom w:w="28" w:type="dxa"/>
          <w:right w:w="28" w:type="dxa"/>
        </w:tblCellMar>
      </w:tblPr>
      <w:tblGrid>
        <w:gridCol w:w="1916"/>
        <w:gridCol w:w="1675"/>
        <w:gridCol w:w="168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308"/>
        <w:gridCol w:w="308"/>
        <w:gridCol w:w="318"/>
      </w:tblGrid>
      <w:tr>
        <w:trPr/>
        <w:tc>
          <w:tcPr>
            <w:tcW w:w="191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Strategic Program loans - with credit enhancement</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loans (core portfolio)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loans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(reversal of) credit losses on unfunded commitments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916"/>
        <w:gridCol w:w="1675"/>
        <w:gridCol w:w="168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308"/>
        <w:gridCol w:w="308"/>
        <w:gridCol w:w="318"/>
      </w:tblGrid>
      <w:tr>
        <w:trPr/>
        <w:tc>
          <w:tcPr>
            <w:tcW w:w="191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Strategic Program loans - with credit enhancement</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loans (core portfolio)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loans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(reversal of) credit losses on unfunded commitments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NM denotes the percentage change is not meaningful</w:t>
      </w:r>
    </w:p>
    <w:p>
      <w:pPr>
        <w:pStyle w:val="TextBody"/>
        <w:bidi w:val="0"/>
        <w:spacing w:lineRule="auto" w:line="288" w:before="200" w:after="283"/>
        <w:ind w:left="0" w:right="0" w:hanging="270"/>
        <w:jc w:val="left"/>
        <w:rPr/>
      </w:pPr>
      <w:r>
        <w:rPr>
          <w:rFonts w:ascii="Times New Roman;serif" w:hAnsi="Times New Roman;serif"/>
          <w:b w:val="false"/>
          <w:color w:val="000000"/>
          <w:sz w:val="12"/>
        </w:rPr>
        <w:t>(1)</w:t>
      </w:r>
      <w:r>
        <w:rPr>
          <w:rFonts w:ascii="Times New Roman;serif" w:hAnsi="Times New Roman;serif"/>
          <w:b w:val="false"/>
          <w:color w:val="000000"/>
          <w:sz w:val="18"/>
        </w:rPr>
        <w:t>For credit enhanced loans, fintech partners are required to maintain a deposit account at FinWise, which is used to recover charge-offs. The provision for credit losses on these loans differs from the core portfolio, as it is fully offset by expected recoveries under the partner guarantee, which is recognized as credit enhancement income in non-interest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our provision for credit losses for the three and six months ended June 30, 2026, compared to the same period in 2025, was primarily related to growth in the credit enhanced loan portfolio and increased provisioning in the core loan portfolio as the Company recognized losses in liquidating, and increased reserves on, non-performing loans and classified other loans. The Company has also adopted more conservative servicing and administrative standards for the SBA and commercial real estate products specific to those characteristics identified as common to many of the loans migrating to non-performing status over the past 18 months. This change has accelerated the classification of nonperforming loans and provisioning for loans with those identified characteristics.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Non-interest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components of non-interest income for the periods indicated:</w:t>
      </w:r>
    </w:p>
    <w:tbl>
      <w:tblPr>
        <w:tblW w:w="8710" w:type="dxa"/>
        <w:jc w:val="left"/>
        <w:tblInd w:w="0" w:type="dxa"/>
        <w:tblLayout w:type="fixed"/>
        <w:tblCellMar>
          <w:top w:w="28" w:type="dxa"/>
          <w:left w:w="28" w:type="dxa"/>
          <w:bottom w:w="28" w:type="dxa"/>
          <w:right w:w="28" w:type="dxa"/>
        </w:tblCellMar>
      </w:tblPr>
      <w:tblGrid>
        <w:gridCol w:w="1303"/>
        <w:gridCol w:w="1146"/>
        <w:gridCol w:w="115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4"/>
        <w:gridCol w:w="317"/>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loan servicing fees,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on investment in BFG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633.1</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710" w:type="dxa"/>
        <w:jc w:val="left"/>
        <w:tblInd w:w="0" w:type="dxa"/>
        <w:tblLayout w:type="fixed"/>
        <w:tblCellMar>
          <w:top w:w="28" w:type="dxa"/>
          <w:left w:w="28" w:type="dxa"/>
          <w:bottom w:w="28" w:type="dxa"/>
          <w:right w:w="28" w:type="dxa"/>
        </w:tblCellMar>
      </w:tblPr>
      <w:tblGrid>
        <w:gridCol w:w="1303"/>
        <w:gridCol w:w="1146"/>
        <w:gridCol w:w="115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3"/>
        <w:gridCol w:w="318"/>
        <w:gridCol w:w="376"/>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 loan servicing fees,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on investment in BFG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enhancement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NM denotes the percentage change is not meaningful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non-interest income for the three months ended June 30, 2026, compared to the same period in 2025, was primarily due to an increase in credit enhancement income, driven by growth in credit-enhanced loan balances. The increase was also attributable to interchange income, a new revenue stream in 2026, as well as the increase in other miscellaneous income as the Company prevailed in litigation with an offboarded strategic partner, which resulted in an increase in miscellaneous income of $0.5 million. These increases were partially offset by a decrease in BFG investment fair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non-interest income for the six months ended June 30, 2026, compared to the six months ended June 30, 2025 was primarily due to increases in credit enhanced loan balances which resulted in growth in the provision for credit losses which in turn resulted in higher credit enhancement income as a reciprocal to the provision for credit losses on credit enhanced loans. Additionally, the increased sales of the guaranteed portions of SBA 7(a) loans led to an increase in gains on loan sales of $0.6 million, an increase in loan origination volume led to higher Strategic Program fees of $0.6 million, and the acquisition of a credit card portfolio in November 2025 introduced interchange income to FinWise.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Non-interest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presents the components of non-interest expense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8246" w:type="dxa"/>
        <w:jc w:val="left"/>
        <w:tblInd w:w="0" w:type="dxa"/>
        <w:tblLayout w:type="fixed"/>
        <w:tblCellMar>
          <w:top w:w="28" w:type="dxa"/>
          <w:left w:w="28" w:type="dxa"/>
          <w:bottom w:w="28" w:type="dxa"/>
          <w:right w:w="28" w:type="dxa"/>
        </w:tblCellMar>
      </w:tblPr>
      <w:tblGrid>
        <w:gridCol w:w="1195"/>
        <w:gridCol w:w="1049"/>
        <w:gridCol w:w="105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376"/>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enhancement servicing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enhancement guarantee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NM denotes the percentage change is not meaningful</w:t>
      </w:r>
    </w:p>
    <w:tbl>
      <w:tblPr>
        <w:tblW w:w="8306" w:type="dxa"/>
        <w:jc w:val="left"/>
        <w:tblInd w:w="0" w:type="dxa"/>
        <w:tblLayout w:type="fixed"/>
        <w:tblCellMar>
          <w:top w:w="28" w:type="dxa"/>
          <w:left w:w="28" w:type="dxa"/>
          <w:bottom w:w="28" w:type="dxa"/>
          <w:right w:w="28" w:type="dxa"/>
        </w:tblCellMar>
      </w:tblPr>
      <w:tblGrid>
        <w:gridCol w:w="1195"/>
        <w:gridCol w:w="1049"/>
        <w:gridCol w:w="105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62"/>
        <w:gridCol w:w="264"/>
        <w:gridCol w:w="376"/>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enhancement servicing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enhancement guarantee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NM denotes the percentage change is not meaningful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total non-interest expense for the three and six months ended June 30, 2026, compared to the same period in 2025, was primarily due to an increase in credit enhancement servicing and guarantee expenses resulting from growth in credit enhanced loans and salaries and employee benefits mainly from increased headcount.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316" w:before="0" w:after="0"/>
        <w:jc w:val="left"/>
        <w:rPr/>
      </w:pPr>
      <w:r>
        <w:rPr>
          <w:rFonts w:ascii="Times New Roman;serif" w:hAnsi="Times New Roman;serif"/>
          <w:b w:val="false"/>
          <w:color w:val="000000"/>
          <w:sz w:val="20"/>
        </w:rPr>
        <w:t xml:space="preserve">Our provision for income taxes for the three and six months ended June 30, 2026 and 2025 resulted in an effective income tax rate of 24.0%, 24.5%, 26.3% and 26.1% respectively. The effective tax rate differed from the federal statutory rate of 21.0% for the three and six months ended June 30, 2026 principally due to </w:t>
      </w:r>
      <w:r>
        <w:rPr>
          <w:rFonts w:ascii="Times New Roman;serif" w:hAnsi="Times New Roman;serif"/>
          <w:b w:val="false"/>
          <w:color w:val="000000"/>
          <w:sz w:val="20"/>
          <w:shd w:fill="FFFFFF" w:val="clear"/>
        </w:rPr>
        <w:t>state and local income taxes and certain non-deductible executive compensation.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Income</w:t>
      </w:r>
    </w:p>
    <w:p>
      <w:pPr>
        <w:pStyle w:val="TextBody"/>
        <w:bidi w:val="0"/>
        <w:spacing w:lineRule="auto" w:line="292"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net income for the three and six months ended June 30, 2026, compared to the same periods in 2025, were primarily the result of the factors discussed in the foregoing 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further described in Note 14, Segments, in Part I, Item 1 of this Report, during the third quarter of 2025, we implemented segment reporting following the completion of a technology initiative to capture segment-specific financial data and develop reports used by our chief operating decision maker (“CODM”) to review our financial performance and determine how to allocate resources. Our operations are comprised of three reportable segments: traditional banking, banking as a service and treasury and administration.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traditional banking segment provides loan and deposit products and services to consumers and businesses nationally and in and around the Salt Lake City, Utah MSA. The BaaS segment provides lending, card and payments solutions nationally to fintech brands. The treasury and administration segment consists of investments, deposits sourced nationally to support the business segments, interest charged to the traditional banking and BaaS segments on funding provided to those businesses, and other items not specific to the traditional banking or BaaS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periods prior to July 1, 2025, our operations were managed and reported as a single segment, and historical financial data by segment was not maintained. Accordingly, it is not practicable to present segment information for prior periods. In the segment reporting below, a non-GAAP subtotal is shown, captioned “Income (loss) before other operating expense allocation”. That subtotal presents an income (loss) subtotal before consideration of allocated corporate expenses which might be fixed, semi-fixed or otherwise resist changes without regard to a particular line of business. The following tables provide segment information for the periods indicated (in thousands): </w:t>
      </w:r>
    </w:p>
    <w:tbl>
      <w:tblPr>
        <w:tblW w:w="10205" w:type="dxa"/>
        <w:jc w:val="left"/>
        <w:tblInd w:w="0" w:type="dxa"/>
        <w:tblLayout w:type="fixed"/>
        <w:tblCellMar>
          <w:top w:w="28" w:type="dxa"/>
          <w:left w:w="28" w:type="dxa"/>
          <w:bottom w:w="28" w:type="dxa"/>
          <w:right w:w="28" w:type="dxa"/>
        </w:tblCellMar>
      </w:tblPr>
      <w:tblGrid>
        <w:gridCol w:w="829"/>
        <w:gridCol w:w="519"/>
        <w:gridCol w:w="481"/>
        <w:gridCol w:w="109"/>
        <w:gridCol w:w="109"/>
        <w:gridCol w:w="109"/>
        <w:gridCol w:w="236"/>
        <w:gridCol w:w="925"/>
        <w:gridCol w:w="122"/>
        <w:gridCol w:w="109"/>
        <w:gridCol w:w="109"/>
        <w:gridCol w:w="109"/>
        <w:gridCol w:w="211"/>
        <w:gridCol w:w="826"/>
        <w:gridCol w:w="109"/>
        <w:gridCol w:w="109"/>
        <w:gridCol w:w="109"/>
        <w:gridCol w:w="109"/>
        <w:gridCol w:w="299"/>
        <w:gridCol w:w="1172"/>
        <w:gridCol w:w="154"/>
        <w:gridCol w:w="109"/>
        <w:gridCol w:w="109"/>
        <w:gridCol w:w="109"/>
        <w:gridCol w:w="330"/>
        <w:gridCol w:w="988"/>
        <w:gridCol w:w="172"/>
        <w:gridCol w:w="109"/>
        <w:gridCol w:w="109"/>
        <w:gridCol w:w="109"/>
        <w:gridCol w:w="211"/>
        <w:gridCol w:w="826"/>
        <w:gridCol w:w="160"/>
      </w:tblGrid>
      <w:tr>
        <w:trPr/>
        <w:tc>
          <w:tcPr>
            <w:tcW w:w="82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9"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 and for the Three Months Ended June 30, 2026</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Traditional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 and Administration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Intersegment 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(3,291)</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33,979 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other operating expense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operating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405,848 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925,311 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0"/>
        <w:gridCol w:w="564"/>
        <w:gridCol w:w="529"/>
        <w:gridCol w:w="109"/>
        <w:gridCol w:w="109"/>
        <w:gridCol w:w="109"/>
        <w:gridCol w:w="257"/>
        <w:gridCol w:w="880"/>
        <w:gridCol w:w="133"/>
        <w:gridCol w:w="109"/>
        <w:gridCol w:w="109"/>
        <w:gridCol w:w="109"/>
        <w:gridCol w:w="211"/>
        <w:gridCol w:w="721"/>
        <w:gridCol w:w="109"/>
        <w:gridCol w:w="109"/>
        <w:gridCol w:w="109"/>
        <w:gridCol w:w="109"/>
        <w:gridCol w:w="375"/>
        <w:gridCol w:w="1098"/>
        <w:gridCol w:w="196"/>
        <w:gridCol w:w="109"/>
        <w:gridCol w:w="109"/>
        <w:gridCol w:w="109"/>
        <w:gridCol w:w="340"/>
        <w:gridCol w:w="1019"/>
        <w:gridCol w:w="177"/>
        <w:gridCol w:w="109"/>
        <w:gridCol w:w="109"/>
        <w:gridCol w:w="109"/>
        <w:gridCol w:w="211"/>
        <w:gridCol w:w="721"/>
        <w:gridCol w:w="159"/>
      </w:tblGrid>
      <w:tr>
        <w:trPr/>
        <w:tc>
          <w:tcPr>
            <w:tcW w:w="87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Traditional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 and Administration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Intersegment Eliminations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(6,648)</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67,520 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56,839 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other operating expense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operating expense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Interest income and expense are allocated to segments based on their respective funding requirements using an internal transfer pricing methodology. The treasury and administration segment earns interest income from providing funds to the traditional banking and BaaS segments, which in turn incur corresponding interest expense. These internal interest flows are eliminated at the consolidated level through the intersegment/eliminations column.</w:t>
      </w:r>
    </w:p>
    <w:p>
      <w:pPr>
        <w:pStyle w:val="TextBody"/>
        <w:bidi w:val="0"/>
        <w:spacing w:lineRule="auto" w:line="288" w:before="200" w:after="283"/>
        <w:jc w:val="left"/>
        <w:rPr/>
      </w:pPr>
      <w:r>
        <w:rPr>
          <w:rFonts w:ascii="Times New Roman;serif" w:hAnsi="Times New Roman;serif"/>
          <w:b w:val="false"/>
          <w:color w:val="000000"/>
          <w:sz w:val="20"/>
        </w:rPr>
        <w:t>The BaaS segment’s strong performance for the three and six months ended June 30, 2026 underscores the success of our Strateg</w:t>
      </w:r>
      <w:r>
        <w:rPr>
          <w:rFonts w:ascii="Times New Roman;serif" w:hAnsi="Times New Roman;serif"/>
          <w:b w:val="false"/>
          <w:color w:val="000000"/>
          <w:sz w:val="20"/>
          <w:shd w:fill="FFFFFF" w:val="clear"/>
        </w:rPr>
        <w:t>ic Program initiatives, while traditional banking is a core component of our business whose results were adversely affected by credit quality issues generally related to the SBA portfolio. Treasury and administration remains focused on optimizing liquidity and supporting the funding needs of our other operating segments.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Looking ahead, we expect continued growth in BaaS as we expand our fintech partnerships and product offerings. Traditional banking performance will be influenced by interest rate trends and credit quality and treasury and administration will remain focused on optimizing liquidity and supporting business growth. We continue to monitor regulatory developments and market conditions that may impact segment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selected components of our consolidated balance sheets as of June 30, 2026 and December 31, 2025:</w:t>
      </w:r>
    </w:p>
    <w:tbl>
      <w:tblPr>
        <w:tblW w:w="10205" w:type="dxa"/>
        <w:jc w:val="left"/>
        <w:tblInd w:w="0" w:type="dxa"/>
        <w:tblLayout w:type="fixed"/>
        <w:tblCellMar>
          <w:top w:w="28" w:type="dxa"/>
          <w:left w:w="28" w:type="dxa"/>
          <w:bottom w:w="28" w:type="dxa"/>
          <w:right w:w="28" w:type="dxa"/>
        </w:tblCellMar>
      </w:tblPr>
      <w:tblGrid>
        <w:gridCol w:w="1660"/>
        <w:gridCol w:w="1364"/>
        <w:gridCol w:w="1358"/>
        <w:gridCol w:w="219"/>
        <w:gridCol w:w="751"/>
        <w:gridCol w:w="282"/>
        <w:gridCol w:w="109"/>
        <w:gridCol w:w="109"/>
        <w:gridCol w:w="109"/>
        <w:gridCol w:w="258"/>
        <w:gridCol w:w="1013"/>
        <w:gridCol w:w="332"/>
        <w:gridCol w:w="109"/>
        <w:gridCol w:w="109"/>
        <w:gridCol w:w="109"/>
        <w:gridCol w:w="211"/>
        <w:gridCol w:w="778"/>
        <w:gridCol w:w="109"/>
        <w:gridCol w:w="109"/>
        <w:gridCol w:w="109"/>
        <w:gridCol w:w="109"/>
        <w:gridCol w:w="284"/>
        <w:gridCol w:w="284"/>
        <w:gridCol w:w="321"/>
      </w:tblGrid>
      <w:tr>
        <w:trPr/>
        <w:tc>
          <w:tcPr>
            <w:tcW w:w="16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3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other banks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87,527 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151,318 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at fair value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Strategic Program loans held-for-sale, at lower of cost or fair value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175,217 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146,473 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514,501 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541,551 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925,311 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977,135 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693,799 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754,561 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726,120 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783,940 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199,191 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193,195 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to total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Interest-Bearing Deposits in Other Banks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decrease in interest-bearing deposits in other banks from December 31, 2025 to June 30, 2026, was primarily due to funding our Strategic Program loans held-for-sale portfolio. Aside from minimal balances held with our correspondent banks, the majority of our interest-bearing deposits are held at the Federal Reserve.</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our securities portfolio to provide a source of liquidity, provide an appropriate return on funds invested, manage interest rate risk, meet collateral requirements and meet regulatory capital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classify investment securities as either held-to-maturity or available-for-sale based on our intentions and our ability to hold such securities until maturity. In determining such classifications, securities that we have the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and weighted-average yields of our investment securities at June 30, 2026. The weighted average yield of investment securities was calculated using the sum of all interest that the investments generate, divided by the average book value. There are no tax-exempt securities.</w:t>
      </w:r>
    </w:p>
    <w:tbl>
      <w:tblPr>
        <w:tblW w:w="10205" w:type="dxa"/>
        <w:jc w:val="left"/>
        <w:tblInd w:w="0" w:type="dxa"/>
        <w:tblLayout w:type="fixed"/>
        <w:tblCellMar>
          <w:top w:w="28" w:type="dxa"/>
          <w:left w:w="28" w:type="dxa"/>
          <w:bottom w:w="28" w:type="dxa"/>
          <w:right w:w="28" w:type="dxa"/>
        </w:tblCellMar>
      </w:tblPr>
      <w:tblGrid>
        <w:gridCol w:w="1156"/>
        <w:gridCol w:w="1007"/>
        <w:gridCol w:w="1010"/>
        <w:gridCol w:w="297"/>
        <w:gridCol w:w="293"/>
        <w:gridCol w:w="721"/>
        <w:gridCol w:w="109"/>
        <w:gridCol w:w="109"/>
        <w:gridCol w:w="109"/>
        <w:gridCol w:w="255"/>
        <w:gridCol w:w="256"/>
        <w:gridCol w:w="550"/>
        <w:gridCol w:w="109"/>
        <w:gridCol w:w="109"/>
        <w:gridCol w:w="109"/>
        <w:gridCol w:w="308"/>
        <w:gridCol w:w="243"/>
        <w:gridCol w:w="606"/>
        <w:gridCol w:w="109"/>
        <w:gridCol w:w="109"/>
        <w:gridCol w:w="109"/>
        <w:gridCol w:w="295"/>
        <w:gridCol w:w="291"/>
        <w:gridCol w:w="726"/>
        <w:gridCol w:w="109"/>
        <w:gridCol w:w="109"/>
        <w:gridCol w:w="109"/>
        <w:gridCol w:w="255"/>
        <w:gridCol w:w="256"/>
        <w:gridCol w:w="372"/>
      </w:tblGrid>
      <w:tr>
        <w:trPr/>
        <w:tc>
          <w:tcPr>
            <w:tcW w:w="115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5 - 10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available-for-sale: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U.S. Treasuries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held-to-maturity: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Mortgage-backed securities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Collateralized mortgage obligations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sales or transfers of investment securities between classifications during the six months ended June 30, 2026 and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we had a total of eighteen securities in an unrealized loss position, consisting of eight collateralized mortgage obligations and ten mortgage-backed securities. At December 31, 2025, we had a total of seventeen securities in an unrealized loss position, consisting of eight collateralized mortgage obligations and nine mortgage-backed securities.</w:t>
      </w:r>
    </w:p>
    <w:p>
      <w:pPr>
        <w:pStyle w:val="TextBody"/>
        <w:bidi w:val="0"/>
        <w:spacing w:lineRule="auto" w:line="288" w:before="20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Strategic Program Loans Held-for-Sale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through our Strategic Program service providers, offer unsecured and secured consumer and business loans to borrowers within certain approved credit profiles nationwide. Loans originated through these programs are limited to predetermined Bank underwriting criteria, which has been approved by our board of directors. We generally retain the loans and/or receivables for a number of business days after origination before selling the loans and/or receivables to the Strategic Program provider or another investor. Interest income is earned by us while holding the loans. These loans are classified as held-for-sale on the balance sheet and measured at the lower of cost or market.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Strategic Program loans held-for-sale increased $28.7 million as of June 30, 2026 compared to December 31, 2025, primarily as a result of higher originations for certain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Loans Held-for-Investment Portfolio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gross loan portfolio held-for-investment by loan program as of the dates indicated:</w:t>
      </w:r>
    </w:p>
    <w:tbl>
      <w:tblPr>
        <w:tblW w:w="9789" w:type="dxa"/>
        <w:jc w:val="left"/>
        <w:tblInd w:w="0" w:type="dxa"/>
        <w:tblLayout w:type="fixed"/>
        <w:tblCellMar>
          <w:top w:w="28" w:type="dxa"/>
          <w:left w:w="28" w:type="dxa"/>
          <w:bottom w:w="28" w:type="dxa"/>
          <w:right w:w="28" w:type="dxa"/>
        </w:tblCellMar>
      </w:tblPr>
      <w:tblGrid>
        <w:gridCol w:w="1614"/>
        <w:gridCol w:w="1418"/>
        <w:gridCol w:w="1423"/>
        <w:gridCol w:w="211"/>
        <w:gridCol w:w="826"/>
        <w:gridCol w:w="109"/>
        <w:gridCol w:w="109"/>
        <w:gridCol w:w="109"/>
        <w:gridCol w:w="109"/>
        <w:gridCol w:w="285"/>
        <w:gridCol w:w="286"/>
        <w:gridCol w:w="351"/>
        <w:gridCol w:w="109"/>
        <w:gridCol w:w="109"/>
        <w:gridCol w:w="109"/>
        <w:gridCol w:w="235"/>
        <w:gridCol w:w="920"/>
        <w:gridCol w:w="121"/>
        <w:gridCol w:w="121"/>
        <w:gridCol w:w="121"/>
        <w:gridCol w:w="121"/>
        <w:gridCol w:w="285"/>
        <w:gridCol w:w="286"/>
        <w:gridCol w:w="402"/>
      </w:tblGrid>
      <w:tr>
        <w:trPr/>
        <w:tc>
          <w:tcPr>
            <w:tcW w:w="16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SBA</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205,615 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held-for-investment, gross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585,509 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SBA loans as of June 30, 2026 and December 31, 2025 include $66.1 million and $102.7 million, respectively, of SBA 7(a) loan balances that are guaranteed by the SBA.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our loan products.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SBA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originate and service loans partially guaranteed by the SBA under its Section 7(a) loan program for small businesses and professionals throughout the United States. Through our diversification efforts, we have built an SBA 7(a) portfolio that we believe positions us to better withstand economic shifts. For example, we focus on industries such as non-store retailers (e-commerce), ambulatory healthcare services, professional, scientific and technical services (including law firms), and merchant wholesalers.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had total SBA 7(a) loans of $164.0 million and $205.6 million, respectively, representing 28.7% and 35.1% of our total loans held-for-investment, respectively. Loans are sourced primarily through our referral relationship with BFG. Although BFG actively markets throughout the United States, we have developed a lending presence in the New York and New Jersey geographies due to its physical location in New York. The maximum SBA 7(a) loan amount is $5.0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We will sell interests in the SBA-guaranteed portion (typically 75% of the principal balance) of a majority of the loans we originate at a premium in the secondary market while retaining all servicing rights and the unguaranteed portion when market pricing for SBA loans are favorable. We will retain both the guaranteed portion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unguaranteed portion on our balance sheet when market pricing for SBA loans is less favorable and to season the new SBA loans to obtain optimal pricing. During the six months ended June 30, 2026, the Company sold $50.9 million of the guaranteed principal balances of SBA loans.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Commercial 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total commercial leases of $83.1 million and $78.7 million, respectively, representing 14.5% and 13.4% of our total loans held-for-investment, respectively. Underwriting for smaller credit requests from customers is generally based on an internal credit scorecard, incorporating several customer and structure attributes including: severity and aging of delinquency; number of credit inquiries; loan-to-value ratio; term; and payment-to-income ratio. We periodically update our underwriting scorecard, which can have an impact on our credit tier scoring. Underwriting for larger credit requests from customers is generally based on commercial credit metrics where the primary repayment source considered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also underwriting considerations. These leases are generally secured by liens on business assets leased or purchased with Company funds. Historically, we have retained these leases on our balance sheet for investment; however, we may sell leases to certain purchasers from time to time.</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Commercial, non-real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 loans consist of loans and leases made to commercial enterprises that are not secured by real estate. As of June 30, 2026 and December 31, 2025, we had total commercial non-real estate loans of $3.5 million and $4.2 million, respectively, representing 0.6% and 0.7% of our total loans held-for-investment,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are included in this product loan category.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Residential 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June 30, 2026 and December 31, 2025, we had total residential real estate loans of $70.5 million and $59.6 million, respectively, representing 12.3% and 10.2% of our total loans held-for-investment,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the general market conditions associated with the area and type of project being funded in addition to the borrower’s financial condition and ability to meet the required debt obligation. These loans are generally secured by mortgages for residential property located primarily in the Salt Lake City, Utah MSA, and we obtain guarantees from responsible parties. Historically, we have retained these loans on our balance sheet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Strategic Program loans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 our Strategic Program service providers, we issue unsecured and secured consumer and business loans to borrowers within certain approved credit profiles nationwide. Although we have generally sold most of these loans, we may choose to hold more of the funded loans and/or receivables based on a number of factors including the amount of our available capital. As of June 30, 2026 and December 31, 2025, we had total Strategic Program loans held-for-investment of $144.6 million and $129.7 million, respectively, representing 25.3% and 22.2% of our total loans held-for-investment, respectively. Loans originated through the Strategic Program are limited to predetermined Bank underwriting criteria, which has been approved by our board of directors. The primary form of repayment on these loans is from the borrower’s personal or business cash flow. Secured loans are secured by liens on consumer or business assets, as applicable.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pStyle w:val="TextBody"/>
        <w:bidi w:val="0"/>
        <w:spacing w:lineRule="auto" w:line="288" w:before="20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Strategic Program loans with credit enhancement</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The Strategic Program loans with credit enhancement are distinct from our traditional loan portfolio. A specified percentage of the outstanding Strategic Program loan balances, representing interest and potentially other revenue sources associated with the program, is retained in a restricted deposit account, from which FinWise recovers its share of any charged-off principal and interest on the related loans. Interest and fees collected in excess of the amounts needed to maintain the deposit balance at the required level are paid to the fintech. In addition, the sponsoring fintech company guarantees that FinWise is reimbursed for the credit and fraud losses associated with these loans. Credit enhanced Strategic Program loans totaled $120.8 million and $108.1 million as of June 30, 2026 and December 31, 2025, representing 21.1% and 18.5% of our total loans held-for-investment, respectively. This significant increase reflects the expansion of the credit enhanced program and its impact on our balance sheet. The Reconciliations of Non-GAAP Financial Measures section of this report below further details the impact of the credit enhancement program on our allowance for credit losses and related non-GAAP financial measures.</w:t>
      </w:r>
    </w:p>
    <w:p>
      <w:pPr>
        <w:pStyle w:val="TextBody"/>
        <w:bidi w:val="0"/>
        <w:spacing w:lineRule="auto" w:line="276" w:before="200" w:after="283"/>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Strategic Program loans without credit enhancement</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without credit enhancement totaled $23.9 million and $21.6 million as of June 30, 2026 and December 31, 2025, representing 4.2% and 3.7% of our total loans held-for-investment, respectively. Unlike the credit enhanced loans, these non-credit enhanced loans do not benefit from a third-party guarantee or indemnification of credit and fraud losses by the Strategic Program service provider. As a result, the Bank retains the full interest and fee income as well as the credit and fraud losses associated with these loans, and they are subject to our standard credit risk management, monitoring, and allowance for credit losses under the CECL model. The accounting for non-credit enhanced Strategic Program loans is consistent with our other held-for-investment loan portfolios. While the non-credit enhanced Strategic Program loans represent a smaller portion of our overall loan portfolio, they provide additional diversification and support our broader fintech strategy.</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Commercial real estate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 include loans to individuals, sole proprietors, partnerships, corporations, or other business enterprises for commercial, industrial, agricultural, or professional purposes, secured by real estate, but not for personal expenditure purposes. As of June 30, 2026 and December 31, 2025, we had total commercial real estate loans of $88.7 million and $85.7 million, respectively, representing 15.5% and 14.6% of our total loans held-for-investment, respectively. Of these amounts, $86.6 million and $84.0 million represented owner occupied properties as of June 30, 2026 and December 31, 2025,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Consumer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Consumer lending provides financing for personal, family, or household purposes on a nationwide basis. Most of these loans are originated through our loan origination system platform and come from a variety of sources, including other approved merchant or dealer relationships and lending platforms. As of June 30, 2026 and December 31, 2025, we had total consumer loans of $17.0 million and $21.9 million, respectively, representing 3.0% and 3.8% of our total loans held-for-investment, respectively. We use a debt-to-income (“DTI”) ratio test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these loans are underwritten as if they were unsecured. On larger loans, we may file a Uniform Commercial Code (“UCC”) financing form. Historically, we have retained these loans on our balance sheet for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Loan Maturity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contractual maturity ranges of loans in our loan portfolio and the amount of such loans with fixed and variable rates in each maturity range as of June 30, 2026:</w:t>
      </w:r>
    </w:p>
    <w:tbl>
      <w:tblPr>
        <w:tblW w:w="10205" w:type="dxa"/>
        <w:jc w:val="left"/>
        <w:tblInd w:w="0" w:type="dxa"/>
        <w:tblLayout w:type="fixed"/>
        <w:tblCellMar>
          <w:top w:w="28" w:type="dxa"/>
          <w:left w:w="28" w:type="dxa"/>
          <w:bottom w:w="28" w:type="dxa"/>
          <w:right w:w="28" w:type="dxa"/>
        </w:tblCellMar>
      </w:tblPr>
      <w:tblGrid>
        <w:gridCol w:w="650"/>
        <w:gridCol w:w="451"/>
        <w:gridCol w:w="453"/>
        <w:gridCol w:w="211"/>
        <w:gridCol w:w="826"/>
        <w:gridCol w:w="109"/>
        <w:gridCol w:w="109"/>
        <w:gridCol w:w="109"/>
        <w:gridCol w:w="109"/>
        <w:gridCol w:w="338"/>
        <w:gridCol w:w="1324"/>
        <w:gridCol w:w="174"/>
        <w:gridCol w:w="109"/>
        <w:gridCol w:w="109"/>
        <w:gridCol w:w="109"/>
        <w:gridCol w:w="355"/>
        <w:gridCol w:w="1391"/>
        <w:gridCol w:w="183"/>
        <w:gridCol w:w="109"/>
        <w:gridCol w:w="109"/>
        <w:gridCol w:w="109"/>
        <w:gridCol w:w="250"/>
        <w:gridCol w:w="856"/>
        <w:gridCol w:w="129"/>
        <w:gridCol w:w="109"/>
        <w:gridCol w:w="109"/>
        <w:gridCol w:w="109"/>
        <w:gridCol w:w="211"/>
        <w:gridCol w:w="826"/>
        <w:gridCol w:w="160"/>
      </w:tblGrid>
      <w:tr>
        <w:trPr/>
        <w:tc>
          <w:tcPr>
            <w:tcW w:w="6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51"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Remaining Contractual Maturity Held-for-Investment</w:t>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One Year and Through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Five Years and Through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After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Fixed rate loans: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Subtotal fixed rate loans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101,343 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233,766 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Variable rate loans: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Subtotal variable rate loans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94,176 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98,255 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337,620 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195,519 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102,170 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28,535 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571,386 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Nonperforming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unless they are both well secured and in the process of collection. We also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Any loan, or portion of a loan, which we deem to be uncollectible is charged off to the extent of the anticipated loss. In general, the reported balance of commercial loans that are past due for 90 days or more are reduced to the estimated net realizable value. Consumer loans and credit card balances are charged off at no later than 120 days and 180 days, respectively.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had a total of $37.7 million in nonperforming assets as of June 30, 2026, which included $19.0 million of SBA 7(a) loan balances that are guaranteed by the SBA. We had $43.7 million in nonperforming assets which included $0.5 million in material loan modifications at December 31, 2025. The amount of nonperforming assets as of December 31, 2025 includes $24.2 million of SBA 7(a) loan balances that are guaranteed by the SBA. The decrease in nonperforming assets from the prior year was primarily attributable to a decrease in the SBA 7(a) loan portfolio being classified as nonaccrual mainly due to paydowns.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Strategic Program service providers also provide for loan modifications to borrowers. The service providers are authorized to make the loan modifications consistent with modification program terms previously approved by FinWise but without prior FinWise consent on the specific loans in order to react to immediately to borrower contact and optimize collections. As of June 30, 2026 the balance of outstanding loan modifications was approximately $0.2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 Profile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we underwrite loans carefully and thoroughly, limiting our lending activities to those products and services where we have the resources and expertise to lend profitably without undue credit risk. We require all loans to conform to our underwriting policies (or otherwise be identified as exceptions to policy and monitored and reported on, at minimum, quarterly) and be granted on a sound basis. Loans are made with a primary emphasis on loan profitability, credit risk and concentration exposures.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credit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credit loss reserve adequacy. Further, on a quarterly basis, the Loan Committee holds a Loan Risk Grade meeting to review all loans in our portfolio for accurate risk grading. Any required changes to the loan risk grading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use a grading system to rank the quality of each loan. The grade is periodically evaluated and adjusted as performance dictates. Internal loan grades are based on current financial information, historical payment experience, and credit documentation, among other factors. The following guidelines govern the assignment of these risk grades. We do not currently grade Strategic Program loans held-for-investment due to their small balances and similar characteristics.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credit quality for Strategic Program loans have been highly correlated with delinquency levels, the Strategic Program loans are evaluated collectively for impairment.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Pass – A Pass asset is higher quality and does not fit any of the other categories described below. The likelihood of loss is believed to be remote.</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New loans pursuant to the SBA 7(a) program are classified as watch loans until they have a demonstrated period of satisfactory performance, typically 18 months.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Special Mention – A Special Mention asset has potential weaknesses that may be temporary or, if left uncorrected, may result in a loss. While concerns exist, we believe that it is currently protected against a default and loss is considered unlikely and not imminent.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Substandard – A Substandard asset is believed to be inadequately protected by the current sound worth and paying capacity of the obligor or of the collateral pledged, if any. Assets so classified have identified weaknesses and are characterized by the possibility that we may sustain some loss if deficiencies are not corrected.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Doubtful – A doubtful asset has an existing weakness or weaknesses that make collection or liquidation in full, on the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basis of currently existing facts and conditions, highly questionable and improbable.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Loss – A loss asset has an existing weakness or weaknesses that render the loan uncollectible and of such little value that continuing to carry as an asset on our books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pStyle w:val="TextBody"/>
        <w:bidi w:val="0"/>
        <w:spacing w:lineRule="auto" w:line="288" w:before="200" w:after="283"/>
        <w:jc w:val="left"/>
        <w:rPr/>
      </w:pPr>
      <w:r>
        <w:rPr>
          <w:rFonts w:ascii="Times New Roman;serif" w:hAnsi="Times New Roman;serif"/>
          <w:b w:val="false"/>
          <w:color w:val="000000"/>
          <w:sz w:val="20"/>
        </w:rPr>
        <w:t>Not Rated – For certain Strategic Program and consumer loans, we do not evaluate and risk rate the loans in the same manner as other loans in our portfolio. The Not Rated loans are typically homogenous, smaller dollar balances approved using abridged underwriting methods that allow us to streamline the loan approval process and increase efficiency</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Credit quality for Strategic Program loans has been highly correlated with delinquency levels.</w:t>
      </w:r>
    </w:p>
    <w:p>
      <w:pPr>
        <w:pStyle w:val="TextBody"/>
        <w:bidi w:val="0"/>
        <w:spacing w:lineRule="auto" w:line="288" w:before="200" w:after="283"/>
        <w:jc w:val="left"/>
        <w:rPr/>
      </w:pPr>
      <w:r>
        <w:rPr>
          <w:rFonts w:ascii="Times New Roman;serif" w:hAnsi="Times New Roman;serif"/>
          <w:b w:val="false"/>
          <w:color w:val="000000"/>
          <w:sz w:val="20"/>
        </w:rPr>
        <w:t xml:space="preserve">See Note 3 - </w:t>
      </w:r>
      <w:r>
        <w:rPr>
          <w:rFonts w:ascii="Times New Roman;serif" w:hAnsi="Times New Roman;serif"/>
          <w:b w:val="false"/>
          <w:color w:val="000000"/>
          <w:sz w:val="20"/>
          <w:shd w:fill="FFFFFF" w:val="clear"/>
        </w:rPr>
        <w:t>Loans</w:t>
      </w:r>
      <w:r>
        <w:rPr>
          <w:color w:val="000000"/>
        </w:rPr>
        <w:t xml:space="preserve"> </w:t>
      </w:r>
      <w:r>
        <w:rPr>
          <w:rFonts w:ascii="Times New Roman;serif" w:hAnsi="Times New Roman;serif"/>
          <w:b w:val="false"/>
          <w:color w:val="000000"/>
          <w:sz w:val="20"/>
        </w:rPr>
        <w:t>to the consolidated financial statements included in Part I, Item 1 for more information on the credit quality of our loans held-for-investment (“LHFI”) portfolio.</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at least a quarterly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our auditors.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other assets on the consolidated balance sheets. The provision for credit losses on the consolidated statements of income is a combination of the provision for credit losses and the provision for unfunded loan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changes in the ACL for the periods and dates indicated:</w:t>
      </w:r>
    </w:p>
    <w:tbl>
      <w:tblPr>
        <w:tblW w:w="10205" w:type="dxa"/>
        <w:jc w:val="left"/>
        <w:tblInd w:w="0" w:type="dxa"/>
        <w:tblLayout w:type="fixed"/>
        <w:tblCellMar>
          <w:top w:w="28" w:type="dxa"/>
          <w:left w:w="28" w:type="dxa"/>
          <w:bottom w:w="28" w:type="dxa"/>
          <w:right w:w="28" w:type="dxa"/>
        </w:tblCellMar>
      </w:tblPr>
      <w:tblGrid>
        <w:gridCol w:w="1227"/>
        <w:gridCol w:w="999"/>
        <w:gridCol w:w="1004"/>
        <w:gridCol w:w="316"/>
        <w:gridCol w:w="1081"/>
        <w:gridCol w:w="163"/>
        <w:gridCol w:w="109"/>
        <w:gridCol w:w="109"/>
        <w:gridCol w:w="109"/>
        <w:gridCol w:w="316"/>
        <w:gridCol w:w="1081"/>
        <w:gridCol w:w="163"/>
        <w:gridCol w:w="109"/>
        <w:gridCol w:w="109"/>
        <w:gridCol w:w="109"/>
        <w:gridCol w:w="285"/>
        <w:gridCol w:w="978"/>
        <w:gridCol w:w="147"/>
        <w:gridCol w:w="109"/>
        <w:gridCol w:w="109"/>
        <w:gridCol w:w="109"/>
        <w:gridCol w:w="282"/>
        <w:gridCol w:w="967"/>
        <w:gridCol w:w="215"/>
      </w:tblGrid>
      <w:tr>
        <w:trPr/>
        <w:tc>
          <w:tcPr>
            <w:tcW w:w="122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Charge-offs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Recoveries</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Strategic Program loans</w:t>
            </w:r>
            <w:r>
              <w:rPr>
                <w:rFonts w:ascii="Times New Roman;serif" w:hAnsi="Times New Roman;serif"/>
                <w:b w:val="false"/>
                <w:color w:val="000000"/>
                <w:sz w:val="13"/>
              </w:rPr>
              <w:t>(1)</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47,435 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47,435 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Recoveries related to Strategic Program loans that were reimbursed fully on the credit enhanced portfolio totaled $7.8 million and $1.0 thousand for the three months ended June 30, 2026 and June 30, 2025, respectively, and $12.7 million and $2.0 thousand for the six months ended June 30, 2026 and June 30, 2026, respectively.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allocation of the ACL and the percentage of loans in each category to total loans as of June 30, 2026 and December 31, 2025. The ACL related to Strategic Programs constitutes 78.9% and 77.0% of the total ACL while comprising 25.3% and 22.2%, respectively, of total loans held-for-investment as of June 30, 2026 and December 31, 2025, respectively. The percentage of ACL related to Strategic Program loans retained reflects the increased credit risks associated with certain retained Strategic Program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91"/>
        <w:gridCol w:w="806"/>
        <w:gridCol w:w="779"/>
        <w:gridCol w:w="211"/>
        <w:gridCol w:w="721"/>
        <w:gridCol w:w="109"/>
        <w:gridCol w:w="109"/>
        <w:gridCol w:w="109"/>
        <w:gridCol w:w="109"/>
        <w:gridCol w:w="577"/>
        <w:gridCol w:w="478"/>
        <w:gridCol w:w="1199"/>
        <w:gridCol w:w="109"/>
        <w:gridCol w:w="109"/>
        <w:gridCol w:w="109"/>
        <w:gridCol w:w="211"/>
        <w:gridCol w:w="721"/>
        <w:gridCol w:w="109"/>
        <w:gridCol w:w="109"/>
        <w:gridCol w:w="109"/>
        <w:gridCol w:w="109"/>
        <w:gridCol w:w="555"/>
        <w:gridCol w:w="448"/>
        <w:gridCol w:w="1309"/>
      </w:tblGrid>
      <w:tr>
        <w:trPr/>
        <w:tc>
          <w:tcPr>
            <w:tcW w:w="99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2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 of Loans in Category to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 of Loans in Category to Total Loans</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30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ratios of the ACL to total LHFI, nonaccrual loans to total LHFI, and the ACL to nonaccrual loans by CECL loan category as of June 30, 2026:</w:t>
      </w:r>
    </w:p>
    <w:tbl>
      <w:tblPr>
        <w:tblW w:w="8942" w:type="dxa"/>
        <w:jc w:val="left"/>
        <w:tblInd w:w="0" w:type="dxa"/>
        <w:tblLayout w:type="fixed"/>
        <w:tblCellMar>
          <w:top w:w="28" w:type="dxa"/>
          <w:left w:w="28" w:type="dxa"/>
          <w:bottom w:w="28" w:type="dxa"/>
          <w:right w:w="28" w:type="dxa"/>
        </w:tblCellMar>
      </w:tblPr>
      <w:tblGrid>
        <w:gridCol w:w="1120"/>
        <w:gridCol w:w="982"/>
        <w:gridCol w:w="987"/>
        <w:gridCol w:w="389"/>
        <w:gridCol w:w="389"/>
        <w:gridCol w:w="976"/>
        <w:gridCol w:w="109"/>
        <w:gridCol w:w="109"/>
        <w:gridCol w:w="109"/>
        <w:gridCol w:w="370"/>
        <w:gridCol w:w="370"/>
        <w:gridCol w:w="924"/>
        <w:gridCol w:w="109"/>
        <w:gridCol w:w="109"/>
        <w:gridCol w:w="109"/>
        <w:gridCol w:w="418"/>
        <w:gridCol w:w="348"/>
        <w:gridCol w:w="1015"/>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w:t>
              <w:br/>
              <w:t>Nonaccrual Loans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and land development </w:t>
            </w:r>
          </w:p>
        </w:tc>
        <w:tc>
          <w:tcPr>
            <w:tcW w:w="7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real estate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Owner occupied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Non-owner occupied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6,652.2 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ratios of the ACL to total LHFI, nonaccrual loans to total LHFI, and the ACL to nonaccrual loans by CECL loan category as of December 31, 2025:</w:t>
      </w:r>
    </w:p>
    <w:tbl>
      <w:tblPr>
        <w:tblW w:w="8933" w:type="dxa"/>
        <w:jc w:val="left"/>
        <w:tblInd w:w="0" w:type="dxa"/>
        <w:tblLayout w:type="fixed"/>
        <w:tblCellMar>
          <w:top w:w="28" w:type="dxa"/>
          <w:left w:w="28" w:type="dxa"/>
          <w:bottom w:w="28" w:type="dxa"/>
          <w:right w:w="28" w:type="dxa"/>
        </w:tblCellMar>
      </w:tblPr>
      <w:tblGrid>
        <w:gridCol w:w="1104"/>
        <w:gridCol w:w="968"/>
        <w:gridCol w:w="973"/>
        <w:gridCol w:w="389"/>
        <w:gridCol w:w="389"/>
        <w:gridCol w:w="976"/>
        <w:gridCol w:w="109"/>
        <w:gridCol w:w="109"/>
        <w:gridCol w:w="109"/>
        <w:gridCol w:w="370"/>
        <w:gridCol w:w="370"/>
        <w:gridCol w:w="924"/>
        <w:gridCol w:w="109"/>
        <w:gridCol w:w="109"/>
        <w:gridCol w:w="109"/>
        <w:gridCol w:w="418"/>
        <w:gridCol w:w="357"/>
        <w:gridCol w:w="1041"/>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ACL 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ACL to</w:t>
              <w:br/>
              <w:t xml:space="preserve">Nonaccrual Loans </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7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comparing June 30, 2026 to December 31, 2025, the increase in ACL to total loans held-for-investment was primarily due to the increase of the credit enhanced loan portfolio ACL resulting from the change in portfolio composition. The decrease in nonaccrual loans to total loans held-for-investment as shown above was primarily driven by a decline in nonaccrual loan balances, which more than offset the decrease in total loans held-for-investment during the period. The increase in the ACL to nonaccrual loans ratio as shown above primarily pertained to growth in the credit enhanced loans included in the Strategic Program loans held-for-investment offset in part by the decrease in nonaccrual loan balances during the period.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net charge-offs (“NCO”), average loans and the ratio of annualized NCO to average loans for the periods indicated:</w:t>
      </w:r>
    </w:p>
    <w:tbl>
      <w:tblPr>
        <w:tblW w:w="10205" w:type="dxa"/>
        <w:jc w:val="left"/>
        <w:tblInd w:w="0" w:type="dxa"/>
        <w:tblLayout w:type="fixed"/>
        <w:tblCellMar>
          <w:top w:w="28" w:type="dxa"/>
          <w:left w:w="28" w:type="dxa"/>
          <w:bottom w:w="28" w:type="dxa"/>
          <w:right w:w="28" w:type="dxa"/>
        </w:tblCellMar>
      </w:tblPr>
      <w:tblGrid>
        <w:gridCol w:w="733"/>
        <w:gridCol w:w="552"/>
        <w:gridCol w:w="512"/>
        <w:gridCol w:w="211"/>
        <w:gridCol w:w="721"/>
        <w:gridCol w:w="109"/>
        <w:gridCol w:w="109"/>
        <w:gridCol w:w="109"/>
        <w:gridCol w:w="109"/>
        <w:gridCol w:w="211"/>
        <w:gridCol w:w="826"/>
        <w:gridCol w:w="109"/>
        <w:gridCol w:w="109"/>
        <w:gridCol w:w="109"/>
        <w:gridCol w:w="109"/>
        <w:gridCol w:w="294"/>
        <w:gridCol w:w="264"/>
        <w:gridCol w:w="660"/>
        <w:gridCol w:w="109"/>
        <w:gridCol w:w="109"/>
        <w:gridCol w:w="109"/>
        <w:gridCol w:w="211"/>
        <w:gridCol w:w="616"/>
        <w:gridCol w:w="109"/>
        <w:gridCol w:w="109"/>
        <w:gridCol w:w="109"/>
        <w:gridCol w:w="109"/>
        <w:gridCol w:w="211"/>
        <w:gridCol w:w="826"/>
        <w:gridCol w:w="109"/>
        <w:gridCol w:w="109"/>
        <w:gridCol w:w="109"/>
        <w:gridCol w:w="109"/>
        <w:gridCol w:w="299"/>
        <w:gridCol w:w="251"/>
        <w:gridCol w:w="736"/>
      </w:tblGrid>
      <w:tr>
        <w:trPr/>
        <w:tc>
          <w:tcPr>
            <w:tcW w:w="73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 xml:space="preserve">Offs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33"/>
        <w:gridCol w:w="552"/>
        <w:gridCol w:w="512"/>
        <w:gridCol w:w="211"/>
        <w:gridCol w:w="721"/>
        <w:gridCol w:w="109"/>
        <w:gridCol w:w="109"/>
        <w:gridCol w:w="109"/>
        <w:gridCol w:w="109"/>
        <w:gridCol w:w="211"/>
        <w:gridCol w:w="826"/>
        <w:gridCol w:w="109"/>
        <w:gridCol w:w="109"/>
        <w:gridCol w:w="109"/>
        <w:gridCol w:w="109"/>
        <w:gridCol w:w="294"/>
        <w:gridCol w:w="264"/>
        <w:gridCol w:w="660"/>
        <w:gridCol w:w="109"/>
        <w:gridCol w:w="109"/>
        <w:gridCol w:w="109"/>
        <w:gridCol w:w="211"/>
        <w:gridCol w:w="616"/>
        <w:gridCol w:w="109"/>
        <w:gridCol w:w="109"/>
        <w:gridCol w:w="109"/>
        <w:gridCol w:w="109"/>
        <w:gridCol w:w="211"/>
        <w:gridCol w:w="826"/>
        <w:gridCol w:w="109"/>
        <w:gridCol w:w="109"/>
        <w:gridCol w:w="109"/>
        <w:gridCol w:w="109"/>
        <w:gridCol w:w="299"/>
        <w:gridCol w:w="251"/>
        <w:gridCol w:w="736"/>
      </w:tblGrid>
      <w:tr>
        <w:trPr/>
        <w:tc>
          <w:tcPr>
            <w:tcW w:w="73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 xml:space="preserve">Offs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br/>
              <w:t>Charge-</w:t>
              <w:br/>
              <w:t>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Annualized NCO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Loans</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 credit enhancement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Program loans - without credit enhancement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total ratio of annualized NCO to average loans outstanding was higher during the three months ended June 30, 2026, as compared to the three months ended June 30, 2025, primarily due to higher net charge-offs in the commercial real estate and commercial and industrial portfolios, reflecting our adoption of more conservative servicing and administrative standards for SBA and commercial real estate loans, which accelerated the classification and charge-off of nonperforming loans with identified risk characteristics.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total ratio of annualized NCO to average loans outstanding was higher during the six months ended June 30, 2026, as compared to the same prior year period, primarily due to higher charge-off activity across the commercial real estate owner-occupied, commercial and industrial, and residential real estate portfolios, as the Company recognized losses in connection with the liquidation of non-performing loans and increased provisioning on loans with characteristics common to those migrating to nonperforming status over the prior 18 months.</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Total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assets at June 30, 2026 were $925.3 million, a decrease of $51.8 million from December 31, 2025. The decrease in total assets was primarily due to decreases in interest-bearing cash deposits of $63.8 million and loans held-for-investment, net, of $27.1 million, partially offset by increases in loans held-for-sale portfolio of $28.7 million, and the credit enhanced asset of $9.5 million.</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Deposits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Deposits are the major source of funding for us. We offer a variety of deposit products including interest and noninterest bearing demand accounts, HSA demand deposits,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our Strategic Program loan portfolio. In addition to the reserve account, some Strategic Program loan originators maintain operating deposit accounts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end of period balances of our deposit portfolio for the periods indicated:</w:t>
      </w:r>
    </w:p>
    <w:tbl>
      <w:tblPr>
        <w:tblW w:w="8504" w:type="dxa"/>
        <w:jc w:val="left"/>
        <w:tblInd w:w="0" w:type="dxa"/>
        <w:tblLayout w:type="fixed"/>
        <w:tblCellMar>
          <w:top w:w="28" w:type="dxa"/>
          <w:left w:w="28" w:type="dxa"/>
          <w:bottom w:w="28" w:type="dxa"/>
          <w:right w:w="28" w:type="dxa"/>
        </w:tblCellMar>
      </w:tblPr>
      <w:tblGrid>
        <w:gridCol w:w="1140"/>
        <w:gridCol w:w="1002"/>
        <w:gridCol w:w="1008"/>
        <w:gridCol w:w="211"/>
        <w:gridCol w:w="826"/>
        <w:gridCol w:w="109"/>
        <w:gridCol w:w="109"/>
        <w:gridCol w:w="109"/>
        <w:gridCol w:w="109"/>
        <w:gridCol w:w="285"/>
        <w:gridCol w:w="286"/>
        <w:gridCol w:w="441"/>
        <w:gridCol w:w="109"/>
        <w:gridCol w:w="109"/>
        <w:gridCol w:w="109"/>
        <w:gridCol w:w="211"/>
        <w:gridCol w:w="826"/>
        <w:gridCol w:w="109"/>
        <w:gridCol w:w="109"/>
        <w:gridCol w:w="109"/>
        <w:gridCol w:w="109"/>
        <w:gridCol w:w="285"/>
        <w:gridCol w:w="286"/>
        <w:gridCol w:w="49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demand deposits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end deposits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754,561 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decrease in total deposits as of June 30, 2026 compared to December 31, 2025 of $60.8 million was primarily due to reductions in noninterest-bearing demand deposits and certificates of deposit, as excess funds were not required to support the lower level of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an FDIC-insured institution, our deposits are insured up to $250,000 per depositor, per insured bank, for each account ownership category. Our total estimated uninsured deposits were $174.4 million and $204.1 million as of June 30, 2026 and December 31, 2025, respectively. Estimated uninsured deposits at the Bank as of June 30, 2026 include $29.0 million of total deposits contractually required to be maintained at the Bank pursuant to our Strategic Program agreements and an additional $52.1 million of total deposits associated with accounts owned by the parent holding company or the Bank. The maturity profile of our uninsured time deposits, those amounts that exceed the FDIC insurance limit, at June 30, 2026 is as follows:</w:t>
      </w:r>
    </w:p>
    <w:tbl>
      <w:tblPr>
        <w:tblW w:w="8261" w:type="dxa"/>
        <w:jc w:val="left"/>
        <w:tblInd w:w="0" w:type="dxa"/>
        <w:tblLayout w:type="fixed"/>
        <w:tblCellMar>
          <w:top w:w="28" w:type="dxa"/>
          <w:left w:w="28" w:type="dxa"/>
          <w:bottom w:w="28" w:type="dxa"/>
          <w:right w:w="28" w:type="dxa"/>
        </w:tblCellMar>
      </w:tblPr>
      <w:tblGrid>
        <w:gridCol w:w="782"/>
        <w:gridCol w:w="687"/>
        <w:gridCol w:w="690"/>
        <w:gridCol w:w="211"/>
        <w:gridCol w:w="466"/>
        <w:gridCol w:w="109"/>
        <w:gridCol w:w="109"/>
        <w:gridCol w:w="109"/>
        <w:gridCol w:w="109"/>
        <w:gridCol w:w="286"/>
        <w:gridCol w:w="553"/>
        <w:gridCol w:w="150"/>
        <w:gridCol w:w="109"/>
        <w:gridCol w:w="109"/>
        <w:gridCol w:w="109"/>
        <w:gridCol w:w="236"/>
        <w:gridCol w:w="691"/>
        <w:gridCol w:w="122"/>
        <w:gridCol w:w="109"/>
        <w:gridCol w:w="109"/>
        <w:gridCol w:w="109"/>
        <w:gridCol w:w="306"/>
        <w:gridCol w:w="525"/>
        <w:gridCol w:w="158"/>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Six</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Twelve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Twelve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uninsured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Total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decreased to $726.1 million, or 7.4%, as of June 30, 2026 from $783.9 million as of December 31, 2025 primarily due to a decrease in deposits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00" w:after="283"/>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Liquidity Management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Liquidity management is the ability to meet current and future financial obligations of a short-term nature. Our primary sources of funds consist of deposit inflows, the sale of loans, principal and interest repayments on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primary source of funds to originate new loans is derived from deposits. Deposits are comprised of core and non-core deposits. To attract core deposits from local and nationwide consumer and commercial markets, we historically paid rates at the higher end of the market, which we have been able to pay due to the higher margin of our technology oriented business model. We utilize rate listing services and website advertising to attract deposits from consumer and commercial sources. Non-core deposits generally include brokered deposits and deposits acquired through the utilization of a listing service.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intend to have various term offerings to match our funding needs. With no current plans to expand our brick-and-mortar branch network, online and mobile banking offers a means to meet customer needs and better efficiency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technology compared to traditional branch networks. We believe that the rise of mobile and online banking provides us the opportunity to further leverage the technological competency we have demonstrated in recent years.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our liquidity policy is to control the risk to our earnings and capital arising from the inability to meet obligations in a timely manner. This entails ensuring sufficient funds are available at all times and at a reasonable cost to meet potential demands from both fund providers and borrowers.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We primarily utilize short-term and long-term borrowings to supplement deposits to fund our lending and investment activities. At June 30, 2026, we had the ability to access $177.0 million from the Federal Reserve Bank on a collateralized basis. The Bank had an available unsecured line of credit with three correspondent banks to borrow up to </w:t>
      </w:r>
      <w:r>
        <w:rPr>
          <w:rFonts w:ascii="Times New Roman;serif" w:hAnsi="Times New Roman;serif"/>
          <w:b w:val="false"/>
          <w:color w:val="000000"/>
          <w:sz w:val="20"/>
        </w:rPr>
        <w:t>$16.1 million</w:t>
      </w:r>
      <w:r>
        <w:rPr>
          <w:color w:val="000000"/>
          <w:shd w:fill="FFFFFF" w:val="clear"/>
        </w:rPr>
        <w:t xml:space="preserve"> </w:t>
      </w:r>
      <w:r>
        <w:rPr>
          <w:rFonts w:ascii="Times New Roman;serif" w:hAnsi="Times New Roman;serif"/>
          <w:b w:val="false"/>
          <w:color w:val="000000"/>
          <w:sz w:val="20"/>
          <w:shd w:fill="FFFFFF" w:val="clear"/>
        </w:rPr>
        <w:t>in overnight funds. We also maintain a $10.8 million line of credit with Federal Home Loan Bank, secured by specific pledged loans. We had no outstanding balances on any unsecured or secured lines of credit as of June 30, 2026.</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Our most liquid assets are cash and cash equivalents. The levels of these assets depend on our operating, financing, lending and investing activities during any given period. At June 30, 2026, liquid assets (defined as cash and due from banks and interest-bearing deposits) totaled $93.6 million and constituted </w:t>
      </w:r>
      <w:r>
        <w:rPr>
          <w:rFonts w:ascii="Times New Roman;serif" w:hAnsi="Times New Roman;serif"/>
          <w:b w:val="false"/>
          <w:color w:val="000000"/>
          <w:sz w:val="20"/>
        </w:rPr>
        <w:t>10.1%</w:t>
      </w:r>
      <w:r>
        <w:rPr>
          <w:color w:val="000000"/>
          <w:shd w:fill="FFFFFF" w:val="clear"/>
        </w:rPr>
        <w:t xml:space="preserve"> </w:t>
      </w:r>
      <w:r>
        <w:rPr>
          <w:rFonts w:ascii="Times New Roman;serif" w:hAnsi="Times New Roman;serif"/>
          <w:b w:val="false"/>
          <w:color w:val="000000"/>
          <w:sz w:val="20"/>
          <w:shd w:fill="FFFFFF" w:val="clear"/>
        </w:rPr>
        <w:t xml:space="preserve">of total assets. </w:t>
      </w:r>
      <w:r>
        <w:rPr>
          <w:rFonts w:ascii="Times New Roman;serif" w:hAnsi="Times New Roman;serif"/>
          <w:b w:val="false"/>
          <w:color w:val="000000"/>
          <w:sz w:val="20"/>
        </w:rPr>
        <w:t>W</w:t>
      </w:r>
      <w:r>
        <w:rPr>
          <w:rFonts w:ascii="Times New Roman;serif" w:hAnsi="Times New Roman;serif"/>
          <w:b w:val="false"/>
          <w:color w:val="000000"/>
          <w:sz w:val="20"/>
          <w:shd w:fill="FFFFFF" w:val="clear"/>
        </w:rPr>
        <w:t>e believe that our liquid assets combined with the available lines of credit and our ability to generate core and non-core funding provides adequate liquidity to meet our current financial obligations for at least the next 12 months.</w:t>
      </w:r>
    </w:p>
    <w:p>
      <w:pPr>
        <w:pStyle w:val="TextBody"/>
        <w:bidi w:val="0"/>
        <w:spacing w:lineRule="auto" w:line="288" w:before="200" w:after="283"/>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Capital Resources</w:t>
      </w:r>
    </w:p>
    <w:p>
      <w:pPr>
        <w:pStyle w:val="TextBody"/>
        <w:bidi w:val="0"/>
        <w:spacing w:lineRule="auto" w:line="288" w:before="200" w:after="283"/>
        <w:jc w:val="left"/>
        <w:rPr/>
      </w:pPr>
      <w:r>
        <w:rPr>
          <w:rFonts w:ascii="Times New Roman;serif" w:hAnsi="Times New Roman;serif"/>
          <w:b w:val="false"/>
          <w:color w:val="000000"/>
          <w:sz w:val="20"/>
          <w:shd w:fill="FFFFFF" w:val="clear"/>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w:t>
      </w:r>
      <w:r>
        <w:rPr>
          <w:rFonts w:ascii="Times New Roman;serif" w:hAnsi="Times New Roman;serif"/>
          <w:b w:val="false"/>
          <w:color w:val="000000"/>
          <w:sz w:val="20"/>
        </w:rPr>
        <w:t>t or credit exposure, investment activity, potential product and business expansions, acquisitions and strategic or infrastructure investments.</w:t>
      </w:r>
    </w:p>
    <w:p>
      <w:pPr>
        <w:pStyle w:val="TextBody"/>
        <w:bidi w:val="0"/>
        <w:spacing w:lineRule="auto" w:line="288" w:before="200" w:after="283"/>
        <w:jc w:val="left"/>
        <w:rPr/>
      </w:pPr>
      <w:r>
        <w:rPr>
          <w:rFonts w:ascii="Times New Roman;serif" w:hAnsi="Times New Roman;serif"/>
          <w:b w:val="false"/>
          <w:color w:val="000000"/>
          <w:sz w:val="20"/>
        </w:rPr>
        <w:t>Shareholders’ equity increased $6.0 million to $199.2 million at June 30, 2026 compared to $193.2 million at December 31, 2025, primar</w:t>
      </w:r>
      <w:r>
        <w:rPr>
          <w:rFonts w:ascii="Times New Roman;serif" w:hAnsi="Times New Roman;serif"/>
          <w:b w:val="false"/>
          <w:color w:val="000000"/>
          <w:sz w:val="20"/>
          <w:shd w:fill="FFFFFF" w:val="clear"/>
        </w:rPr>
        <w:t xml:space="preserve">ily due to earnings of </w:t>
      </w:r>
      <w:r>
        <w:rPr>
          <w:rFonts w:ascii="Times New Roman;serif" w:hAnsi="Times New Roman;serif"/>
          <w:b w:val="false"/>
          <w:color w:val="000000"/>
          <w:sz w:val="20"/>
        </w:rPr>
        <w:t>$4.9 million</w:t>
      </w:r>
      <w:r>
        <w:rPr>
          <w:color w:val="000000"/>
          <w:shd w:fill="FFFFFF" w:val="clear"/>
        </w:rPr>
        <w:t xml:space="preserve"> </w:t>
      </w:r>
      <w:r>
        <w:rPr>
          <w:rFonts w:ascii="Times New Roman;serif" w:hAnsi="Times New Roman;serif"/>
          <w:b w:val="false"/>
          <w:color w:val="000000"/>
          <w:sz w:val="20"/>
          <w:shd w:fill="FFFFFF" w:val="clear"/>
        </w:rPr>
        <w:t>reported for the period.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use several indicators of capital strength. The most commonly used measure is total equity to total assets, which was 21.5% and 19.8% as of June 30, 2026 and December 31, 2025,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return on average equity was 4.3% and 9.2% for the three months ended June 30, 2026 and 2025, respectively, and 5.0% and 8.3% for the six months ended June 30, 2026 and 2025, respectively. Our return on average assets was 0.9% and 2.0% for the three months ended June 30, 2026 and 2025, respectively, and 1.1% and 1.9% for the six months ended June 30, 2026 and 2025, respectively.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our business. Under capital adequacy guidelines and the regulatory framework for prompt corrective action, the Bank must meet specific capital guidelines that involve quantitative measures of its assets, liabilities, and certain off-balance-sheet items as calculated pursuant to regulatory definitions and requirements. The sufficiency of capital and the Bank’s capital classifications are also subject to qualitative judgments by the regulators about risk weightings and other factors.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issued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(“CBLR”) framework starting in 2020. Under these capital requirements the Bank must maintain a leverage ratio greater than 9.0% to be considered well-capitalized. The minimum CBLR required for a bank to be considered well capitalized will decrease to 8.0% effective July 1, 2026.</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June 30, 2026, the most recent notification from the FDIC categorized the Bank as well-capitalized under the regulatory framework for prompt corrective action (there are no conditions or events since that notification we believe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changed the Bank’s category). See Note 5 - Capital Requirements for additional information regarding our regulatory capital requirements.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Stock Repurchase Program</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We have a stock repurchase program authorized by our Board of Directors. The stock repurchase program became effective as of May 19, 2026 and authorizes us to repurchase up to an aggregate amount of </w:t>
      </w:r>
      <w:r>
        <w:rPr>
          <w:rFonts w:ascii="Times New Roman;serif" w:hAnsi="Times New Roman;serif"/>
          <w:b w:val="false"/>
          <w:color w:val="000000"/>
          <w:sz w:val="20"/>
        </w:rPr>
        <w:t>685,000</w:t>
      </w:r>
      <w:r>
        <w:rPr>
          <w:color w:val="000000"/>
          <w:shd w:fill="FFFFFF" w:val="clear"/>
        </w:rPr>
        <w:t xml:space="preserve"> </w:t>
      </w:r>
      <w:r>
        <w:rPr>
          <w:rFonts w:ascii="Times New Roman;serif" w:hAnsi="Times New Roman;serif"/>
          <w:b w:val="false"/>
          <w:color w:val="000000"/>
          <w:sz w:val="20"/>
          <w:shd w:fill="FFFFFF" w:val="clear"/>
        </w:rPr>
        <w:t xml:space="preserve">shares of our common stock in open market transactions, privately negotiated transactions, or any manner that complies with the provisions of Rule 10b-18 of the Exchange Act, as well as pursuant to a trading plan under Rule 10b5-1 under the Exchange Act. Our decision to repurchase shares will depend on a variety of factors, including but not limited to, the market price and trading volume of our common stock, general market and economic conditions, the ongoing assessment of our capital needs, and applicable legal and regulatory requirements. The repurchase program does not obligate us to purchase any particular number of shares and may be limited or terminated at any time without prior notice. </w:t>
      </w:r>
      <w:r>
        <w:rPr>
          <w:rFonts w:ascii="Times New Roman;serif" w:hAnsi="Times New Roman;serif"/>
          <w:b w:val="false"/>
          <w:color w:val="000000"/>
          <w:sz w:val="20"/>
        </w:rPr>
        <w:t>During the three months ended June 30, 2026, we repurchased and retired 29,736 shares for $0.4 million</w:t>
      </w:r>
      <w:r>
        <w:rPr>
          <w:rFonts w:ascii="Times New Roman;serif" w:hAnsi="Times New Roman;serif"/>
          <w:b w:val="false"/>
          <w:color w:val="000000"/>
          <w:sz w:val="20"/>
          <w:shd w:fill="FFFFFF" w:val="clear"/>
        </w:rPr>
        <w:t>. See Note 1 - Summary of Significant Accounting Policies for more information.</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Contractual Obligations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June 30, 2026:</w:t>
      </w:r>
    </w:p>
    <w:tbl>
      <w:tblPr>
        <w:tblW w:w="9632" w:type="dxa"/>
        <w:jc w:val="left"/>
        <w:tblInd w:w="0" w:type="dxa"/>
        <w:tblLayout w:type="fixed"/>
        <w:tblCellMar>
          <w:top w:w="28" w:type="dxa"/>
          <w:left w:w="28" w:type="dxa"/>
          <w:bottom w:w="28" w:type="dxa"/>
          <w:right w:w="28" w:type="dxa"/>
        </w:tblCellMar>
      </w:tblPr>
      <w:tblGrid>
        <w:gridCol w:w="999"/>
        <w:gridCol w:w="878"/>
        <w:gridCol w:w="88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Less than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to</w:t>
              <w:br/>
              <w:t>Three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to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Than Five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without stated maturity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697,772 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528,066 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Off-Balance-Sheet Financing Arrangements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we enter into certain off-balance-sheet arrangements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With the exception of these off-balance-sheet arrangements, we have no off-balance-sheet arrangements that have or are reasonably likely to have a current or future effect on our financial condition, changes in financial condition, revenues or expenses, results of operations, liquidity, capital expenditures or capital resources. For details of our commitments to extend credit please See Note 6 -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Reconciliations of Non-GAAP Financial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both management and investors benefit from certain non-GAAP financial measures in assessing our performance and when planning, forecasting, and analyzing future periods. These non-GAAP financial measures also facilitate management’s internal comparisons to our historical performance.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non-GAAP financial measures provide useful information to investors and others in understanding and evaluating our operating results in the same manner as our management team. Our calculation of these non-GAAP financial measures may differ from similarly-titled non-GAAP measures, if any, reported by our peers. These non-GAAP financial measures should not be considered in isolation from, or as substitutes for, financial information prepared in accordance with GAAP.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FinWise has entered into agreements with certain of its Strategic Program service providers pursuant to which the service providers provide credit enhancement on loans which protects the Bank by indemnifying or reimbursing the Bank for incurred credit and fraud losses. We estimate and record a provision for expected losses for these Strategic Program loans in accordance with GAAP, which requires estimation of the provision without consideration of the credit enhancement. When the provision for expected losses over the life of the loans that are subject to such credit enhancement is recorded, a credit enhancement asset reflecting the future recovery of those estimated credit losses pursuant to the strategic partner’s guarantee to assume the Bank’s credit losses on each of the loans in the respective guaranteed portfolio is also recorded on the balance sheet in the form of non-interest income (credit enhancement income). Reimbursement or indemnification for incurred losses is provided for in the form of a deposit reserve account that is replenished periodically by the respective Strategic Program service provider. The credit enhancement asset is reduced as credit enhancement payments and recoveries are received from the Strategic Program service provider or taken from its cash reserve account. If the Strategic Program service provider is unable to fulfill its contracted obligations under its credit enhancement agreement, then the Bank could be exposed to the loss of the reimbursement and credit enhancement income as a result of this counterparty risk. The Bank incurs expenses for the amounts owed to the strategic partner for the credit guarantee and for servicing of the credit enhanced portfolio, if applicable (credit enhancement program expenses). See the following reconciliations of GAAP to non-GAAP measures for the impact of the credit enhancement on our financial condition and results.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measures are presented to illustrate the impact of certain credit enhancement program expenses on total interest income on LHFI and average yield on LHFI:</w:t>
      </w:r>
    </w:p>
    <w:tbl>
      <w:tblPr>
        <w:tblW w:w="10205" w:type="dxa"/>
        <w:jc w:val="left"/>
        <w:tblInd w:w="0" w:type="dxa"/>
        <w:tblLayout w:type="fixed"/>
        <w:tblCellMar>
          <w:top w:w="28" w:type="dxa"/>
          <w:left w:w="28" w:type="dxa"/>
          <w:bottom w:w="28" w:type="dxa"/>
          <w:right w:w="28" w:type="dxa"/>
        </w:tblCellMar>
      </w:tblPr>
      <w:tblGrid>
        <w:gridCol w:w="654"/>
        <w:gridCol w:w="430"/>
        <w:gridCol w:w="431"/>
        <w:gridCol w:w="221"/>
        <w:gridCol w:w="869"/>
        <w:gridCol w:w="114"/>
        <w:gridCol w:w="109"/>
        <w:gridCol w:w="109"/>
        <w:gridCol w:w="109"/>
        <w:gridCol w:w="239"/>
        <w:gridCol w:w="818"/>
        <w:gridCol w:w="123"/>
        <w:gridCol w:w="109"/>
        <w:gridCol w:w="109"/>
        <w:gridCol w:w="109"/>
        <w:gridCol w:w="435"/>
        <w:gridCol w:w="207"/>
        <w:gridCol w:w="517"/>
        <w:gridCol w:w="109"/>
        <w:gridCol w:w="109"/>
        <w:gridCol w:w="109"/>
        <w:gridCol w:w="221"/>
        <w:gridCol w:w="869"/>
        <w:gridCol w:w="114"/>
        <w:gridCol w:w="109"/>
        <w:gridCol w:w="109"/>
        <w:gridCol w:w="109"/>
        <w:gridCol w:w="239"/>
        <w:gridCol w:w="818"/>
        <w:gridCol w:w="123"/>
        <w:gridCol w:w="109"/>
        <w:gridCol w:w="109"/>
        <w:gridCol w:w="109"/>
        <w:gridCol w:w="437"/>
        <w:gridCol w:w="200"/>
        <w:gridCol w:w="491"/>
      </w:tblGrid>
      <w:tr>
        <w:trPr/>
        <w:tc>
          <w:tcPr>
            <w:tcW w:w="65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Three Months Ended</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Yield on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Average Yield on LHFI</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590,443 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514,222 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program expenses</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590,443 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514,222 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12,760 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654"/>
        <w:gridCol w:w="430"/>
        <w:gridCol w:w="431"/>
        <w:gridCol w:w="221"/>
        <w:gridCol w:w="869"/>
        <w:gridCol w:w="114"/>
        <w:gridCol w:w="109"/>
        <w:gridCol w:w="109"/>
        <w:gridCol w:w="109"/>
        <w:gridCol w:w="239"/>
        <w:gridCol w:w="818"/>
        <w:gridCol w:w="123"/>
        <w:gridCol w:w="109"/>
        <w:gridCol w:w="109"/>
        <w:gridCol w:w="109"/>
        <w:gridCol w:w="435"/>
        <w:gridCol w:w="207"/>
        <w:gridCol w:w="517"/>
        <w:gridCol w:w="109"/>
        <w:gridCol w:w="109"/>
        <w:gridCol w:w="109"/>
        <w:gridCol w:w="221"/>
        <w:gridCol w:w="869"/>
        <w:gridCol w:w="114"/>
        <w:gridCol w:w="109"/>
        <w:gridCol w:w="109"/>
        <w:gridCol w:w="109"/>
        <w:gridCol w:w="239"/>
        <w:gridCol w:w="818"/>
        <w:gridCol w:w="123"/>
        <w:gridCol w:w="109"/>
        <w:gridCol w:w="109"/>
        <w:gridCol w:w="109"/>
        <w:gridCol w:w="437"/>
        <w:gridCol w:w="200"/>
        <w:gridCol w:w="491"/>
      </w:tblGrid>
      <w:tr>
        <w:trPr/>
        <w:tc>
          <w:tcPr>
            <w:tcW w:w="65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and for the Six Months Ended</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Average Yield on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Average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Interest Income on LHFI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Average Yield on LHFI</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593,398 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500,080 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program expenses</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593,398 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28,269 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500,080 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25,638 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on LHFI net of credit enhancement program expenses and the average yield on LHFI net of credit enhancement program expenses are non-GAAP measures that include the impact of credit enhancement program expenses on total interest income on LHFI and the respective average yield on LHFI, the most directly comparable GAAP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measures are presented to illustrate the impact of certain credit enhancement program expenses on net interest income and NIM:</w:t>
      </w:r>
    </w:p>
    <w:tbl>
      <w:tblPr>
        <w:tblW w:w="10205" w:type="dxa"/>
        <w:jc w:val="left"/>
        <w:tblInd w:w="0" w:type="dxa"/>
        <w:tblLayout w:type="fixed"/>
        <w:tblCellMar>
          <w:top w:w="28" w:type="dxa"/>
          <w:left w:w="28" w:type="dxa"/>
          <w:bottom w:w="28" w:type="dxa"/>
          <w:right w:w="28" w:type="dxa"/>
        </w:tblCellMar>
      </w:tblPr>
      <w:tblGrid>
        <w:gridCol w:w="590"/>
        <w:gridCol w:w="366"/>
        <w:gridCol w:w="367"/>
        <w:gridCol w:w="290"/>
        <w:gridCol w:w="1135"/>
        <w:gridCol w:w="150"/>
        <w:gridCol w:w="109"/>
        <w:gridCol w:w="109"/>
        <w:gridCol w:w="109"/>
        <w:gridCol w:w="215"/>
        <w:gridCol w:w="737"/>
        <w:gridCol w:w="111"/>
        <w:gridCol w:w="109"/>
        <w:gridCol w:w="109"/>
        <w:gridCol w:w="109"/>
        <w:gridCol w:w="393"/>
        <w:gridCol w:w="228"/>
        <w:gridCol w:w="435"/>
        <w:gridCol w:w="109"/>
        <w:gridCol w:w="109"/>
        <w:gridCol w:w="109"/>
        <w:gridCol w:w="290"/>
        <w:gridCol w:w="1135"/>
        <w:gridCol w:w="150"/>
        <w:gridCol w:w="109"/>
        <w:gridCol w:w="109"/>
        <w:gridCol w:w="109"/>
        <w:gridCol w:w="215"/>
        <w:gridCol w:w="737"/>
        <w:gridCol w:w="111"/>
        <w:gridCol w:w="109"/>
        <w:gridCol w:w="109"/>
        <w:gridCol w:w="109"/>
        <w:gridCol w:w="368"/>
        <w:gridCol w:w="150"/>
        <w:gridCol w:w="397"/>
      </w:tblGrid>
      <w:tr>
        <w:trPr/>
        <w:tc>
          <w:tcPr>
            <w:tcW w:w="5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and for the Three Months Ended</w:t>
            </w:r>
          </w:p>
        </w:tc>
      </w:tr>
      <w:tr>
        <w:trPr/>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Net Interest Margin</w:t>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842,307 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756,560 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program expenses</w:t>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842,307 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756,560 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90"/>
        <w:gridCol w:w="366"/>
        <w:gridCol w:w="367"/>
        <w:gridCol w:w="290"/>
        <w:gridCol w:w="1135"/>
        <w:gridCol w:w="150"/>
        <w:gridCol w:w="109"/>
        <w:gridCol w:w="109"/>
        <w:gridCol w:w="109"/>
        <w:gridCol w:w="215"/>
        <w:gridCol w:w="737"/>
        <w:gridCol w:w="111"/>
        <w:gridCol w:w="109"/>
        <w:gridCol w:w="109"/>
        <w:gridCol w:w="109"/>
        <w:gridCol w:w="393"/>
        <w:gridCol w:w="228"/>
        <w:gridCol w:w="435"/>
        <w:gridCol w:w="109"/>
        <w:gridCol w:w="109"/>
        <w:gridCol w:w="109"/>
        <w:gridCol w:w="290"/>
        <w:gridCol w:w="1135"/>
        <w:gridCol w:w="150"/>
        <w:gridCol w:w="109"/>
        <w:gridCol w:w="109"/>
        <w:gridCol w:w="109"/>
        <w:gridCol w:w="215"/>
        <w:gridCol w:w="737"/>
        <w:gridCol w:w="111"/>
        <w:gridCol w:w="109"/>
        <w:gridCol w:w="109"/>
        <w:gridCol w:w="109"/>
        <w:gridCol w:w="368"/>
        <w:gridCol w:w="150"/>
        <w:gridCol w:w="397"/>
      </w:tblGrid>
      <w:tr>
        <w:trPr/>
        <w:tc>
          <w:tcPr>
            <w:tcW w:w="5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and for the Six Months Ended</w:t>
            </w:r>
          </w:p>
        </w:tc>
      </w:tr>
      <w:tr>
        <w:trPr/>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Net Interest Margin</w:t>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Before adjustment for credit enhancement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862,442 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56,839 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728,686 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of adjustment for credit enhancement program expenses</w:t>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862,442 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31,027 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728,686 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net interest margin net of credit enhancement program expenses are non-GAAP measures that include the impact of credit enhancement program expenses on net interest income and net interest margin, the most directly comparable 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expenses less credit enhancement program expenses is a non-GAAP measure presented to illustrate the impact of credit enhancement program expenses on non-interest expense:</w:t>
      </w:r>
    </w:p>
    <w:tbl>
      <w:tblPr>
        <w:tblW w:w="10205" w:type="dxa"/>
        <w:jc w:val="left"/>
        <w:tblInd w:w="0" w:type="dxa"/>
        <w:tblLayout w:type="fixed"/>
        <w:tblCellMar>
          <w:top w:w="28" w:type="dxa"/>
          <w:left w:w="28" w:type="dxa"/>
          <w:bottom w:w="28" w:type="dxa"/>
          <w:right w:w="28" w:type="dxa"/>
        </w:tblCellMar>
      </w:tblPr>
      <w:tblGrid>
        <w:gridCol w:w="1341"/>
        <w:gridCol w:w="1101"/>
        <w:gridCol w:w="1103"/>
        <w:gridCol w:w="297"/>
        <w:gridCol w:w="1018"/>
        <w:gridCol w:w="153"/>
        <w:gridCol w:w="109"/>
        <w:gridCol w:w="109"/>
        <w:gridCol w:w="109"/>
        <w:gridCol w:w="297"/>
        <w:gridCol w:w="1018"/>
        <w:gridCol w:w="153"/>
        <w:gridCol w:w="109"/>
        <w:gridCol w:w="109"/>
        <w:gridCol w:w="109"/>
        <w:gridCol w:w="272"/>
        <w:gridCol w:w="932"/>
        <w:gridCol w:w="140"/>
        <w:gridCol w:w="109"/>
        <w:gridCol w:w="109"/>
        <w:gridCol w:w="109"/>
        <w:gridCol w:w="270"/>
        <w:gridCol w:w="924"/>
        <w:gridCol w:w="205"/>
      </w:tblGrid>
      <w:tr>
        <w:trPr/>
        <w:tc>
          <w:tcPr>
            <w:tcW w:w="134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4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57,200 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29,230 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credit enhancement program expenses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non-interest expense less credit enhancement program expenses</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15,576 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14,823 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31,388 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29,128 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 less credit enhancement program expenses is a non-GAAP measure that illustrates the impact of credit enhancement program expenses on non-interest expense, the most directly comparable GAAP measure.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credit enhancement income is a non-GAAP measure to illustrate the impact of credit enhancement income resulting from credit enhanced loans on non-interest income:</w:t>
      </w:r>
    </w:p>
    <w:tbl>
      <w:tblPr>
        <w:tblW w:w="10205" w:type="dxa"/>
        <w:jc w:val="left"/>
        <w:tblInd w:w="0" w:type="dxa"/>
        <w:tblLayout w:type="fixed"/>
        <w:tblCellMar>
          <w:top w:w="28" w:type="dxa"/>
          <w:left w:w="28" w:type="dxa"/>
          <w:bottom w:w="28" w:type="dxa"/>
          <w:right w:w="28" w:type="dxa"/>
        </w:tblCellMar>
      </w:tblPr>
      <w:tblGrid>
        <w:gridCol w:w="1257"/>
        <w:gridCol w:w="1039"/>
        <w:gridCol w:w="1041"/>
        <w:gridCol w:w="310"/>
        <w:gridCol w:w="1060"/>
        <w:gridCol w:w="160"/>
        <w:gridCol w:w="109"/>
        <w:gridCol w:w="109"/>
        <w:gridCol w:w="109"/>
        <w:gridCol w:w="310"/>
        <w:gridCol w:w="1060"/>
        <w:gridCol w:w="160"/>
        <w:gridCol w:w="109"/>
        <w:gridCol w:w="109"/>
        <w:gridCol w:w="109"/>
        <w:gridCol w:w="281"/>
        <w:gridCol w:w="962"/>
        <w:gridCol w:w="145"/>
        <w:gridCol w:w="109"/>
        <w:gridCol w:w="109"/>
        <w:gridCol w:w="109"/>
        <w:gridCol w:w="278"/>
        <w:gridCol w:w="952"/>
        <w:gridCol w:w="209"/>
      </w:tblGrid>
      <w:tr>
        <w:trPr/>
        <w:tc>
          <w:tcPr>
            <w:tcW w:w="125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40,220 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credit enhancement income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credit enhancement income</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17,678 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15,787 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 less indemnification income is a non-GAAP measure that illustrates the impact of credit enhancement income on non-interest income. The most directly comparable GAAP measure is non-interest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non-GAAP measure is presented to illustrate the effect of the credit enhanced program that creates the credit enhancement on the allowance for credit losses:</w:t>
      </w:r>
    </w:p>
    <w:tbl>
      <w:tblPr>
        <w:tblW w:w="10205" w:type="dxa"/>
        <w:jc w:val="left"/>
        <w:tblInd w:w="0" w:type="dxa"/>
        <w:tblLayout w:type="fixed"/>
        <w:tblCellMar>
          <w:top w:w="28" w:type="dxa"/>
          <w:left w:w="28" w:type="dxa"/>
          <w:bottom w:w="28" w:type="dxa"/>
          <w:right w:w="28" w:type="dxa"/>
        </w:tblCellMar>
      </w:tblPr>
      <w:tblGrid>
        <w:gridCol w:w="2363"/>
        <w:gridCol w:w="2075"/>
        <w:gridCol w:w="2080"/>
        <w:gridCol w:w="305"/>
        <w:gridCol w:w="1043"/>
        <w:gridCol w:w="157"/>
        <w:gridCol w:w="109"/>
        <w:gridCol w:w="109"/>
        <w:gridCol w:w="109"/>
        <w:gridCol w:w="359"/>
        <w:gridCol w:w="1229"/>
        <w:gridCol w:w="267"/>
      </w:tblGrid>
      <w:tr>
        <w:trPr/>
        <w:tc>
          <w:tcPr>
            <w:tcW w:w="236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unaudited)</w:t>
            </w:r>
          </w:p>
        </w:tc>
        <w:tc>
          <w:tcPr>
            <w:tcW w:w="1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36,796 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 related to credit enhanced loans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(22,411)</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excluding the effect of the allowance for credit losses related to credit enhanced loans</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15,529 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excluding the effect of the allowance for credit losses related to credit enhanced loans is a non-GAAP measure that reflects the effect of the credit enhanced program on the allowance for credit losses. The total outstanding balance of LHFI with credit enhancement as of June 30, 2026 and December 31, 2025 was approximately $120.8 million and $108.1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pStyle w:val="TextBody"/>
        <w:bidi w:val="0"/>
        <w:spacing w:lineRule="auto" w:line="288" w:before="200" w:after="283"/>
        <w:jc w:val="left"/>
        <w:rPr/>
      </w:pPr>
      <w:r>
        <w:rPr>
          <w:rFonts w:ascii="Times New Roman;serif" w:hAnsi="Times New Roman;serif"/>
          <w:b w:val="false"/>
          <w:color w:val="000000"/>
          <w:sz w:val="20"/>
          <w:shd w:fill="FFFFFF" w:val="clear"/>
        </w:rPr>
        <w:t>The following tab</w:t>
      </w:r>
      <w:r>
        <w:rPr>
          <w:rFonts w:ascii="Times New Roman;serif" w:hAnsi="Times New Roman;serif"/>
          <w:b w:val="false"/>
          <w:color w:val="000000"/>
          <w:sz w:val="20"/>
        </w:rPr>
        <w:t>le summarizes the results of our EAR analysis in simulating the change in net interest income and fair value of equity over a 12-month horizon as of June 30, 2026:</w:t>
      </w:r>
    </w:p>
    <w:p>
      <w:pPr>
        <w:pStyle w:val="TextBody"/>
        <w:bidi w:val="0"/>
        <w:spacing w:before="200" w:after="283"/>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IMPACT ON NET INTEREST INCOME UNDER A STATIC BALANCE SHEET, PARALLEL INTEREST RATE SHOCK</w:t>
      </w:r>
    </w:p>
    <w:tbl>
      <w:tblPr>
        <w:tblW w:w="10205" w:type="dxa"/>
        <w:jc w:val="left"/>
        <w:tblInd w:w="0" w:type="dxa"/>
        <w:tblLayout w:type="fixed"/>
        <w:tblCellMar>
          <w:top w:w="28" w:type="dxa"/>
          <w:left w:w="28" w:type="dxa"/>
          <w:bottom w:w="28" w:type="dxa"/>
          <w:right w:w="28" w:type="dxa"/>
        </w:tblCellMar>
      </w:tblPr>
      <w:tblGrid>
        <w:gridCol w:w="315"/>
        <w:gridCol w:w="278"/>
        <w:gridCol w:w="279"/>
        <w:gridCol w:w="109"/>
        <w:gridCol w:w="109"/>
        <w:gridCol w:w="109"/>
        <w:gridCol w:w="211"/>
        <w:gridCol w:w="212"/>
        <w:gridCol w:w="281"/>
        <w:gridCol w:w="109"/>
        <w:gridCol w:w="109"/>
        <w:gridCol w:w="109"/>
        <w:gridCol w:w="211"/>
        <w:gridCol w:w="212"/>
        <w:gridCol w:w="281"/>
        <w:gridCol w:w="109"/>
        <w:gridCol w:w="109"/>
        <w:gridCol w:w="109"/>
        <w:gridCol w:w="211"/>
        <w:gridCol w:w="212"/>
        <w:gridCol w:w="281"/>
        <w:gridCol w:w="109"/>
        <w:gridCol w:w="109"/>
        <w:gridCol w:w="109"/>
        <w:gridCol w:w="211"/>
        <w:gridCol w:w="212"/>
        <w:gridCol w:w="281"/>
        <w:gridCol w:w="109"/>
        <w:gridCol w:w="109"/>
        <w:gridCol w:w="109"/>
        <w:gridCol w:w="203"/>
        <w:gridCol w:w="203"/>
        <w:gridCol w:w="271"/>
        <w:gridCol w:w="109"/>
        <w:gridCol w:w="109"/>
        <w:gridCol w:w="109"/>
        <w:gridCol w:w="203"/>
        <w:gridCol w:w="203"/>
        <w:gridCol w:w="303"/>
        <w:gridCol w:w="109"/>
        <w:gridCol w:w="109"/>
        <w:gridCol w:w="109"/>
        <w:gridCol w:w="203"/>
        <w:gridCol w:w="203"/>
        <w:gridCol w:w="303"/>
        <w:gridCol w:w="109"/>
        <w:gridCol w:w="109"/>
        <w:gridCol w:w="109"/>
        <w:gridCol w:w="203"/>
        <w:gridCol w:w="203"/>
        <w:gridCol w:w="303"/>
        <w:gridCol w:w="109"/>
        <w:gridCol w:w="109"/>
        <w:gridCol w:w="109"/>
        <w:gridCol w:w="203"/>
        <w:gridCol w:w="203"/>
        <w:gridCol w:w="364"/>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 risk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r>
      <w:tr>
        <w:trPr/>
        <w:tc>
          <w:tcPr>
            <w:tcW w:w="8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results of our EVE analysis as of June 30, 2026:</w:t>
      </w:r>
    </w:p>
    <w:p>
      <w:pPr>
        <w:pStyle w:val="TextBody"/>
        <w:bidi w:val="0"/>
        <w:spacing w:before="200" w:after="283"/>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ECONOMIC VALUE OF EQUITY ANALYSIS UNDER A STATIC BALANCE SHEET, PARALLEL INTEREST RATE SHOCK</w:t>
      </w:r>
    </w:p>
    <w:p>
      <w:pPr>
        <w:pStyle w:val="TextBody"/>
        <w:bidi w:val="0"/>
        <w:spacing w:before="0" w:after="0"/>
        <w:jc w:val="center"/>
        <w:rPr/>
      </w:pPr>
      <w:r>
        <w:rPr/>
      </w:r>
    </w:p>
    <w:tbl>
      <w:tblPr>
        <w:tblW w:w="10383"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3"/>
        <w:gridCol w:w="263"/>
        <w:gridCol w:w="271"/>
        <w:gridCol w:w="109"/>
        <w:gridCol w:w="109"/>
        <w:gridCol w:w="109"/>
        <w:gridCol w:w="263"/>
        <w:gridCol w:w="263"/>
        <w:gridCol w:w="271"/>
        <w:gridCol w:w="109"/>
        <w:gridCol w:w="109"/>
        <w:gridCol w:w="109"/>
        <w:gridCol w:w="210"/>
        <w:gridCol w:w="211"/>
        <w:gridCol w:w="271"/>
        <w:gridCol w:w="109"/>
        <w:gridCol w:w="109"/>
        <w:gridCol w:w="109"/>
        <w:gridCol w:w="210"/>
        <w:gridCol w:w="211"/>
        <w:gridCol w:w="271"/>
        <w:gridCol w:w="109"/>
        <w:gridCol w:w="109"/>
        <w:gridCol w:w="109"/>
        <w:gridCol w:w="203"/>
        <w:gridCol w:w="203"/>
        <w:gridCol w:w="271"/>
        <w:gridCol w:w="109"/>
        <w:gridCol w:w="109"/>
        <w:gridCol w:w="109"/>
        <w:gridCol w:w="203"/>
        <w:gridCol w:w="203"/>
        <w:gridCol w:w="292"/>
        <w:gridCol w:w="109"/>
        <w:gridCol w:w="109"/>
        <w:gridCol w:w="109"/>
        <w:gridCol w:w="203"/>
        <w:gridCol w:w="203"/>
        <w:gridCol w:w="292"/>
        <w:gridCol w:w="109"/>
        <w:gridCol w:w="109"/>
        <w:gridCol w:w="109"/>
        <w:gridCol w:w="203"/>
        <w:gridCol w:w="203"/>
        <w:gridCol w:w="292"/>
        <w:gridCol w:w="109"/>
        <w:gridCol w:w="109"/>
        <w:gridCol w:w="109"/>
        <w:gridCol w:w="203"/>
        <w:gridCol w:w="203"/>
        <w:gridCol w:w="33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value of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 bps</w:t>
            </w:r>
          </w:p>
        </w:tc>
      </w:tr>
      <w:tr>
        <w:trPr/>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Sensitivity and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 We endeavor to manage our sensitivity position within our established guidelines.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Based on the nature of our operations, we are not subject to foreign exchange or commodity price risk. We do not own any trading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capital planning,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have evaluated the effectiveness of our disclosure controls and procedures as defined in Rule 13a-15(e) under the Exchange Act as of the end of the period covered by this Report. Based on that evaluation, our Chief Executive Officer and Chief Financial Officer concluded that our disclosure controls and procedures were effective to ensure that information required to be disclosed in the reports we file and submit under the Exchange Act is (1) recorded, processed, summarized and reported as and when required and (2) accumulated and communicated to our management, including our Chief Executive Officer and the Chief Financial Officer, as appropriate to allow timely decisions regarding required disclosures.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(as such term is defined in Rules 13a-15(f) and 15d-15(f) under the Exchange Act) during the fiscal quarter ended June 30, 2026 that have materially affected, or are reasonably likely to materially affect, our internal control over financial reporting.</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pPr>
      <w:r>
        <w:rPr>
          <w:rFonts w:ascii="Times New Roman;serif" w:hAnsi="Times New Roman;serif"/>
          <w:b w:val="false"/>
          <w:color w:val="000000"/>
          <w:sz w:val="20"/>
          <w:shd w:fill="FFFFFF" w:val="clear"/>
        </w:rPr>
        <w:t>Between July and August 2025, several lawsuits were filed against the Company in the United States District Court for the District of Utah. The complaints generally asserted claims of negligence, breach of implied contract and unjust enrichment, on behalf of various classes of putative individuals who claimed to have been harmed in connection with an alleged data breach involving the Company. The plaintiffs sought equitable and injunctive relief as well as an unspecified amount of monetary damages in connection with their claims, which include an award of attorneys’ fees and costs. On October 3, 2025, the Court entered an Order consolidating the pending cases and all</w:t>
      </w:r>
      <w:r>
        <w:rPr>
          <w:color w:val="000000"/>
        </w:rPr>
        <w:t xml:space="preserve"> </w:t>
      </w:r>
      <w:r>
        <w:rPr>
          <w:rFonts w:ascii="Times New Roman;serif" w:hAnsi="Times New Roman;serif"/>
          <w:b w:val="false"/>
          <w:color w:val="000000"/>
          <w:sz w:val="20"/>
        </w:rPr>
        <w:t>subsequently filed putative class actions involving the same or substantially the same obligations into the pending matter into Minter et. al v. FinWise Bank et. al, Case No. 2:25-cv-00569-JNP-CMR. The Company participated in a pre-discovery mediation with the plaintiffs’ attorneys on March 17, 2026, which resulted in a settlement agreement that was submitted to the Court for approval on May 8, 2026. On July 1, 2026 the court preliminarily approved the settlement fund, which, including all fees and expense associated with the proceedings, is expected to be covered in full by the Company’s cyber insurance policy. See</w:t>
      </w:r>
      <w:r>
        <w:rPr>
          <w:color w:val="000000"/>
          <w:shd w:fill="FFFFFF" w:val="clear"/>
        </w:rPr>
        <w:t xml:space="preserve"> </w:t>
      </w:r>
      <w:r>
        <w:rPr>
          <w:rFonts w:ascii="Times New Roman;serif" w:hAnsi="Times New Roman;serif"/>
          <w:b w:val="false"/>
          <w:color w:val="000000"/>
          <w:sz w:val="20"/>
          <w:shd w:fill="FFFFFF" w:val="clear"/>
        </w:rPr>
        <w:t>Note 6 - Commitments and Contingencies of the Notes to the Consolidated Financial Statements included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pPr>
      <w:r>
        <w:rPr>
          <w:rFonts w:ascii="Times New Roman;serif" w:hAnsi="Times New Roman;serif"/>
          <w:b w:val="false"/>
          <w:color w:val="000000"/>
          <w:sz w:val="20"/>
        </w:rPr>
        <w:t>There are a number of factors that may adversely affect our business, financial results or stock price. Refer to Part I, Item 1A. “Risk Factors” of the 2025 Form 10-K for a discussion of these risks. There have been no material changes to the risk factors disclosed in our 2025 Form 10-K, as filed with the SEC on March 23, 2026</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our repurchases of shares of our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746"/>
        <w:gridCol w:w="653"/>
        <w:gridCol w:w="659"/>
        <w:gridCol w:w="109"/>
        <w:gridCol w:w="109"/>
        <w:gridCol w:w="109"/>
        <w:gridCol w:w="451"/>
        <w:gridCol w:w="451"/>
        <w:gridCol w:w="453"/>
        <w:gridCol w:w="109"/>
        <w:gridCol w:w="109"/>
        <w:gridCol w:w="109"/>
        <w:gridCol w:w="483"/>
        <w:gridCol w:w="483"/>
        <w:gridCol w:w="485"/>
        <w:gridCol w:w="109"/>
        <w:gridCol w:w="109"/>
        <w:gridCol w:w="109"/>
        <w:gridCol w:w="776"/>
        <w:gridCol w:w="776"/>
        <w:gridCol w:w="778"/>
        <w:gridCol w:w="109"/>
        <w:gridCol w:w="109"/>
        <w:gridCol w:w="109"/>
        <w:gridCol w:w="496"/>
        <w:gridCol w:w="496"/>
        <w:gridCol w:w="711"/>
      </w:tblGrid>
      <w:tr>
        <w:trPr/>
        <w:tc>
          <w:tcPr>
            <w:tcW w:w="7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Total Number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Average Price Paid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Total Number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Shares Purchased as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Part of Publicly </w:t>
            </w:r>
          </w:p>
          <w:p>
            <w:pPr>
              <w:pStyle w:val="TableContents"/>
              <w:bidi w:val="0"/>
              <w:spacing w:lineRule="auto" w:line="288" w:before="0" w:after="0"/>
              <w:jc w:val="center"/>
              <w:rPr/>
            </w:pPr>
            <w:r>
              <w:rPr>
                <w:rFonts w:ascii="Times New Roman;serif" w:hAnsi="Times New Roman;serif"/>
                <w:b w:val="false"/>
                <w:color w:val="000000"/>
                <w:sz w:val="20"/>
              </w:rPr>
              <w:t>Announced Plans or Programs</w:t>
            </w:r>
            <w:r>
              <w:rPr>
                <w:color w:val="000000"/>
              </w:rPr>
              <w:t xml:space="preserv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Maximum Number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Shares that May Yet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Be Purchased Under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Plans or </w:t>
            </w:r>
          </w:p>
          <w:p>
            <w:pPr>
              <w:pStyle w:val="TableContents"/>
              <w:bidi w:val="0"/>
              <w:spacing w:lineRule="auto" w:line="288" w:before="0" w:after="0"/>
              <w:jc w:val="center"/>
              <w:rPr/>
            </w:pPr>
            <w:r>
              <w:rPr>
                <w:rFonts w:ascii="Times New Roman;serif" w:hAnsi="Times New Roman;serif"/>
                <w:b w:val="false"/>
                <w:color w:val="000000"/>
                <w:sz w:val="20"/>
              </w:rPr>
              <w:t>Programs</w:t>
            </w:r>
            <w:r>
              <w:rPr>
                <w:color w:val="000000"/>
              </w:rPr>
              <w:t xml:space="preserve"> </w:t>
            </w:r>
            <w:r>
              <w:rPr>
                <w:rFonts w:ascii="Times New Roman;serif" w:hAnsi="Times New Roman;serif"/>
                <w:b w:val="false"/>
                <w:color w:val="000000"/>
                <w:sz w:val="13"/>
              </w:rPr>
              <w:t>(1)</w:t>
            </w:r>
          </w:p>
        </w:tc>
      </w:tr>
      <w:tr>
        <w:trPr/>
        <w:tc>
          <w:tcPr>
            <w:tcW w:w="20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673,010</w:t>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655,264</w:t>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Effective May 19, 2026, the Board authorized a common stock repurchase program to purchase up to an aggregate amount of 685,000 shares of our common stock. The repurchase program expires on May 31, 2028, but may be limited or terminated at any time without prior notice. The repurchase program authorized the repurchase by us of our common stock in open market transactions, including pursuant to a trading plan in accordance with Rule 10b-18 promulgated under the Exchange Act or privately negotiated transactions. The authorization permits management to repurchase shares of our common stock from time to time at management’s discretion. Repurchases may also be made pursuant to a trading plan under Rule 10b5-1 under the Exchange Act, which would permit shares to be repurchased when we might otherwise be precluded from doing so because of self-imposed trading blackout periods or other regulatory restrictions. The actual means and timing of any shares purchased under the program will depend on a variety of factors, including the market price of our common stock, general market and economic conditions, and applicable legal and regulatory requirements. The repurchase program does not obligate us to purchase any particular number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None of our directors or officers have adopted, modified, or terminated a Rule 10b5-1(c) trading arrangement or a non-Rule 10b5-1 trading arrangement during the fiscal quarter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329"/>
        <w:gridCol w:w="288"/>
        <w:gridCol w:w="289"/>
        <w:gridCol w:w="109"/>
        <w:gridCol w:w="109"/>
        <w:gridCol w:w="109"/>
        <w:gridCol w:w="2637"/>
        <w:gridCol w:w="2613"/>
        <w:gridCol w:w="3722"/>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hyperlink w:anchor="finw-20260630xex311.htm">
              <w:r>
                <w:rPr>
                  <w:rStyle w:val="InternetLink"/>
                  <w:rFonts w:ascii="Times New Roman;serif" w:hAnsi="Times New Roman;serif"/>
                  <w:b w:val="false"/>
                  <w:color w:val="0000FF"/>
                  <w:sz w:val="20"/>
                  <w:u w:val="single"/>
                </w:rPr>
                <w:t>Rule 13a-14(a) Certification of the Principal Executive Officer.</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inw-20260630xex312.htm">
              <w:r>
                <w:rPr>
                  <w:rStyle w:val="InternetLink"/>
                  <w:rFonts w:ascii="Times New Roman;serif" w:hAnsi="Times New Roman;serif"/>
                  <w:b w:val="false"/>
                  <w:color w:val="0000FF"/>
                  <w:sz w:val="20"/>
                  <w:u w:val="single"/>
                </w:rPr>
                <w:t>Rule 13a-14(a) Certification of the Principal Financial Officer.</w:t>
              </w:r>
            </w:hyperlink>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inw-20260630xex321.htm">
              <w:r>
                <w:rPr>
                  <w:rStyle w:val="InternetLink"/>
                  <w:rFonts w:ascii="Times New Roman;serif" w:hAnsi="Times New Roman;serif"/>
                  <w:b w:val="false"/>
                  <w:color w:val="0000FF"/>
                  <w:sz w:val="20"/>
                  <w:u w:val="single"/>
                </w:rPr>
                <w:t>Section 1350 Certification of Chief Executive Officer and Chief Financial Officer.</w:t>
              </w:r>
            </w:hyperlink>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in Exhibit 101).</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Filed herewith.</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The certifications attached hereto are not considered “filed” for purposes of Section 18 of the Securities Exchange Act of 1934 (“Exchange Act”), as amended, or otherwise subject to the limitations of that section, nor shall they be deemed incorporated by reference into any filing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200" w:after="200"/>
        <w:jc w:val="left"/>
        <w:rPr/>
      </w:pPr>
      <w:hyperlink w:anchor="ic3bcfab094de42b396d92eaf194247c9_7">
        <w:r>
          <w:rPr>
            <w:rStyle w:val="InternetLink"/>
            <w:rFonts w:ascii="Times New Roman;serif" w:hAnsi="Times New Roman;serif"/>
            <w:b w:val="false"/>
            <w:i/>
            <w:color w:val="0E32E1"/>
            <w:sz w:val="16"/>
            <w:u w:val="single"/>
            <w:shd w:fill="FFFFFF" w:val="clear"/>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284" w:type="dxa"/>
        <w:jc w:val="left"/>
        <w:tblInd w:w="0" w:type="dxa"/>
        <w:tblLayout w:type="fixed"/>
        <w:tblCellMar>
          <w:top w:w="28" w:type="dxa"/>
          <w:left w:w="28" w:type="dxa"/>
          <w:bottom w:w="28" w:type="dxa"/>
          <w:right w:w="28" w:type="dxa"/>
        </w:tblCellMar>
      </w:tblPr>
      <w:tblGrid>
        <w:gridCol w:w="705"/>
        <w:gridCol w:w="621"/>
        <w:gridCol w:w="624"/>
        <w:gridCol w:w="243"/>
        <w:gridCol w:w="243"/>
        <w:gridCol w:w="243"/>
        <w:gridCol w:w="1346"/>
        <w:gridCol w:w="1346"/>
        <w:gridCol w:w="191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 James Noone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James Noone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 Robert Wahlman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Robert Wahlman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James Noone,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FinWise Bancorp;</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5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92"/>
        <w:gridCol w:w="292"/>
        <w:gridCol w:w="292"/>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Noone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Noone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Robert Wahlman,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FinWise Bancorp;</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32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92"/>
        <w:gridCol w:w="292"/>
        <w:gridCol w:w="292"/>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FinWise Bancorp (the “Company”) for the period ending June 30, 2026,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the requirements of 18 U.S.C. § 1350 and is not being filed as part of the Report or as a separate disclosure document.</w:t>
      </w:r>
    </w:p>
    <w:tbl>
      <w:tblPr>
        <w:tblW w:w="732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92"/>
        <w:gridCol w:w="292"/>
        <w:gridCol w:w="292"/>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Noone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Noone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Wahlman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34065</Words>
  <Characters>187559</Characters>
  <CharactersWithSpaces>218610</CharactersWithSpaces>
  <Paragraphs>7525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