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jc w:val="center"/>
        <w:ind w:left="3520" w:right="220" w:hanging="3292"/>
        <w:spacing w:after="0" w:line="461"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22"/>
          <w:szCs w:val="22"/>
          <w:b w:val="1"/>
          <w:bCs w:val="1"/>
          <w:color w:val="auto"/>
        </w:rPr>
        <w:t>or</w:t>
      </w:r>
    </w:p>
    <w:p>
      <w:pPr>
        <w:spacing w:after="0" w:line="247" w:lineRule="exact"/>
        <w:rPr>
          <w:sz w:val="24"/>
          <w:szCs w:val="24"/>
          <w:color w:val="auto"/>
        </w:rPr>
      </w:pPr>
    </w:p>
    <w:p>
      <w:pPr>
        <w:ind w:left="500" w:hanging="25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rFonts w:ascii="MS PGothic" w:cs="MS PGothic" w:eastAsia="MS PGothic" w:hAnsi="MS PGothic"/>
          <w:sz w:val="22"/>
          <w:szCs w:val="22"/>
          <w:color w:val="auto"/>
        </w:rPr>
      </w:pPr>
    </w:p>
    <w:p>
      <w:pPr>
        <w:ind w:left="54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09" w:lineRule="exact"/>
        <w:rPr>
          <w:sz w:val="24"/>
          <w:szCs w:val="24"/>
          <w:color w:val="auto"/>
        </w:rPr>
      </w:pPr>
    </w:p>
    <w:p>
      <w:pPr>
        <w:ind w:left="3760"/>
        <w:spacing w:after="0"/>
        <w:tabs>
          <w:tab w:leader="none" w:pos="72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33"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Commission file number: 001-40721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FINWISE BANCORP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Utah</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83-0356689</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(I.R.S. Employer Identification No.)</w:t>
            </w:r>
          </w:p>
        </w:tc>
      </w:tr>
      <w:tr>
        <w:trPr>
          <w:trHeight w:val="452"/>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756 East Winchester, Suite 100, Murray, Utah</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84107</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(801) 501-7200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840" w:type="dxa"/>
            <w:vAlign w:val="bottom"/>
            <w:gridSpan w:val="2"/>
          </w:tcPr>
          <w:p>
            <w:pPr>
              <w:ind w:left="118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30"/>
        </w:trPr>
        <w:tc>
          <w:tcPr>
            <w:tcW w:w="36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5"/>
              </w:rPr>
              <w:t>Common Stock, par value $0.001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FINW</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 None</w:t>
      </w:r>
    </w:p>
    <w:p>
      <w:pPr>
        <w:spacing w:after="0" w:line="207" w:lineRule="exact"/>
        <w:rPr>
          <w:sz w:val="24"/>
          <w:szCs w:val="24"/>
          <w:color w:val="auto"/>
        </w:rPr>
      </w:pPr>
    </w:p>
    <w:p>
      <w:pPr>
        <w:ind w:right="160"/>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15(d) of the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jc w:val="both"/>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p>
      <w:pPr>
        <w:spacing w:after="0" w:line="207" w:lineRule="exact"/>
        <w:tabs>
          <w:tab w:leader="none" w:pos="2220" w:val="left"/>
          <w:tab w:leader="none" w:pos="4480" w:val="left"/>
          <w:tab w:leader="none" w:pos="67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78"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2"/>
          <w:szCs w:val="22"/>
          <w:color w:val="auto"/>
        </w:rPr>
        <w:t>☐</w:t>
      </w:r>
    </w:p>
    <w:p>
      <w:pPr>
        <w:sectPr>
          <w:pgSz w:w="11900" w:h="16838" w:orient="portrait"/>
          <w:cols w:equalWidth="0" w:num="1">
            <w:col w:w="11240"/>
          </w:cols>
          <w:pgMar w:left="320" w:top="535" w:right="339" w:bottom="0" w:gutter="0" w:footer="0" w:header="0"/>
        </w:sectPr>
      </w:pPr>
    </w:p>
    <w:bookmarkStart w:id="1" w:name="page2"/>
    <w:bookmarkEnd w:id="1"/>
    <w:p>
      <w:pPr>
        <w:ind w:right="400"/>
        <w:spacing w:after="0" w:line="278" w:lineRule="exact"/>
        <w:rPr>
          <w:sz w:val="20"/>
          <w:szCs w:val="20"/>
          <w:color w:val="auto"/>
        </w:rPr>
      </w:pPr>
      <w:r>
        <w:rPr>
          <w:rFonts w:ascii="Arial" w:cs="Arial" w:eastAsia="Arial" w:hAnsi="Arial"/>
          <w:sz w:val="22"/>
          <w:szCs w:val="22"/>
          <w:color w:val="auto"/>
        </w:rPr>
        <w:t xml:space="preserve">Indicate by check mark whether the registrant is a shell company (as defined in Rule 12b-2 of the Securities Exchange Act of 1934).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June 30, 2021, there was not a public market for the Registrant’s common stock. The aggregate market value of the Registrant’s common stock held by non-affiliates of the Registrant as of December 31, 2021 was $139.4 million. The Registrant had 12,788,810 shares of common stock, $0.001 par value, outstanding as of March 29,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Portions of the registrant’s proxy statement to be filed with the Securities and Exchange Commission pursuant to Regulation 14A in connection with the registrant’s 2022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8"/>
          </w:tcPr>
          <w:p>
            <w:pPr>
              <w:jc w:val="center"/>
              <w:ind w:right="3300"/>
              <w:spacing w:after="0"/>
              <w:rPr>
                <w:sz w:val="20"/>
                <w:szCs w:val="20"/>
                <w:color w:val="auto"/>
              </w:rPr>
            </w:pPr>
            <w:r>
              <w:rPr>
                <w:rFonts w:ascii="Arial" w:cs="Arial" w:eastAsia="Arial" w:hAnsi="Arial"/>
                <w:sz w:val="22"/>
                <w:szCs w:val="22"/>
                <w:b w:val="1"/>
                <w:bCs w:val="1"/>
                <w:color w:val="auto"/>
                <w:w w:val="89"/>
              </w:rPr>
              <w:t>FinWise Bancorp</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40" w:type="dxa"/>
            <w:vAlign w:val="bottom"/>
            <w:gridSpan w:val="7"/>
          </w:tcPr>
          <w:p>
            <w:pPr>
              <w:jc w:val="center"/>
              <w:ind w:right="4060"/>
              <w:spacing w:after="0"/>
              <w:rPr>
                <w:sz w:val="20"/>
                <w:szCs w:val="20"/>
                <w:color w:val="auto"/>
              </w:rPr>
            </w:pPr>
            <w:r>
              <w:rPr>
                <w:rFonts w:ascii="Arial" w:cs="Arial" w:eastAsia="Arial" w:hAnsi="Arial"/>
                <w:sz w:val="22"/>
                <w:szCs w:val="22"/>
                <w:b w:val="1"/>
                <w:bCs w:val="1"/>
                <w:color w:val="auto"/>
              </w:rPr>
              <w:t>INDEX</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Unresolved Staff Comments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Properties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Mine Safety Disclosures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[Reserved]</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Quantitative and Qualitative Disclosures About Market Risk</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Financial Statements and Supplementary Data</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Changes in and Disagreements With Accountants on Accounting and Financial Disclosure</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Controls and Procedures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Directors, Executive Officers and Corporate Governance</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Security Ownership of Certain Beneficial Owners and Management and Related Stockholder Matters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Certain Relationships and Related Transactions, and Director Independence</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Accounting Fees and Services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Exhibits and Financial Statement Schedules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940" w:type="dxa"/>
            <w:vAlign w:val="bottom"/>
            <w:gridSpan w:val="21"/>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Signatures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11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700" w:type="dxa"/>
            <w:vAlign w:val="bottom"/>
            <w:tcBorders>
              <w:top w:val="single" w:sz="8" w:color="CCEEFF"/>
            </w:tcBorders>
            <w:gridSpan w:val="13"/>
          </w:tcPr>
          <w:p>
            <w:pPr>
              <w:jc w:val="center"/>
              <w:ind w:left="2668"/>
              <w:spacing w:after="0"/>
              <w:rPr>
                <w:sz w:val="20"/>
                <w:szCs w:val="20"/>
                <w:color w:val="auto"/>
              </w:rPr>
            </w:pPr>
            <w:r>
              <w:rPr>
                <w:rFonts w:ascii="Arial" w:cs="Arial" w:eastAsia="Arial" w:hAnsi="Arial"/>
                <w:sz w:val="14"/>
                <w:szCs w:val="14"/>
                <w:color w:val="auto"/>
              </w:rPr>
              <w:t>2</w:t>
            </w:r>
          </w:p>
        </w:tc>
        <w:tc>
          <w:tcPr>
            <w:tcW w:w="9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This Annual Report on Form 10-K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factors, among others, could cause our financial performance to differ materially from that expressed in such forward-looking statements, including, but not limited to, the following:</w:t>
      </w:r>
    </w:p>
    <w:p>
      <w:pPr>
        <w:spacing w:after="0" w:line="209" w:lineRule="exact"/>
        <w:rPr>
          <w:sz w:val="20"/>
          <w:szCs w:val="20"/>
          <w:color w:val="auto"/>
        </w:rPr>
      </w:pPr>
    </w:p>
    <w:p>
      <w:pPr>
        <w:jc w:val="both"/>
        <w:ind w:left="340" w:hanging="327"/>
        <w:spacing w:after="0" w:line="263"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response of governmental authorities to the Covid-19 pandemic and our participation in Covid-19-related government programs such as the Paycheck Protection Program (“PPP”);</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financial technology industry, the development and acceptance of which is subject to a high degree of uncertainty, as well as the continued evolution of the regulation of this industry;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19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allowance for loan losses (“ALL”);</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Small Business Administration (“SBA”) rules, regulations and loan products, including specifically the Section 7(a) program, changes in SBA standard operating procedures or changes to the status of the Bank as an SBA Preferred Lender;</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originate, sell and retain loans, including through our Strategic Programs;</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existing merchant relationships;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sufficiency of our capital, including sources of capital and the extent to which we may be required to raise additional capital to meet our goals;</w:t>
      </w:r>
    </w:p>
    <w:p>
      <w:pPr>
        <w:spacing w:after="0" w:line="26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 or to write-down assets;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equity and debt issuances;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are discussed in the section entitled “Risk Factors,” beginning on page 28.</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this Report, unless we state otherwise or the context otherwise requires, references to “we,” “our,” “us,” “the Company” and “FinWise Bancorp” refer to FinWise Bancorp and its wholly owned subsidiary, FinWise Bank, which we sometimes refer to as “FinWise Bank,” “FinWise,” “the Bank” or “our Bank,” and references to “common stock” refer to our voting common stock.</w:t>
      </w:r>
    </w:p>
    <w:p>
      <w:pPr>
        <w:sectPr>
          <w:pgSz w:w="11900" w:h="16838" w:orient="portrait"/>
          <w:cols w:equalWidth="0" w:num="1">
            <w:col w:w="11240"/>
          </w:cols>
          <w:pgMar w:left="320" w:top="122" w:right="339"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are FinWise Bancorp, a Utah bank holding company headquartered in Murray, Utah. We operate through our wholly-owned subsidiary, FinWise Bank, a Utah state-chartered non-member bank. We currently operate one full-service banking location in Sandy, Utah and a loan production office in Rockville Centre, New York.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and POS lending business lines. We have also deployed our own in-house technology to deliver loan and deposit solutions to our customers directly and through third parties.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was formed in 2002 and acquired 100% of the stock of Utah Community Bank, a local community bank founded in 1999 focusing on real estate lending in and around the Salt Lake City, Utah MSA. While the Bank is our primary asset, we also have a 10% membership interest in BFG, a Connecticut limited liability company, a nationally 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originate, sell or hold loans in four main lending areas: (i) nationwide Strategic Programs, (ii) a multi-state SBA 7(a) lending program, (iii) residential and commercial real estate lending in and around the Salt Lake City, Utah MSA, and (iv) multi-state consumer lending primarily through our POS lending program. Except in the case of our recent funding of PPP loans, we have principally relied on core deposits, including Institutional Deposits, to fund our lending activities but also have used brokered deposits and borrowings when we deem appropriate. In 2020, as a result of high volumes of PPP lending, we accessed the SBA Paycheck Protection Program Liquidity Facility (“PPPLF”) as part of the CARES Act of 2020.</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completed its Initial Public Offering (“IPO”) of 4,025,000 shares of its common stock at a public offering price of $10.50 per share on November 23, 2021. The common stock is traded on the NASDAQ Global Market under the ticker symbol “FINW.” The IPO generated aggregate net proceeds to the Company of approximately $35.6 million after deducting underwriting discounts and offering expenses.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Relationship with Business Funding Group</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The methodology for determining such fees has been substantially consistent since 2019. Such fees are disclosed on SBA Form 159 and filed with SBA for each funded loan.</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Between March 2018 and July 2018, in exchange for cash proceeds, we sold 1,476,090 shares 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these five individuals were acting in concert, but that the shares purchased by the five individuals were not attributable to BFG for purposes of the Bank Holding Company Act of 1956, as amended.</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December of 2019, we acquired directly from four of the five individuals who acquired our shares in 2018, a 10% ownership interest in BFG in exchange for 950,784 newly-issued shares of our common stock, representing 10.9% of the Company’s outstanding common stock at the time of purchase. The UDFI approved the acquisition of the additional shares of our common stock in the exchange by the four individuals and the Federal Reserve Bank did not object, provided that no individual own more than 9.9% of our issued and outstanding common stock (as calculated in accordance with the rules and regulations of the Federal Reserve Bank).</w:t>
      </w:r>
    </w:p>
    <w:p>
      <w:pPr>
        <w:sectPr>
          <w:pgSz w:w="11900" w:h="16838" w:orient="portrait"/>
          <w:cols w:equalWidth="0" w:num="1">
            <w:col w:w="11240"/>
          </w:cols>
          <w:pgMar w:left="320" w:top="121" w:right="339" w:bottom="89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99"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To strengthen our relationship with BFG, we also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Lending Activities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Overview</w:t>
      </w:r>
      <w:r>
        <w:rPr>
          <w:rFonts w:ascii="Arial" w:cs="Arial" w:eastAsia="Arial" w:hAnsi="Arial"/>
          <w:sz w:val="22"/>
          <w:szCs w:val="22"/>
          <w:color w:val="auto"/>
        </w:rPr>
        <w:t>. We maintain a diversified loan portfolio in terms of the types of loan products it contains and customer characteristics,</w:t>
      </w:r>
      <w:r>
        <w:rPr>
          <w:rFonts w:ascii="Arial" w:cs="Arial" w:eastAsia="Arial" w:hAnsi="Arial"/>
          <w:sz w:val="22"/>
          <w:szCs w:val="22"/>
          <w:i w:val="1"/>
          <w:iCs w:val="1"/>
          <w:color w:val="auto"/>
        </w:rPr>
        <w:t xml:space="preserve"> </w:t>
      </w:r>
      <w:r>
        <w:rPr>
          <w:rFonts w:ascii="Arial" w:cs="Arial" w:eastAsia="Arial" w:hAnsi="Arial"/>
          <w:sz w:val="22"/>
          <w:szCs w:val="22"/>
          <w:color w:val="auto"/>
        </w:rPr>
        <w:t>with a focus on individual consumers and small businesses.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presents the composition of our total loan portfolio by lending program, as of December 31, 2021:</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 of Loans in</w:t>
            </w:r>
          </w:p>
        </w:tc>
        <w:tc>
          <w:tcPr>
            <w:tcW w:w="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Category of</w:t>
            </w:r>
          </w:p>
        </w:tc>
      </w:tr>
      <w:tr>
        <w:trPr>
          <w:trHeight w:val="241"/>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Total Loans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total loans</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3,428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27,108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85,850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4,574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265,788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 SBA loans in the table above include $1.1 million of PPP loans as of December 31, 2021.</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 xml:space="preserve">SBA 7(a) Loans. </w:t>
      </w:r>
      <w:r>
        <w:rPr>
          <w:rFonts w:ascii="Arial" w:cs="Arial" w:eastAsia="Arial" w:hAnsi="Arial"/>
          <w:sz w:val="21"/>
          <w:szCs w:val="21"/>
          <w:color w:val="auto"/>
        </w:rPr>
        <w:t>Since 2014, we have utilized relationships with third parties (primarily BFG) to originate loans partially</w:t>
      </w:r>
      <w:r>
        <w:rPr>
          <w:rFonts w:ascii="Arial" w:cs="Arial" w:eastAsia="Arial" w:hAnsi="Arial"/>
          <w:sz w:val="21"/>
          <w:szCs w:val="21"/>
          <w:i w:val="1"/>
          <w:iCs w:val="1"/>
          <w:color w:val="auto"/>
        </w:rPr>
        <w:t xml:space="preserve"> </w:t>
      </w:r>
      <w:r>
        <w:rPr>
          <w:rFonts w:ascii="Arial" w:cs="Arial" w:eastAsia="Arial" w:hAnsi="Arial"/>
          <w:sz w:val="21"/>
          <w:szCs w:val="21"/>
          <w:color w:val="auto"/>
        </w:rPr>
        <w:t>guaranteed by the SBA, to small businesses and professionals. We typically sell the SBA-guaranteed portion (generally 75% of the principal balance) of the loans we originate at a premium in the secondary market while retaining all servicing rights and the unguaranteed portion. Loan terms generally range from 120 to 300 months and interest rates currently range from the prime rate plus 200 basis points to the prime rate plus 275 basis points, as adjusted quarterly. During the year ended December 31, 2021, we originated approximately $157.9 million in SBA 7(a) loans and held approximately $141.3 million of SBA 7(a) loans on our balance sheet as of December 31, 2021, excluding PPP loans, of which $75.7 million was guaranteed by the SBA and $65.6 million was unguaranteed. Excluding the impact of an aggregate of $1.1 million in PPP loan balances outstanding as of December 31, 2021, our loan portfolio as of that date is comprised of 24.8% in unguaranteed portions of SBA 7(a) loans and 28.6% in guaranteed portions of SBA 7(a) loans.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As an experienced SBA 7(a) lender, we were an active participant in the first round of PPP lending. No PPP loans were originated by the Company during the year ended December 31, 2021. In addition to a 1.0% interest rate paid by the borrower, the PPP loans also resulted in fees paid by the SBA to the Bank for processing PPP loans, which fees are accreted into interest income over the life of the applicable loans. If a PPP loan is forgiven or paid off before maturity, the remaining unearned fee is recognized into income at that time. For the year ended December 31, 2021, the Company recognized approximately $1.8 million in PPP-related SBA accreted deferred loan fees through interest income, $1.5 million of which were accelerated as a result of PPP loan forgiveness.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of deferred fees is remaining as of December 31, 2021.</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existing SBA 7(a) lending program is supported by marketing directly by the Bank as well as through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i w:val="1"/>
          <w:iCs w:val="1"/>
          <w:color w:val="auto"/>
        </w:rPr>
        <w:t>Strategic Programs</w:t>
      </w:r>
      <w:r>
        <w:rPr>
          <w:rFonts w:ascii="Arial" w:cs="Arial" w:eastAsia="Arial" w:hAnsi="Arial"/>
          <w:sz w:val="19"/>
          <w:szCs w:val="19"/>
          <w:color w:val="auto"/>
        </w:rPr>
        <w:t>. We have established Strategic Programs with various third-party consumer and commercial loan origination</w:t>
      </w:r>
      <w:r>
        <w:rPr>
          <w:rFonts w:ascii="Arial" w:cs="Arial" w:eastAsia="Arial" w:hAnsi="Arial"/>
          <w:sz w:val="19"/>
          <w:szCs w:val="19"/>
          <w:i w:val="1"/>
          <w:iCs w:val="1"/>
          <w:color w:val="auto"/>
        </w:rPr>
        <w:t xml:space="preserve"> </w:t>
      </w:r>
      <w:r>
        <w:rPr>
          <w:rFonts w:ascii="Arial" w:cs="Arial" w:eastAsia="Arial" w:hAnsi="Arial"/>
          <w:sz w:val="19"/>
          <w:szCs w:val="19"/>
          <w:color w:val="auto"/>
        </w:rPr>
        <w:t>platforms that use technology to streamline the origination of consumer and small commercial loans. We currently have eleven Strategic Program relationships. The terms of our Strategic Programs generally require each Strategic Program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We have selectively retained a portion of the loans or receivables based on analytics generated by FinView™ and the capacity and appetite of the Bank. We have also selectively purchased pools of loans from our Strategic Program service providers. The Bank reserves for projected loan losses associated with loans held-for-investment based on modeled loss projections and adjusts such reserves as needed. Our Strategic Programs also cover a wide range of borrower credit profiles, loan terms and interest rates. Loan terms range from 1 month to 72 months. Interest rates currently range from 8% to 160%. During the year ended December 31, 2021, we originated approximately $6.4 billion in Strategic Program loans and we held for investment approximately $25.1 million in Strategic Program loans and approximately $60.7 million in Strategic Program loans held-for-sale as of December 31, 2021. Business checking and money market demand accounts associated with Strategic Program relationships held balances of approximately $101.5 million (including $39.6 million held as collateral) as of December 31, 2021. Excluding the impact of $1.1 million in PPP loan balances outstanding as of December 31, 2021, our Strategic Program held-for-sale loans comprised 23.0% of the Bank’s loan portfolio and our Strategic Program held-for-investment loans comprised of 9.5% of the Bank’s loan portfolio.</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i w:val="1"/>
          <w:iCs w:val="1"/>
          <w:color w:val="auto"/>
        </w:rPr>
        <w:t>Residential and Commercial Real Estate Loans</w:t>
      </w:r>
      <w:r>
        <w:rPr>
          <w:rFonts w:ascii="Arial" w:cs="Arial" w:eastAsia="Arial" w:hAnsi="Arial"/>
          <w:sz w:val="21"/>
          <w:szCs w:val="21"/>
          <w:color w:val="auto"/>
        </w:rPr>
        <w:t>. We operate a single branch location in Sandy, Utah. From this branch, we offer</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 All of the loans generated through this branch are held on our balance sheet. As of December 31, 2021, our branch-based banking operations consisted of approximately $33.7 million in loans (including approximately $29.5 million of residential and commercial real estate loans) and approximately $53.2 million in deposits. The deposit operations at our branch focus on local businesses and individual customers that are seeking personal service and the relationships developed with our local bankers. These deposits comprise demand deposits, NOW accounts, MMDAs, savings accounts, and time deposits under $250,000 that are not brokered deposits.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Excluding the impact of $1.1 million in</w:t>
      </w:r>
    </w:p>
    <w:p>
      <w:pPr>
        <w:spacing w:after="0" w:line="3" w:lineRule="exact"/>
        <w:rPr>
          <w:sz w:val="20"/>
          <w:szCs w:val="20"/>
          <w:color w:val="auto"/>
        </w:rPr>
      </w:pPr>
    </w:p>
    <w:p>
      <w:pPr>
        <w:jc w:val="both"/>
        <w:ind w:firstLine="8"/>
        <w:spacing w:after="0" w:line="244" w:lineRule="auto"/>
        <w:tabs>
          <w:tab w:leader="none" w:pos="434" w:val="left"/>
        </w:tabs>
        <w:numPr>
          <w:ilvl w:val="0"/>
          <w:numId w:val="5"/>
        </w:numPr>
        <w:rPr>
          <w:rFonts w:ascii="Arial" w:cs="Arial" w:eastAsia="Arial" w:hAnsi="Arial"/>
          <w:sz w:val="21"/>
          <w:szCs w:val="21"/>
          <w:color w:val="auto"/>
        </w:rPr>
      </w:pPr>
      <w:r>
        <w:rPr>
          <w:rFonts w:ascii="Arial" w:cs="Arial" w:eastAsia="Arial" w:hAnsi="Arial"/>
          <w:sz w:val="21"/>
          <w:szCs w:val="21"/>
          <w:color w:val="auto"/>
        </w:rPr>
        <w:t>loan balances outstanding as of December 31, 2021, our residential real estate loans comprised 10.2% of the Bank’s total loan portfolio, and our commercial real estate loans comprised 0.9% of the Bank’s total loan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color w:val="auto"/>
        </w:rPr>
        <w:t>Consumer Loans</w:t>
      </w:r>
      <w:r>
        <w:rPr>
          <w:rFonts w:ascii="Arial" w:cs="Arial" w:eastAsia="Arial" w:hAnsi="Arial"/>
          <w:sz w:val="19"/>
          <w:szCs w:val="19"/>
          <w:color w:val="auto"/>
        </w:rPr>
        <w:t>. Consumer loans consist primarily of loans originated through our POS program. Since 2011, the Bank has</w:t>
      </w:r>
      <w:r>
        <w:rPr>
          <w:rFonts w:ascii="Arial" w:cs="Arial" w:eastAsia="Arial" w:hAnsi="Arial"/>
          <w:sz w:val="19"/>
          <w:szCs w:val="19"/>
          <w:i w:val="1"/>
          <w:iCs w:val="1"/>
          <w:color w:val="auto"/>
        </w:rPr>
        <w:t xml:space="preserve"> </w:t>
      </w:r>
      <w:r>
        <w:rPr>
          <w:rFonts w:ascii="Arial" w:cs="Arial" w:eastAsia="Arial" w:hAnsi="Arial"/>
          <w:sz w:val="19"/>
          <w:szCs w:val="19"/>
          <w:color w:val="auto"/>
        </w:rPr>
        <w:t>offered 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FinView™ and “off-the-shelf” technology solutions. The majority of the approximately $4.6 million in consumer loans outstanding as of December 31, 2021 that were not generated through our Strategic Programs were originated in connection with our POS lending program. During the year ended December 31, 2021, we originated approximately $2.3 million in POS loans and held approximately $3.8 million of POS loans on our balance sheet as of December 31, 2021. Excluding the impact of $1.1 million in PPP loan balances outstanding as of December 31, 2021, our consumer loans comprised 1.7% of the Bank’s total loan portfolio.</w:t>
      </w:r>
    </w:p>
    <w:p>
      <w:pPr>
        <w:sectPr>
          <w:pgSz w:w="11900" w:h="16838" w:orient="portrait"/>
          <w:cols w:equalWidth="0" w:num="1">
            <w:col w:w="11240"/>
          </w:cols>
          <w:pgMar w:left="320" w:top="121"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Commercial Non-Real Estate Loans</w:t>
      </w:r>
      <w:r>
        <w:rPr>
          <w:rFonts w:ascii="Arial" w:cs="Arial" w:eastAsia="Arial" w:hAnsi="Arial"/>
          <w:sz w:val="19"/>
          <w:szCs w:val="19"/>
          <w:color w:val="auto"/>
        </w:rPr>
        <w:t>. Commercial non-real estate includes loans and leases made to commercial enterprises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not secured by real estate.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loans and leases on our balance sheet for investment. Excluding the impact of $1.1 million in PPP loan balances outstanding as of December 31, 2021, our commercial non-real estate loans comprised 1.3% of the Bank’s total loan portfolio.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Administration and Loan Review</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Underwriting</w:t>
      </w:r>
      <w:r>
        <w:rPr>
          <w:rFonts w:ascii="Arial" w:cs="Arial" w:eastAsia="Arial" w:hAnsi="Arial"/>
          <w:sz w:val="22"/>
          <w:szCs w:val="22"/>
          <w:color w:val="auto"/>
        </w:rPr>
        <w:t>. In evaluating credit, we use both judgmental and statistically based approaches, depending on the specific credit</w:t>
      </w:r>
      <w:r>
        <w:rPr>
          <w:rFonts w:ascii="Arial" w:cs="Arial" w:eastAsia="Arial" w:hAnsi="Arial"/>
          <w:sz w:val="22"/>
          <w:szCs w:val="22"/>
          <w:i w:val="1"/>
          <w:iCs w:val="1"/>
          <w:color w:val="auto"/>
        </w:rPr>
        <w:t xml:space="preserve"> </w:t>
      </w:r>
      <w:r>
        <w:rPr>
          <w:rFonts w:ascii="Arial" w:cs="Arial" w:eastAsia="Arial" w:hAnsi="Arial"/>
          <w:sz w:val="22"/>
          <w:szCs w:val="22"/>
          <w:color w:val="auto"/>
        </w:rPr>
        <w:t>product.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taking the judgmental approach, we evaluate each potential loan relationship and adhere to a disciplined underwriting evaluation process that includes the following:</w:t>
      </w:r>
    </w:p>
    <w:p>
      <w:pPr>
        <w:spacing w:after="0" w:line="20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understanding the customer’s financial condition and ability to repay the loan;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management performance and expertise and industry experience;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verifying that the primary and secondary sources of repayment are adequate in relation to the amount and structure of the loan;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observing appropriate loan-to-value guidelines for collateral secured loans;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our targeted levels of diversification for the loan portfolio, both as to type of borrower and type of collateral;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ensuring that each loan is properly documented with perfected liens on collateral.</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Loan Approval Authority</w:t>
      </w:r>
      <w:r>
        <w:rPr>
          <w:rFonts w:ascii="Arial" w:cs="Arial" w:eastAsia="Arial" w:hAnsi="Arial"/>
          <w:sz w:val="19"/>
          <w:szCs w:val="19"/>
          <w:color w:val="auto"/>
        </w:rPr>
        <w:t>. Our lending activities follow written, non-discriminatory underwriting standards and loan origination</w:t>
      </w:r>
      <w:r>
        <w:rPr>
          <w:rFonts w:ascii="Arial" w:cs="Arial" w:eastAsia="Arial" w:hAnsi="Arial"/>
          <w:sz w:val="19"/>
          <w:szCs w:val="19"/>
          <w:i w:val="1"/>
          <w:iCs w:val="1"/>
          <w:color w:val="auto"/>
        </w:rPr>
        <w:t xml:space="preserve"> </w:t>
      </w:r>
      <w:r>
        <w:rPr>
          <w:rFonts w:ascii="Arial" w:cs="Arial" w:eastAsia="Arial" w:hAnsi="Arial"/>
          <w:sz w:val="19"/>
          <w:szCs w:val="19"/>
          <w:color w:val="auto"/>
        </w:rPr>
        <w:t>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Any loan policy exceptions are appropriately monitored and fully disclosed to the approving authority. We believe that our credit approval process provides for thorough underwriting and efficient decision making.</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i w:val="1"/>
          <w:iCs w:val="1"/>
          <w:color w:val="auto"/>
        </w:rPr>
        <w:t xml:space="preserve">Ongoing Credit Risk Management. </w:t>
      </w:r>
      <w:r>
        <w:rPr>
          <w:rFonts w:ascii="Arial" w:cs="Arial" w:eastAsia="Arial" w:hAnsi="Arial"/>
          <w:sz w:val="19"/>
          <w:szCs w:val="19"/>
          <w:color w:val="auto"/>
        </w:rPr>
        <w:t>In addition to the tailored underwriting process described above, we perform ongoing risk</w:t>
      </w:r>
      <w:r>
        <w:rPr>
          <w:rFonts w:ascii="Arial" w:cs="Arial" w:eastAsia="Arial" w:hAnsi="Arial"/>
          <w:sz w:val="19"/>
          <w:szCs w:val="19"/>
          <w:i w:val="1"/>
          <w:iCs w:val="1"/>
          <w:color w:val="auto"/>
        </w:rPr>
        <w:t xml:space="preserve"> </w:t>
      </w:r>
      <w:r>
        <w:rPr>
          <w:rFonts w:ascii="Arial" w:cs="Arial" w:eastAsia="Arial" w:hAnsi="Arial"/>
          <w:sz w:val="19"/>
          <w:szCs w:val="19"/>
          <w:color w:val="auto"/>
        </w:rPr>
        <w:t>monitoring and review 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 Pursuant to our credit policy, our loan committee is required to consider loan grade updates at our quarterly meetings</w:t>
      </w:r>
    </w:p>
    <w:p>
      <w:pPr>
        <w:spacing w:after="0" w:line="200" w:lineRule="exact"/>
        <w:rPr>
          <w:sz w:val="20"/>
          <w:szCs w:val="20"/>
          <w:color w:val="auto"/>
        </w:rPr>
      </w:pPr>
    </w:p>
    <w:p>
      <w:pPr>
        <w:spacing w:after="0" w:line="2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Bank analyzes each loan application in a reasonable manner, consistent with prudent lending standards. Prudent underwriting during the Covid-19 pandemic includes taking into consideration the current and future effects the emergency has on employment, business operations, cash flow and the repayment ability of loan applicants. Additional factors considered during underwriting include, but are not limited to:</w:t>
      </w:r>
    </w:p>
    <w:p>
      <w:pPr>
        <w:spacing w:after="0" w:line="219"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applicant has any other loans(s) (including through the PPP, SBA EIDL, other stimulus financing) that have repayment or contingent repayment requirements which could impact cash flow;</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commercial applicants, whether the business revenue and staffing levels have been impacted by the Covid-19 pandemic and whether business has a contingency plan for revenues and operations for a minimum of the next 18 months;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individual applicants, whether his or her source of income has been or may be impacted;</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how governmental restrictions, including stay-at-home orders, social distancing, travel, traffic flow, and trade limitations have impacted applicant’s business operations or personal cash flow;</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historical financial information can be reasonably relied upon based on current market conditions;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current market conditions have on collateral adequacy.</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i w:val="1"/>
          <w:iCs w:val="1"/>
          <w:color w:val="auto"/>
        </w:rPr>
        <w:t>Credit Concentrations</w:t>
      </w:r>
      <w:r>
        <w:rPr>
          <w:rFonts w:ascii="Arial" w:cs="Arial" w:eastAsia="Arial" w:hAnsi="Arial"/>
          <w:sz w:val="19"/>
          <w:szCs w:val="19"/>
          <w:color w:val="auto"/>
        </w:rPr>
        <w:t>. We actively monitor and manage the composition of our loan portfolio, including credit concentrations.</w:t>
      </w:r>
      <w:r>
        <w:rPr>
          <w:rFonts w:ascii="Arial" w:cs="Arial" w:eastAsia="Arial" w:hAnsi="Arial"/>
          <w:sz w:val="19"/>
          <w:szCs w:val="19"/>
          <w:i w:val="1"/>
          <w:iCs w:val="1"/>
          <w:color w:val="auto"/>
        </w:rPr>
        <w:t xml:space="preserve"> </w:t>
      </w:r>
      <w:r>
        <w:rPr>
          <w:rFonts w:ascii="Arial" w:cs="Arial" w:eastAsia="Arial" w:hAnsi="Arial"/>
          <w:sz w:val="19"/>
          <w:szCs w:val="19"/>
          <w:color w:val="auto"/>
        </w:rPr>
        <w:t>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Bank’s lending and collection policies are reviewed and approved by the Bank’s board of directors at least annually. Concentration levels are monitored by management and reported to the Bank’s board of directors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Lending Limits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lending activities are subject to a variety of lending limits imposed by state and federal law. In general, the Bank is subject to a legal lending limit on loans to a single borrower based on the Bank’s capital level as dictated by the State of 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$12.0 million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Programs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Overview</w:t>
      </w:r>
      <w:r>
        <w:rPr>
          <w:rFonts w:ascii="Arial" w:cs="Arial" w:eastAsia="Arial" w:hAnsi="Arial"/>
          <w:sz w:val="22"/>
          <w:szCs w:val="22"/>
          <w:color w:val="auto"/>
        </w:rPr>
        <w:t>. We currently source most of our loan originations through our Strategic Programs. Our Strategic Programs include a</w:t>
      </w:r>
      <w:r>
        <w:rPr>
          <w:rFonts w:ascii="Arial" w:cs="Arial" w:eastAsia="Arial" w:hAnsi="Arial"/>
          <w:sz w:val="22"/>
          <w:szCs w:val="22"/>
          <w:i w:val="1"/>
          <w:iCs w:val="1"/>
          <w:color w:val="auto"/>
        </w:rPr>
        <w:t xml:space="preserve"> </w:t>
      </w:r>
      <w:r>
        <w:rPr>
          <w:rFonts w:ascii="Arial" w:cs="Arial" w:eastAsia="Arial" w:hAnsi="Arial"/>
          <w:sz w:val="22"/>
          <w:szCs w:val="22"/>
          <w:color w:val="auto"/>
        </w:rPr>
        <w:t>broad array of products for both prime and subprime borrowers including both consumer and commercial loans that may be secured or unsecured, and open- or closed-end products, depending on the particular market targeted by the Bank and the specific Strategic Program service provider. Minimum and maximum loan amounts range from $500 to $2.0 million and loan terms range from 6 to 72 months.</w:t>
      </w:r>
    </w:p>
    <w:p>
      <w:pPr>
        <w:sectPr>
          <w:pgSz w:w="11900" w:h="16838" w:orient="portrait"/>
          <w:cols w:equalWidth="0" w:num="1">
            <w:col w:w="11240"/>
          </w:cols>
          <w:pgMar w:left="320" w:top="122" w:right="3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Bank’s current Strategic Program service providers include Behalf, OppFi, Liberty Lending, LendingPoint, American First Finance, Elevate, Upstart, Mulligan Funding, Great American Finance, Edly, and Empower. From time to time, we expect the number and composition of our Strategic Program service providers to change as the business develops, contract 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Selection and Oversight</w:t>
      </w:r>
      <w:r>
        <w:rPr>
          <w:rFonts w:ascii="Arial" w:cs="Arial" w:eastAsia="Arial" w:hAnsi="Arial"/>
          <w:sz w:val="19"/>
          <w:szCs w:val="19"/>
          <w:color w:val="auto"/>
        </w:rPr>
        <w:t>. We select service providers for our Strategic Programs applying third party guidance promulgated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FDIC, including 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Structure</w:t>
      </w:r>
      <w:r>
        <w:rPr>
          <w:rFonts w:ascii="Arial" w:cs="Arial" w:eastAsia="Arial" w:hAnsi="Arial"/>
          <w:sz w:val="19"/>
          <w:szCs w:val="19"/>
          <w:color w:val="auto"/>
        </w:rPr>
        <w:t>. In structuring a Strategic Program, the Bank and the Strategic Program service provider generally review and agree</w:t>
      </w:r>
      <w:r>
        <w:rPr>
          <w:rFonts w:ascii="Arial" w:cs="Arial" w:eastAsia="Arial" w:hAnsi="Arial"/>
          <w:sz w:val="19"/>
          <w:szCs w:val="19"/>
          <w:i w:val="1"/>
          <w:iCs w:val="1"/>
          <w:color w:val="auto"/>
        </w:rPr>
        <w:t xml:space="preserve"> </w:t>
      </w:r>
      <w:r>
        <w:rPr>
          <w:rFonts w:ascii="Arial" w:cs="Arial" w:eastAsia="Arial" w:hAnsi="Arial"/>
          <w:sz w:val="19"/>
          <w:szCs w:val="19"/>
          <w:color w:val="auto"/>
        </w:rPr>
        <w:t>upon a set of program 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660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 party management.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typically retain Strategic Program loans for a number of business days after origination during which the Bank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spacing w:after="0" w:line="188"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i w:val="1"/>
          <w:iCs w:val="1"/>
          <w:color w:val="auto"/>
        </w:rPr>
        <w:t xml:space="preserve">Fees and Other Economics. </w:t>
      </w:r>
      <w:r>
        <w:rPr>
          <w:rFonts w:ascii="Arial" w:cs="Arial" w:eastAsia="Arial" w:hAnsi="Arial"/>
          <w:sz w:val="21"/>
          <w:szCs w:val="21"/>
          <w:color w:val="auto"/>
        </w:rPr>
        <w:t>The Bank generally earns fees equal to a percentage of the loans generated under its Strategic</w:t>
      </w:r>
      <w:r>
        <w:rPr>
          <w:rFonts w:ascii="Arial" w:cs="Arial" w:eastAsia="Arial" w:hAnsi="Arial"/>
          <w:sz w:val="21"/>
          <w:szCs w:val="21"/>
          <w:i w:val="1"/>
          <w:iCs w:val="1"/>
          <w:color w:val="auto"/>
        </w:rPr>
        <w:t xml:space="preserve"> </w:t>
      </w:r>
      <w:r>
        <w:rPr>
          <w:rFonts w:ascii="Arial" w:cs="Arial" w:eastAsia="Arial" w:hAnsi="Arial"/>
          <w:sz w:val="21"/>
          <w:szCs w:val="21"/>
          <w:color w:val="auto"/>
        </w:rPr>
        <w:t>Programs. Strategic Program service providers may also be required to pay minimum monthly fees to the Bank and reimburse the Bank for certain agreed-upon expenses. Some Strategic Programs require the service provider pay a fee to the Bank if it enters into a similar strategic relationship with another bank or financial institution.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On October 13, 2021, we formed a limited liability company as a wholly-owned subsidiary of the Company to hold and manage private investments made by the Company and the Bank. The Company currently holds, and in the future may acquire, equity in certain of our Strategic Program service providers through this subsidiary. As of the date of this Report, this subsidiary holds a </w:t>
      </w:r>
      <w:r>
        <w:rPr>
          <w:rFonts w:ascii="Arial" w:cs="Arial" w:eastAsia="Arial" w:hAnsi="Arial"/>
          <w:sz w:val="21"/>
          <w:szCs w:val="21"/>
          <w:i w:val="1"/>
          <w:iCs w:val="1"/>
          <w:color w:val="auto"/>
        </w:rPr>
        <w:t>de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minimis </w:t>
      </w:r>
      <w:r>
        <w:rPr>
          <w:rFonts w:ascii="Arial" w:cs="Arial" w:eastAsia="Arial" w:hAnsi="Arial"/>
          <w:sz w:val="21"/>
          <w:szCs w:val="21"/>
          <w:color w:val="auto"/>
        </w:rPr>
        <w:t>amount of equity securities of one Strategic Program service provider.</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Servicing. </w:t>
      </w:r>
      <w:r>
        <w:rPr>
          <w:rFonts w:ascii="Arial" w:cs="Arial" w:eastAsia="Arial" w:hAnsi="Arial"/>
          <w:sz w:val="22"/>
          <w:szCs w:val="22"/>
          <w:color w:val="auto"/>
        </w:rPr>
        <w:t>The Bank generally services the loans originated through the Strategic Programs in consideration of servicing fees</w:t>
      </w:r>
      <w:r>
        <w:rPr>
          <w:rFonts w:ascii="Arial" w:cs="Arial" w:eastAsia="Arial" w:hAnsi="Arial"/>
          <w:sz w:val="22"/>
          <w:szCs w:val="22"/>
          <w:i w:val="1"/>
          <w:iCs w:val="1"/>
          <w:color w:val="auto"/>
        </w:rPr>
        <w:t xml:space="preserve"> </w:t>
      </w:r>
      <w:r>
        <w:rPr>
          <w:rFonts w:ascii="Arial" w:cs="Arial" w:eastAsia="Arial" w:hAnsi="Arial"/>
          <w:sz w:val="22"/>
          <w:szCs w:val="22"/>
          <w:color w:val="auto"/>
        </w:rPr>
        <w:t>equal to a percentage of the loans generated under the Strategic Program. In turn, the Strategic Program service providers, subject to the Bank’s approval and oversight, serve as sub-servicer and perform typical primary servicing duties including loan collections, modifications, charging-off, reporting and monitoring.</w:t>
      </w:r>
    </w:p>
    <w:p>
      <w:pPr>
        <w:sectPr>
          <w:pgSz w:w="11900" w:h="16838" w:orient="portrait"/>
          <w:cols w:equalWidth="0" w:num="1">
            <w:col w:w="11240"/>
          </w:cols>
          <w:pgMar w:left="320" w:top="122" w:right="339" w:bottom="19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93"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and Deposits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use a diversified funding strategy with an emphasis on core deposits from our branch operations, deposits originated through SBA 7(a) lending programs and Strategic Programs, coupled with brokered deposits and borrowings as needed. A significant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The charts below illustrate the changing composition of our deposit portfolio as of December 31,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Total Deposits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10795</wp:posOffset>
            </wp:positionV>
            <wp:extent cx="3540125" cy="237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4012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core deposits, as of December 31, 2021, constituted 83.2% of our funding sources, excluding the PPPLF (our core deposits comprise the sum of demand deposits, NOW accounts, MMDA accounts, savings accounts, and time deposits under $250,000 that are not brokered deposits).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Portfolio</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manage our securities portfolio and cash to maintain adequate liquidity and to ensure the safety and preservation of invested principal, with a secondary focus on yield and returns. Our investments were approximately $11.4 million as of December 31, 2021. Specific objectives of our investment policy and portfolio are as follows:</w:t>
      </w:r>
    </w:p>
    <w:p>
      <w:pPr>
        <w:spacing w:after="0" w:line="203" w:lineRule="exact"/>
        <w:rPr>
          <w:sz w:val="20"/>
          <w:szCs w:val="20"/>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Generation—The Bank’s investment portfolio is managed to maximize income on invested funds in a manner that is consistent with the Bank’s overall financial goals and risk considerations.</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Liquidity—The Bank’s investment portfolio is managed to remain sufficiently liquid to meet anticipated funding demands either through declines in deposits and/or increases in loan demand.</w:t>
      </w:r>
    </w:p>
    <w:p>
      <w:pPr>
        <w:sectPr>
          <w:pgSz w:w="11900" w:h="16838" w:orient="portrait"/>
          <w:cols w:equalWidth="0" w:num="1">
            <w:col w:w="11240"/>
          </w:cols>
          <w:pgMar w:left="320" w:top="122"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Mitigate Interest Rate Risk—Portfolio strategies are used to assist the Bank in managing its overall interest rate sensitivity position in accordance with goals and objectives approved by our board of directors.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Resources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2021, we employed 116 persons, of which 109 were employed on a full time basis. None of our employees are represented by any collective bargaining unit or are a party to a collective bargaining agreement. We believe the relationship with our employees to be good.</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Supervision and Regulation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As a Utah-chartered commercial bank, the Bank is also subject to certain provisions of Utah law and the supervision of the UDFI. Additionally, as a state-chartered bank that is not a member of the Federal Reserve System, the Bank is also subject to regulation and supervision by the FDIC. Both the UDFI and the FDIC conduct routine examinations of the Bank. The Company’s and the Bank’s regulators generally have broad discretion to impose restrictions and limitations on our operations. Bank regulation is intended to protect depositors, consumers, and commercial customers, and not shareholders. This supervisory framework could materially impact the conduct and profitability of our activities.</w:t>
      </w:r>
    </w:p>
    <w:p>
      <w:pPr>
        <w:sectPr>
          <w:pgSz w:w="11900" w:h="16838" w:orient="portrait"/>
          <w:cols w:equalWidth="0" w:num="1">
            <w:col w:w="11240"/>
          </w:cols>
          <w:pgMar w:left="320" w:top="122" w:right="339" w:bottom="7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33"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Regulation of FinWise Bancorp</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Under the BHC Act, “control” is conclusively presumed to exist if a company acquires 25% or more of the outstanding voting securities of a bank or bank holding company, but may arise based on the facts and circumstances even with ownership below 5.00% up to 24.99% ownership. On September 30, 2020, the Federal Reserve’s final rule revising the Federal Reserve’s regulations related to determinations of whether a company has “control” over another company, including a bank holding company or a bank, for purposes of the BHC Act, became effective. The final rule created a tiered system of non-control presumptions based upon the percentage of any class of voting securities held by an acquirer and the presence of other indicia of control, the final rule’s four categories of tiered presumptions of non-control, based upon the percentage of ownership of any class of voting securities held by an acquirer, are (i) less than 5%, (ii) 5% to 9.99%, (iii) 10% to 14.99%, and (iv) 15% to 24.99%. By codifying the non-control presumptions, the final rule provides greater transparency with respect to the total level of equity, representative directors, management interlocks, limiting contractual provisions and business relationships that would be permissible to the Federal Reserve in order to avoid a determination of control. The Federal Reserve’s final rule applies to control determinations under the BHC Act, but does not apply to the Change in Bank Control Act.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Change in Bank Control Act provides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or more of the outstanding shares of any class of voting securities of another company. Accordingly, the Change in Bank Control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Change in Bank Control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 The Federal Reserve Board may require an investor to enter into passivity and, if other companies are making similar investments, anti-association commitments.</w:t>
      </w: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BHC Act was substantially amended by the Gramm-Leach-Bliley Act, or the GLBA, which, among other things, permits a “financial holding company” to engage in a broader range of nonbanking activities, and to engage on less restrictive terms in certain activities than were previously permitted. These expanded activities include securities underwriting and dealing, insurance underwriting and sales, and merchant banking activities. To become a financial holding company, a bank holding company must certify that it and all depository institutions that it controls are both “well capitalized” and “well managed” (as defined by federal law), and that all subsidiary depository institutions have at least a “satisfactory” CRA rating. To date we have not elected to become a financial holding company and there are no current plans, to make such an election in the near future. If, however, there were a compelling reason to make such election in the future, the Company would consider making such election.</w:t>
      </w:r>
    </w:p>
    <w:p>
      <w:pPr>
        <w:sectPr>
          <w:pgSz w:w="11900" w:h="16838" w:orient="portrait"/>
          <w:cols w:equalWidth="0" w:num="1">
            <w:col w:w="11240"/>
          </w:cols>
          <w:pgMar w:left="320" w:top="122" w:right="339" w:bottom="679"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There are several restrictions imposed on us by law and regulatory policy that are designed to minimize potential loss to depositors and to the DIF in the event that a subsidiary depository institution should become insolvent. For example, Federal Reserve policy historically required a bank holding company to serve as a source of financial and managerial strength to its subsidiary depository institutions and to commit resources to support such institutions in circumstances where it might not do so in the absence of the rule.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As another example, the Federal Reserve’s Regulation Y requires a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In addition, Federal Reserve’s Supervisory Letter SR 09-4 requires that a bank holding company consult with the Federal Reserve in advance of repurchases of stock if, as a result of such repurchase, there is a net reduction of the outstanding amount of common stock or preferred stock outstanding at the beginning of the quarter in which the redemption or repurchase occurs. When informing Federal Reserve supervisory staff of redemptions and repurchases, including requests for approval of redemptions, a bank holding company may provide information either for a proposed transaction or for a number of transactions within a given quarter on its tier 1 capital composition. Such information would include the dollar amount and percentage breakdown of the bank holding company’s tier 1 capital components (i.e., common equity, perpetual preferred stock, and other tier 1 capital instruments), as well as its regulatory capital ratios, at the beginning of the previous quarter and most recent four-quarter period, as well as pro forma changes to its capital composition and ratios resulting from its proposed redemptions or repurchases. The Federal Reserve may oppose the transaction if it believes that the transaction would constitute an unsafe or unsound practice or would violate any law or regulation. Any capital loan by a bank holding company to a subsidiary depository institution is subordinate in right of payment to deposits and certain other indebtedness of the institution. In addition, in the event of the bank holding company’s bankruptcy, any commitment made by the bank holding company to a federal banking regulatory agency to maintain the capital of its subsidiary depository institution(s) will be assumed by the bankruptcy trustee and entitled to a priority of payment.</w:t>
      </w:r>
    </w:p>
    <w:p>
      <w:pPr>
        <w:spacing w:after="0" w:line="200" w:lineRule="exact"/>
        <w:rPr>
          <w:sz w:val="20"/>
          <w:szCs w:val="20"/>
          <w:color w:val="auto"/>
        </w:rPr>
      </w:pP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Federal Deposit Insurance Act (the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ability of any bank holding company to acquire another bank holding company or bank is also significantly impacted by discretionary decisions of federal regulators, including political appointees, as to whether any proposed merger would be consistent with national financial institutions policies. Such views may have an impact on the ability of any bank holding company to complete a merger transaction as an acquiror, a target, or in a “merger of equals.” We are also subject to the regulation of the UDFI. Under Utah Code Ann. § 7-1-503, we are prohibited from issuing or offering to sell any security without approval from the UDFI.</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Regulation of FinWise Bank</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affirmative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w:t>
      </w:r>
    </w:p>
    <w:p>
      <w:pPr>
        <w:sectPr>
          <w:pgSz w:w="11900" w:h="16838" w:orient="portrait"/>
          <w:cols w:equalWidth="0" w:num="1">
            <w:col w:w="11240"/>
          </w:cols>
          <w:pgMar w:left="320" w:top="122" w:right="339" w:bottom="0" w:gutter="0" w:footer="0" w:header="0"/>
        </w:sectPr>
      </w:pPr>
    </w:p>
    <w:bookmarkStart w:id="17" w:name="page18"/>
    <w:bookmarkEnd w:id="17"/>
    <w:p>
      <w:pPr>
        <w:jc w:val="both"/>
        <w:spacing w:after="0" w:line="238" w:lineRule="auto"/>
        <w:rPr>
          <w:sz w:val="20"/>
          <w:szCs w:val="20"/>
          <w:color w:val="auto"/>
        </w:rPr>
      </w:pPr>
      <w:r>
        <w:rPr>
          <w:rFonts w:ascii="Arial" w:cs="Arial" w:eastAsia="Arial" w:hAnsi="Arial"/>
          <w:sz w:val="22"/>
          <w:szCs w:val="22"/>
          <w:color w:val="auto"/>
        </w:rPr>
        <w:t>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2021, the Bank paid a </w:t>
      </w:r>
      <w:r>
        <w:rPr>
          <w:rFonts w:ascii="Arial" w:cs="Arial" w:eastAsia="Arial" w:hAnsi="Arial"/>
          <w:sz w:val="21"/>
          <w:szCs w:val="21"/>
          <w:i w:val="1"/>
          <w:iCs w:val="1"/>
          <w:color w:val="auto"/>
        </w:rPr>
        <w:t>de minimis</w:t>
      </w:r>
      <w:r>
        <w:rPr>
          <w:rFonts w:ascii="Arial" w:cs="Arial" w:eastAsia="Arial" w:hAnsi="Arial"/>
          <w:sz w:val="21"/>
          <w:szCs w:val="21"/>
          <w:color w:val="auto"/>
        </w:rPr>
        <w:t xml:space="preserve"> assessment to the UDFI.</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Capital Adequacy Guidelines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Bank holding companies and banks are subject to various regulatory capital requirements administered by state and federal agencies. These agencies may establish higher minimum requirements if, for example, a banking organization previously has received special attention or has a high susceptibility to interest rate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Under federal regulations, bank holding companies and banks must meet certain risk-based capital requirements. Effective as of January 1, 2015, the Basel III final capital framework, among other things, (i) introduces as a new capital measure “Common Equity Tier 1” (“CET1”), (ii) specifies that Tier 1 capital consists of CET1 and “Additional Tier 1 capital” instruments meeting specified requirements, (iii) defines CET1 narrowly by requiring that most adjustments to regulatory capital measures be made to CET1 and not to the other components of capital, and (iv) expands the scope of the adjustments as compared to existing regulations. Beginning January 1, 2016, financial institutions are required to maintain a minimum “capital conservation buffer” to avoid restrictions on capital distributions such as dividends and equity repurchases and other payments such as discretionary bonuses to executive officers. The minimum capital conservation buffer has been phased-in over a four-year transition period with minimum buffers of 0.625%, 1.25%, 1.875%, and 2.50% during 2016, 2017, 2018, and 2019,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Basel III minimum capital ratios, as applicable to the Company and the Bank, with the full capital conservation buffer are summarized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Basel III</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Minimum</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Basel III</w:t>
            </w:r>
          </w:p>
        </w:tc>
        <w:tc>
          <w:tcPr>
            <w:tcW w:w="11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for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Basel III Ratio</w:t>
            </w:r>
          </w:p>
        </w:tc>
      </w:tr>
      <w:tr>
        <w:trPr>
          <w:trHeight w:val="216"/>
        </w:trPr>
        <w:tc>
          <w:tcPr>
            <w:tcW w:w="62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Capital</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with Capital</w:t>
            </w:r>
          </w:p>
        </w:tc>
      </w:tr>
      <w:tr>
        <w:trPr>
          <w:trHeight w:val="216"/>
        </w:trPr>
        <w:tc>
          <w:tcPr>
            <w:tcW w:w="62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Adequacy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Conservation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Conservation</w:t>
            </w:r>
          </w:p>
        </w:tc>
      </w:tr>
      <w:tr>
        <w:trPr>
          <w:trHeight w:val="241"/>
        </w:trPr>
        <w:tc>
          <w:tcPr>
            <w:tcW w:w="628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Purposes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Buffer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Buffer</w:t>
            </w:r>
          </w:p>
        </w:tc>
      </w:tr>
      <w:tr>
        <w:trPr>
          <w:trHeight w:val="216"/>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12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 Ratio (tier 1 to average assets)</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Common Equity Tier 1 Risk Based Capital (CET1 to risk-weighted assets)</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12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Basel III final framework provides for a number of deductions from and adjustments to CET1. These include, for example, the requirement that mortgage servicing rights, deferred tax assets dependent upon future taxable income and significant investments in non-consolidated financial entities be deducted from CET1 to the extent that any one such category exceeds 10% of CET1 or all such categories in the aggregate exceed 15% of CET1. Basel III also includes, as part of the definition of CET1 capital, a requirement that banking institutions include the amount of Additional Other Comprehensive Income (“AOCI”), which primarily consists of unrealized gains and losses on available-for-sale securities, which are not required to be treated as other-than-temporary impairment (net of tax) in calculating regulatory capital. Banking institutions had the option to opt out of including AOCI in CET1 capital if they elected to do so in their first regulatory report following January 1, 2015. As permitted by Basel III, the Company and the Bank have elected to exclude AOCI from CET1.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goodwill and most intangible assets are deducted from Tier 1 capital. For purposes of applicable total risk-based capital regulatory guidelines, Tier 2 capital (sometimes referred to as “supplementary capital”) is defined to include, subject to limitations: perpetual preferred stock not included in Tier 1 capital, intermediate-term preferred stock and any related surplus, certain hybrid capital instruments, perpetual debt and mandatory convertible debt securities, allowances for loan and lease losses, and intermediate-term subordinated debt instruments. The maximum amount of qualifying Tier 2 capital is 100% of qualifying Tier 1 capital. For purposes of determining total capital under federal guidelines, total capital equals Tier 1 capital, plus qualifying Tier 2 capital, minus investments in unconsolidated subsidiaries, reciprocal holdings of bank holding company capital securities, and deferred tax assets and other deductions.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Basel III changed the manner of calculating risk-weighted assets. New methodologies for determining risk-weighted assets in the general capital rules are included, including revisions to recognition of credit risk mitigation, including a greater recognition of financial collateral and a wider range of eligible guarantors. They also include risk weighting of equity exposures and past due loans; and higher (greater than 100%) risk weighting for certain commercial real estate exposures that have higher credit risk profiles, including higher loan to value and equity components. In particular, loans categorized as “high-volatility commercial real estate” loans (“HVCRE loans”), as defined pursuant to applicable federal regulations, are required to be assigned a 150% risk weighting, and require additional capital support.</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addition to the uniform risk-based capital guidelines and regulatory capital ratios that apply across the industry, the regulators have the discretion to set individual minimum capital requirements for specific institutions at rates significantly above the minimum guidelines and ratios. Future changes in regulations or practices could further reduce the amount of capital recognized for purposes of capital adequacy. Such a change could affect our ability to grow and could restrict the amount of profits, if any, available for the payment of dividends. Basel III became applicable to the Bank on January 1, 2015 and just recently to the Corporation due to the Corporation’s growth in excess of $3.0 billion in total consolidated assets. Overall, the Corporation believes that implementation of the Basel III Rule has not had and will not have a material adverse effect on the Corporation’s or the Bank’s capital ratios, earnings, shareholder’s equity, or its ability to pay dividends, effect stock repurchases or pay discretionary bonuses to executive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Company or the Bank. The impact of Basel IV on us will depend on the manner in which it is implemented by the federal bank regulators.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2018, the federal bank regulatory agencies issued a variety of proposals and made statements concerning regulatory capital standards. These proposals touched on such areas as commercial real estate exposure, credit loss allowances under generally accepted accounting principles and capital requirements for covered swap entities, among others. Public statements by key agency officials have also suggested a revisiting of capital policy and supervisory approaches on a going-forward basis. In July 2019, the federal bank regulators adopted a final rule that simplifies the capital treatment for certain deferred tax assets, mortgage servicing assets, investments in non-consolidated financial entities and minority interests for banking organizations, such as the Corporation and the Bank, that are not subject to the advanced approaches requirements. We will be assessing the impact on us of these new regulations and supervisory approaches as they are proposed and implemented.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February 2019, the U.S. federal bank regulatory agencies approved a final rule modifying their regulatory capital rules and providing an option to phase-in over a three-year period the Day 1 adverse regulatory capital effects of CECL accounting standard. Additionally, in March 2020, the U.S. Federal bank regulatory agencies issued an interim final rule that provides banking organizations an option to delay the estimated CECL impact on regulatory capital for an additional two years for a total transition period of up to five years to provide regulatory relief to banking organizations to better focus on supporting lending to creditworthy households and businesses in light of recent strains on the U.S. economy as a result of the COVID-19 pandemic. The capital relief in the interim is calibrated to approximate the difference in allowances under CECL relative to the incurred loss methodology for the first two years of the transition period using a 25% scaling factor. The cumulative difference at the end of the second year of the transition period is then phased in to regulatory capital at 25% per year over a three-year transition period. The final rule was adopted and became effective in September 2020. As a result, entities may gradually phase in the full effect of CECL on regulatory capital over a five-year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Prompt Corrective Action</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to the required minimum capital levels described above, federal law establishes a system of “prompt corrective actions” that federal banking agencies are required to take, and certain actions that they have discretion to take, based upon the capital category into which a federally regulated depository institution falls. Regulations set forth detailed procedures and criteria for implementing prompt corrective action in the case of any institution which is not adequately capitalized. Under the prompt corrective action rules, an institution is deemed “well capitalized” if its leverage ratio, Common Equity Tier 1 ratio, Tier 1 Capital ratio, and Total Capital ratio meet or exceed 5%, 6.5%, 8%, and 10%, respectively. An institution is deemed to be “adequately capitalized” or better if its leverage, Common Equity Tier 1, Tier 1, and Total Capital ratios meet or exceed the minimum federal regulatory capital requirements set forth in the Basel III Final Rule. An institution is “undercapitalized” if it fails to meet the minimum capital requirements. An institution is “significantly undercapitalized” if any one of its leverage, Common Equity Tier 1, Tier 1, and Total Capital ratios falls below 3%, 3%, 4%, and 6%, respectively, and “critically undercapitalized” if the institution has a ratio of tangible equity to total assets that is equal to or less than 2%.</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Economic Growth, Regulatory Relief and Consumer Protection Act (the “Regulatory Relief Act”), signed by President Trump on May 24, 2018, requires the federal banking agencies to promulgate a rule establishing a new “Community Bank Leverage Ratio” of 8% to 10% for depository institutions and depository institution holding companies, including banks and bank holding companies, with less than $10 billion in total consolidated assets, such as the Company and the Bank.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On October 29, 2019, the federal banking agencies issued a final rule, which became effective on January 1, 2020, that implements the Community Bank Leverage Ratio framework. The Community Bank Leverage Ratio framework became available for banks to use beginning with their March 31, 2020 Call Reports (with flexibility for banking organizations to subsequently opt into or out of the Community Bank Leverage Ratio framework, as applicable). Under the final rule, if a qualifying community banking organization opts into the Community Bank Leverage Ratio framework and meets all requirements under the framework, it would be deemed in compliance with all other capital and leverage requirements: (1) the leverage and risk-based capital requirements promulgated by the federal banking agencies; (2) in the case of a depository institution, the capital ratio requirements to be considered “well capitalized” under the federal banking agencies’ “prompt corrective action” regime as described below; and (3) any other capital or leverage requirements to which the depository institution or holding company is subject, in each case, unless the appropriate federal banking agency determines otherwise based on the particular institution’s risk profile. In order to qualify for the Community Bank Leverage Ratio framework, a community banking organization must have a tier 1 leverage ratio of greater than 9%, less than $10 billion in total consolidated assets, and limited amounts of off-balance-sheet exposures and trading assets and liabilities.</w:t>
      </w:r>
    </w:p>
    <w:p>
      <w:pPr>
        <w:spacing w:after="0" w:line="200" w:lineRule="exact"/>
        <w:rPr>
          <w:sz w:val="20"/>
          <w:szCs w:val="20"/>
          <w:color w:val="auto"/>
        </w:rPr>
      </w:pPr>
    </w:p>
    <w:p>
      <w:pPr>
        <w:spacing w:after="0" w:line="23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Section 4012 of the CARES Act required that the Community Bank Leverage Ratio be temporarily lowered to 8%. The federal regulators issued a rule implementing the lower Community Bank Leverage Ratio effective April 23, 2020. The rule also established a two-quarter grace period for a qualifying institution whose leverage ratio falls below the 8% Community Bank</w:t>
      </w:r>
    </w:p>
    <w:p>
      <w:pPr>
        <w:sectPr>
          <w:pgSz w:w="11900" w:h="16838" w:orient="portrait"/>
          <w:cols w:equalWidth="0" w:num="1">
            <w:col w:w="11240"/>
          </w:cols>
          <w:pgMar w:left="320" w:top="121" w:right="339" w:bottom="0" w:gutter="0" w:footer="0" w:header="0"/>
        </w:sectPr>
      </w:pPr>
    </w:p>
    <w:bookmarkStart w:id="21" w:name="page22"/>
    <w:bookmarkEnd w:id="21"/>
    <w:p>
      <w:pPr>
        <w:spacing w:after="0" w:line="329" w:lineRule="auto"/>
        <w:rPr>
          <w:sz w:val="20"/>
          <w:szCs w:val="20"/>
          <w:color w:val="auto"/>
        </w:rPr>
      </w:pPr>
      <w:r>
        <w:rPr>
          <w:rFonts w:ascii="Arial" w:cs="Arial" w:eastAsia="Arial" w:hAnsi="Arial"/>
          <w:sz w:val="19"/>
          <w:szCs w:val="19"/>
          <w:color w:val="auto"/>
        </w:rPr>
        <w:t>Leverage Ratio requirement so long as the bank maintains a leverage ratio of 7% or greater. Another rule was issued to transition back to the 9% Community Bank Leverage Ratio by increasing the ratio to 8.5% for calendar year 2021 and 9% thereafter.</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The Bank has elected to opt into the Community Bank Leverage Ratio framework.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prompt corrective action rules require an undercapitalized institution to file a written capital restoration plan, along with a performance guaranty by its holding company or a third party. In addition, an undercapitalized institution becomes subject to certain automatic restrictions, including a prohibition on payment of dividends and a limitation on asset growth and expansion in certain cases, a limitation on the payment of bonuses or raises to senior executive officers, and a prohibition on the payment of certain “management fees” to any “controlling person.” Institutions that are classified as undercapitalized are also subject to certain additional supervisory actions, including increased reporting burdens and regulatory monitoring; limitations on the institution’s ability to make acquisitions, open new branch offices, or engage in new lines of business; obligations to raise additional capital; restrictions on transactions with affiliates; and restrictions on interest rates paid by the institution on deposits. In certain cases, banking regulatory agencies may require replacement of senior executive officers or directors, or sale of the institution to a willing purchaser. If an institution is deemed to be “critically undercapitalized” and continues in that category for 90 days, the statute requires, with certain narrowly limited exceptions, that the institution be placed in receivership.</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An insured depository institution’s capital level may have consequences outside the prompt corrective action regime. For example, only well-capitalized institutions may accept brokered deposits without restrictions on rates, while adequately capitalized institutions must seek a waiver from the FDIC to accept such deposits and are subject to rate restrictions. Well-capitalized institutions may be eligible for expedited treatment of certain applications, an advantage not available to other institutions. As of December 31, 2021, the Bank was “well capitalized” according to the guidelines as generally discussed above. As a qualifying community banking organization that has opted in to the Community Bank Leverage Ratio framework, the Bank had a leverage ratio of 17.7% as of December 31, 2021.</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Safety and Soundness Standards</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Transactions with Affiliates and Insiders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w:t>
      </w:r>
    </w:p>
    <w:p>
      <w:pPr>
        <w:sectPr>
          <w:pgSz w:w="11900" w:h="16838" w:orient="portrait"/>
          <w:cols w:equalWidth="0" w:num="1">
            <w:col w:w="11240"/>
          </w:cols>
          <w:pgMar w:left="320" w:top="121" w:right="339" w:bottom="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9"/>
          <w:szCs w:val="19"/>
          <w:color w:val="auto"/>
        </w:rPr>
        <w:t>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Indemnification payments to any director, officer or employee of either a bank or a bank holding company are subject to certain constraints imposed by the FDIC.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Incentive Compensation</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spacing w:after="0" w:line="200" w:lineRule="exact"/>
        <w:rPr>
          <w:sz w:val="20"/>
          <w:szCs w:val="20"/>
          <w:color w:val="auto"/>
        </w:rPr>
      </w:pP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scope and content of the U.S. banking regulators’ policies on executive compensation may continue to evolve in the future. It presently cannot be determined whether compliance with such policies will adversely affect the Company’s ability to hire, retain and motivate its key employees.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addition, the Dodd-Frank Act requires the federal bank regulatory agencies and the SEC to establish joint regulations or guidelines prohibiting incentive based payment arrangements at specified regulated entities having at least $1 billion in total assets that encourage inappropriate risks by providing an executive officer, employee, director or principal stockholder with excessive compensation, fees, or benefits that could lead to material financial loss to the entity. In addition, these regulators must establish regulations or guidelines requiring enhanced disclosure of incentive based compensation arrangements to regulators.</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agencies proposed initial regulations in April 2011 and proposed revised regulations during the second quarter of 2016 that would establish general qualitative requirements applicable to all covered entities. The proposed general qualitative requirements include (i) prohibiting incentive arrangements that encourage inappropriate risks by providing excessive compensation; (ii) prohibiting incentive arrangements that encourage inappropriate risks that could lead to a material financial loss; (iii) establishing requirements for performance measures to appropriately balance risk and reward; (iv) requiring board of director oversight of incentive arrangements; and (v) mandating appropriate record-keeping. As of this filing, the agencies have not finalized these proposed regulations.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August 2015, the SEC adopted final rules implementing the pay ratio provisions of the Dodd-Frank Act by requiring companies to disclose the ratio of the compensation of its chief executive officer to the median compensation of its employees. Under SEC guidance issued in September 2017, companies are able to use widely-recognized tests to determine who counts as an employee under the rule, use existing internal records such as payroll and tax information and describe the ratio as an estimate. The rule does not apply to the Company while it is a smaller reporting company and emerging growth company.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Deposit Insurance</w:t>
      </w:r>
    </w:p>
    <w:p>
      <w:pPr>
        <w:spacing w:after="0" w:line="8"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for the DIF of 1.35% of the estimated insured deposits and required the FDIC to adopt a restoration plan should the reserve ratio fall below 1.35%. The FDIC had until September 3, 2020 to meet the 1.35% reserve ratio target, but it announced in November 2018 that the DIF had reached 1.36%, exceeding the 1.35% reserve ratio target. Because the reserve ratio exceeded the targeted 1.35% by the Dodd-Frank Act, two deposit assessment changes occurred under FDIC regulations: (i) surcharges on large banks ended, and the last surcharge on large banks was collected on December 28, 2018; and (ii) small banks were awarded assessment credits for the portion of their assessment that contributed to the growth in the reserve ratio from 1.15% to 1.35%, to be applied when the reserve ratio is at least 1.38%. The Bank’s assessment credit as calculated by the FDIC was approximately $0 and was applied to the Bank’s September 2019 Quarterly Invoice for Deposit Insurance, and continued to be applied on a quarterly basis until it was exhausted on the Bank’s December 2019 Quarterly Invoice for Deposit Insurance. As of September 30, 2020, the FDIC announced that the ratio had declined to 1.30% due largely to consequences of the Covid-19 pandemic. The FDIC adopted a plan to restore the DIF to the 1.35% ratio within eight years but did not change its assessment schedule.</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Regulatory Restrictions on Dividends</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w:t>
      </w:r>
    </w:p>
    <w:p>
      <w:pPr>
        <w:spacing w:after="0" w:line="3" w:lineRule="exact"/>
        <w:rPr>
          <w:sz w:val="20"/>
          <w:szCs w:val="20"/>
          <w:color w:val="auto"/>
        </w:rPr>
      </w:pPr>
    </w:p>
    <w:p>
      <w:pPr>
        <w:jc w:val="both"/>
        <w:ind w:firstLine="8"/>
        <w:spacing w:after="0" w:line="233"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since we are a legal entity separate and distinct from the Bank and do not conduct stand-alone operations, an ability to pay dividends depends on the ability of the Bank to pay dividends to us and the FDIC and the UDFI may, under certain circumstances, prohibit the payment of dividends to us from the Bank. Utah corporate law also requires that dividends can only be paid out of funds legally available therefor.</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sectPr>
          <w:pgSz w:w="11900" w:h="16838" w:orient="portrait"/>
          <w:cols w:equalWidth="0" w:num="1">
            <w:col w:w="11240"/>
          </w:cols>
          <w:pgMar w:left="320" w:top="121" w:right="339" w:bottom="922"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2"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Additionally, in consideration of the current financial and economic environment, the Federal Reserve has indicated that bank holding companies should carefully review their dividend policy and has discouraged payment ratios that are at maximum allowable levels unless both asset quality and capital are very strong</w:t>
      </w:r>
      <w:r>
        <w:rPr>
          <w:rFonts w:ascii="Arial" w:cs="Arial" w:eastAsia="Arial" w:hAnsi="Arial"/>
          <w:sz w:val="19"/>
          <w:szCs w:val="19"/>
          <w:b w:val="1"/>
          <w:bCs w:val="1"/>
          <w:color w:val="auto"/>
        </w:rPr>
        <w:t>.</w:t>
      </w:r>
      <w:r>
        <w:rPr>
          <w:rFonts w:ascii="Arial" w:cs="Arial" w:eastAsia="Arial" w:hAnsi="Arial"/>
          <w:sz w:val="19"/>
          <w:szCs w:val="19"/>
          <w:color w:val="auto"/>
        </w:rPr>
        <w:t xml:space="preserve"> On June 25, 2020, the Federal Reserve announced several capital assessment and related actions following its stress tests and sensitivity analyses to ensure large banks remain resilient despite the economic uncertainty related to the Covid-19 pandemic. Starting in the third quarter of 2020, the Federal Reserve is requiring large banks to preserve capital by suspending share repurchases, capping dividend payments, and limiting dividends based on recent income. The Federal Reserve is also requiring banks to re-evaluate their longer-term capital plans. Although these measures do not apply to the Company, the Company is monitoring the Federal Reserve’s evolving supervisory and regulatory responses to the Covid-19 pandemic in the event that similar supervisory expectations are imposed on banks with less than $10 billion in assets. It is our policy to retain earnings, if any, to provide funds for use in our business. We have never declared or paid dividends on our common stock.</w:t>
      </w:r>
    </w:p>
    <w:p>
      <w:pPr>
        <w:spacing w:after="0" w:line="200" w:lineRule="exact"/>
        <w:rPr>
          <w:sz w:val="20"/>
          <w:szCs w:val="20"/>
          <w:color w:val="auto"/>
        </w:rPr>
      </w:pPr>
    </w:p>
    <w:p>
      <w:pPr>
        <w:spacing w:after="0" w:line="23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primary source of funds for the Company is dividends from the Bank. The Bank may not declare or pay a dividend if the total of all dividends declared during the calendar year, including the proposed dividend, exceeds the sum of the Bank’s net income during the current calendar year and the retained net income of the prior two calendar years, unless the dividend has been approved by the Federal Reserve. The Federal Reserve, the FDIC and the UDFI may, under certain circumstances, prohibit the payment of dividends to us from the Bank. Utah corporate law also requires that dividends can only be paid out of funds legally available therefor.</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Commercial Real Estate Concentration Guidelines</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December 31, 2021, the Bank’s ratio of construction loans to total capital was 20.0%, its ratio of total non-owner occupied commercial real estate loans to total capital ratio was 0.1%, and, therefore, was under the 100% and 300% regulatory guideline thresholds set forth in clauses (iii) and (iv) above. As a result, we are not deemed to have a concentration in commercial real estate lending under applicable regulatory guidelines.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Currently, loans categorized as “high-volatility commercial real estate” loans, or HVCRE loans, are required to be assigned a 150% risk weighting, and require additional capital support. HVCRE loans are defined to include any credit facility that finances or has financed the acquisition, development or construction of real property, unless it finances: 1-4 family residential properties; certain community development investments; agricultural land used or usable for, and whose value is based on, agricultural use; or commercial real estate projects in which: (i) the loan to value is less than the applicable maximum supervisory loan to value ratio established by the bank regulatory agencies; (ii) the borrower has contributed cash or unencumbered readily marketable assets, or has paid development expenses out of pocket, equal to at least 15% of the appraised “as completed” value; (iii) the borrower contributes its 15% before the bank advances any funds; and (iv) the capital contributed by the borrower, and any funds internally generated by the project, is contractually required to remain in the project until the facility is converted to permanent financing, sold or paid in full.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Regulatory Relief Act prohibits federal banking agencies from assigning heightened risk weights to HVCRE exposures, unless the exposures are classified as HVCRE acquisition, development, and construction loans. The Federal banking agencies issued a proposal in September 2017 to simplify the treatment of HVCRE and to create a new category of commercial real estate loans—“high-volatility acquisition, development or construction,” or HVADC exposures—with a lower risk weight of 130%. A significant difference between the Regulatory Relief Act and the agencies’ HVADC proposal arises from the Regulatory Relief Act’s preservation of the exemption for projects where the borrower has contributed at least 15% of the real property’s appraised “as completed” value.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Community Reinvestment Act</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Community Reinvestment Act of 1977 and the regulations issued thereunder are intended to encourage banks to help meet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received a “satisfactory” rating in its most recent CRA evaluation.</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December 12, 2019, the OCC and the FDIC issued a joint proposal to revamp how the agencies will assess banks’ performance under the CRA. Among other changes, the proposal (i) expands the concept of assessment area to include geographies outside of a bank’s current assessment areas and in which the bank receives at least 5% of its retail deposits and (ii) introduces a series of objective tests for determining a bank’s presumptive CRA rating.</w:t>
      </w:r>
    </w:p>
    <w:p>
      <w:pPr>
        <w:spacing w:after="0" w:line="20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While the OCC adopted a final rule on May 20, 2020 that was generally consistent with the proposed rule, the FDIC did not join in the final rule and has indicated it is not ready to adopt a final rule at this time, particularly in light of the Covid-19 pandemic. Members of Congress and community groups have expressed hostility to the new OCC rule, and have raised the possibility of repealing it through legislative action. In light of this uncertainty, and the fact that the FDIC has not yet taken action on new rule, it is impossible to predict the substance and timing of a revised CRA rule from the FDIC. As of the date of this Report, the FRB has not moved forward in the rulemaking process. In July 2021, the FRB, FDIC, and the Office of the Comptroller of the Currency issued an interagency statement committing to joint agency action on CRA. This may signal that additional regulatory action on this issue will be forthcoming in 2022.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Bank Secrecy Act, Anti-Terrorism, Anti-Money Laundering Legislation and OFAC</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Bank has established AML and customer identification programs that we believe satisfy regulatory requirements. The Bank also maintains records of cash purchases of negotiable instruments, files reports of certain cash transactions exceeding $10,000 (daily aggregate amount), and reports suspicious activity that might signify money laundering, tax evasion, or other criminal activities pursuant to the BSA. The Bank otherwise has implemented policies and procedures to comply with the foregoing requirements.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Treasury Department’s Office of Foreign Assets Control, or OFAC, administers and enforces economic and trade sanctions against targeted foreign countries and persons,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sanctions,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ectPr>
          <w:pgSz w:w="11900" w:h="16838" w:orient="portrait"/>
          <w:cols w:equalWidth="0" w:num="1">
            <w:col w:w="11240"/>
          </w:cols>
          <w:pgMar w:left="320" w:top="121" w:right="339" w:bottom="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Bank has implemented policies and procedures to comply with the foregoing requirements. Failure of a financial institution to maintain and implement adequate AML and OFAC programs, or to comply with all of the relevant laws or regulations, could have serious legal and reputational consequences for the institution.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Privacy and Data Security</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Other federal and state laws and regulations affect the Bank’s ability to share certain information with affiliates and non-affiliates for marketing and/or non-marketing purposes, or to contact clients with marketing offers.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Like other lenders, the Bank uses credit bureau data in its underwriting activities. Use of such data is regulated under the Fair Credit Reporting Act (the “FCRA”), and the FCRA also regulates reporting information to credit bureaus, prescreening individuals for credit offers, sharing of information between affiliates, and using affiliate data for marketing purposes. Similar state laws may impose additional requirements on the Bank.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Cybersecurity</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Federal banking regulators, as well as the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spacing w:after="0" w:line="21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GLBA contains limitations on financial institutions’ ability to disclose nonpublic personal information about a consumer to nonaffiliated third parties, and in certain circumstances requires financial institutions to limit the use and further disclosure of nonpublic personal information by nonaffiliated third parties to whom financial institutions disclose such information. Additionally, the GLBA requires financial institutions to disclose certain privacy policies and practices with respect to information sharing with affiliated and nonaffiliated entities and to safeguard personal customer information. The collection, use, and protection of the information we obtain from our services as well as from third-party sources, is subject to laws and regulations in the United States. Accordingly, we publish our privacy policies and terms of service, which describe our practices concerning the use, transmission, and disclosure of information. information with third parties for marketing purposes unless previously agreed to by the consumer.</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To control cyber-security risk, we maintain active information security programs that are designed to conform with Federal Financial Institutions Examination Council guidance. These information security programs are aligned with our operational risks and are overseen by executive management, and our board of directors. These programs involve the assessment of risks, continual monitoring and review of threats, the evaluation of the effectiveness of controls to mitigate risks, and review of incident response plans for each identified threat. We also utilize cybersecurity insurance that protects against certain losses, expenses, and damages associated with cybersecurity risk.</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November 2021, the federal bank regulatory agencies issued a joint rule establishing “computer security incident” notification requirements for banking organizations and their service providers. This rule requires us to notify the FDIC of any significant computer security incident. A notification incident is defined as a computer security incident that has materially disrupted or degraded, or is reasonably likely to materially disrupt or degrade, a banking organization’s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 For example, a notification incident may include a major computer system failure; a cyber-related interruption, such as a distributed denial of service or ransomware attack; or another type of significant operational interruption. FDIC-supervised banking organizations, including the Bank, will be required to notify the FDIC as soon as possible and no later than 36 hours after the banking organization determines that a computer-security incident that rises to the level of a notification incident has occurred. The final rule takes effect on April 1, 2022, with full compliance extended to May 1, 2022.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Consumer Financial Protection Bureau</w:t>
      </w:r>
    </w:p>
    <w:p>
      <w:pPr>
        <w:spacing w:after="0" w:line="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The Dodd-Frank Act created the Consumer Financial Protection Bureau (the “CFPB”), which is an independent bureau with broad authority to regulate the consumer finance industry, including regulated financial institutions, nonbanks and others involved in extending credit to consumers. The CFPB has authority through rulemaking, orders, policy statements, guidance, and enforcement actions to administer and enforce federal consumer financial laws, to oversee several entities and market sectors not previously under the supervision of a federal regulator, and to impose its own regulations and pursue enforcement actions when it determines that a practice is unfair, deceptive, or abusive. The federal consumer financial laws and all the functions and responsibilities associated with them, many of which were previously enforced by other federal regulatory agencies, were transferred to the CFPB on July 21, 2011. While the CFPB has the power to interpret, administer, and enforce federal consumer financial laws, the Dodd-Frank Act provides that the federal banking regulatory agencies continue to have examination and enforcement powers over the financial institutions that they supervise relating to the matters within the jurisdiction of the CFPB if such institutions have less than $10 billion in assets. The Dodd-Frank Act also gives state attorneys general the ability to enforce federal consumer protection laws.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Mortgage Loan Origination</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Dodd-Frank Act authorizes the CFPB to establish certain minimum standards for the origination of residential mortgages, including a determination of the borrower’s ability to repay. Under the Dodd-Frank Act and the implementing final rule adopted by the CFPB, or the ATR/QM Rule, a financial institution may not make a residential mortgage loan to a consumer unless it first makes a “reasonable and good faith determination” that the consumer has a “reasonable ability” to repay the loan. In addition, the ATR/QM Rule limits prepayment penalties and permits borrowers to raise certain defenses to foreclosure if they receive any loan other than a “qualified mortgage,” as defined by the CFPB. For this purpose, the ATR/QM Rule defines a “qualified mortgage” to include a loan with a borrower debt-to-income ratio of less than or equal to 43% or, alternatively, a loan eligible for purchase by Fannie Mae or Freddie Mac while they operate under federal conservatorship or receivership, and loans eligible for insurance or guarantee by the Federal Housing Administration, Veterans Administration, or United States Department of Agriculture. Additionally, a qualified mortgage may not: (i) contain excess upfront points and fees; (ii) have a term greater than 30 years; or</w:t>
      </w:r>
    </w:p>
    <w:p>
      <w:pPr>
        <w:spacing w:after="0" w:line="8" w:lineRule="exact"/>
        <w:rPr>
          <w:sz w:val="20"/>
          <w:szCs w:val="20"/>
          <w:color w:val="auto"/>
        </w:rPr>
      </w:pPr>
    </w:p>
    <w:p>
      <w:pPr>
        <w:jc w:val="both"/>
        <w:ind w:firstLine="8"/>
        <w:spacing w:after="0" w:line="248" w:lineRule="auto"/>
        <w:tabs>
          <w:tab w:leader="none" w:pos="4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include interest only or negative amortization payments. The ATR/QM Rule specifies the types of income and assets that may be considered in the ability-to-repay determination, the permissible sources for verification, and the required methods of calculating the loan’s monthly payments. The ATR/QM Rule became effective in January 2014.</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Regulatory Relief Act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the insured depository institutions and credit unions must meet conditions relating to prepayment penalties, points and fees, negative amortization, interest-only features and documentation.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Regulatory Relief Act directs Federal banking agencies to issue regulations exempting certain insured depository institutions and insured credit unions with assets of $10 billion or less from the requirement to establish escrow accounts for certain residential mortgage loans.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Insured depository institutions and insured credit unions that originated fewer than 500 closed-end mortgage loans or 500 open-end lines of credit in each of the two preceding years are exempt from a subset of disclosure requirements (recently imposed by the CFPB) under the Home Mortgage Disclosure Act, or HMDA, provided they have received certain minimum CRA ratings in their most recent examinations.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Regulatory Relief Act also directs the OCC to conduct a study assessing the effect of the exemption described above on the amount of HMDA data available at the national and local level.</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Section 941 of the Dodd-Frank Act amended the Exchange Act to require sponsors of asset-backed securities (“ABS”) to retain at least 5% of the credit risk of the assets underlying the securities and generally prohibits sponsors from transferring or hedging that credit risk. In October 2014, the federal banking regulatory agencies adopted a final rule to implement this requirement (the “Risk Retention Rule”). Among other things, the Risk Retention Rule requires a securitizer to retain not less than 5% of the credit risk of any asset that the securitizer, through the issuance of an ABS, transfers, sells, or conveys to a third party; and prohibits a securitizer from directly or indirectly hedging or otherwise transferring the credit risk that the securitizer is required to retain. In certain situations, the final rule allows securitizers to allocate a portion of the risk retention requirement to the originator(s) of the securitized assets, if an originator contributes at least 20% of the assets in the securitization. The Risk Retention Rule also provides an exemption to the risk retention requirements for an ABS collateralized exclusively by Qualified Residential Mortgages, or QRMs, and ties the definition of a QRM to the definition of a “qualified mortgage” established by the CFPB for purposes of evaluating a consumer’s ability to repay a mortgage loan. The federal banking agencies have agreed to review the definition of QRMs in 2019, following the CFPB’s own review of its “qualified mortgage” regulation. For purposes of residential mortgage securitizations, the Risk Retention Rule took effect on December 24, 2015. For all other securitizations, the rule took effect on December 24, 2016.</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Short-Term, Small-Dollar Installment Lending</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On July 22, 2020, the CFPB issued its final small dollar loan rule related to payday, vehicle title and certain high cost installment loans (“Small Dollar Rule”). The Small Dollar Rule became fully effective on October 20, 2020. Specifically, the CFPB revoked provisions that: (i) provide that it is an unfair and abusive practice for a lender to make a covered short-term or longer-term balloon-payment loan, including payday and vehicle title loans, without reasonably determining that consumers have the ability to repay those loans according to their terms; (ii) prescribe mandatory underwriting requirements for making the ability-to-repay determination; (iii) exempt certain loans from the mandatory underwriting requirements; and (iv) establish related definitions, reporting, and recordkeeping requirements. However, no lenders are required to comply until either November 19, 2020 or until the court in litigation challenging the Small Dollar Rule lifts its stay of the compliance date.</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federal banking agencies also issued interagency guidance on May 20, 2020 to encourage banks, savings associations, and credit unions to offer responsible small-dollar loans to customers for consumer and small business purposes.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Examination Guidance for Third-Party Lending</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July 29, 2016, the FDIC issued revised examination guidance related to third-party lending relationships (e.g., lending arrangements that rely on a third party to perform a significant aspect of the lending process). This guidance generally requires that financial institutions, including the Bank, ensure that risks related to such third-party lending relationships are evaluated, including the type of lending activity, the complexity of the lending program, the projected and realized volume created by the relationship, and the number of third-party lending relationships the institution has in place.</w:t>
      </w:r>
    </w:p>
    <w:p>
      <w:pPr>
        <w:sectPr>
          <w:pgSz w:w="11900" w:h="16838" w:orient="portrait"/>
          <w:cols w:equalWidth="0" w:num="1">
            <w:col w:w="11240"/>
          </w:cols>
          <w:pgMar w:left="320" w:top="121" w:right="339" w:bottom="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Volcker Rule</w:t>
      </w:r>
    </w:p>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On December 10, 2013, the federal regulators adopted final regulations to implement the proprietary trading and private fund prohibitions of the Volcker Rule under the Dodd-Frank Act. Under the final regulations, banking entities are generally prohibited, subject to significant exceptions from: (i) short-term proprietary trading as principal in securities and other financial instruments, and (ii) sponsoring or acquiring or retaining an ownership interest in private equity and hedge funds. Revisions to the Volcker Rule in 2019, that become effective in 2020, simplifies and streamlines the compliance requirements for banks that do not have significant trading activities. In 2020, the OCC, Federal Reserve, FDIC, SEC and Commodity Futures Trading Commission finalized further amendments to the Volcker Rule. The amendments include new exclusions from the Volcker Rule’s general prohibitions on banking entities investing in and sponsoring private equity funds, hedge funds, and certain other investment vehicles (collectively “covered funds”). The amendments in the final rule, which became effective on October 1, 2020, clarify and expand permissible banking activities and relationships under the Volcker Rule.</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Reulatory Relief Act eases certain Volcker Rule restrictions on all bank entities, regardless of size, for simply sharing a name with hedge funds and private equity funds they organize. While we would be exempt from the prohibition on proprietary trading pursuant to the Regulatory Relief Act, currently, the Company does not have any ownership interest in, or relationships with, hedge funds or private equity funds, or covered funds, or engage in any activities that would have previously subjected it to the Volcker Rule.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Provisions of the Dodd-Frank Act</w:t>
      </w:r>
    </w:p>
    <w:p>
      <w:pPr>
        <w:spacing w:after="0" w:line="8"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The Dodd-Frank Act implements far-reaching changes across the financial regulatory landscape. In addition to the reforms previously mentioned, the Dodd-Frank Act also:</w:t>
      </w:r>
    </w:p>
    <w:p>
      <w:pPr>
        <w:spacing w:after="0" w:line="221" w:lineRule="exact"/>
        <w:rPr>
          <w:sz w:val="20"/>
          <w:szCs w:val="20"/>
          <w:color w:val="auto"/>
        </w:rPr>
      </w:pPr>
    </w:p>
    <w:p>
      <w:pPr>
        <w:ind w:left="340" w:right="20" w:hanging="327"/>
        <w:spacing w:after="0" w:line="342" w:lineRule="auto"/>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requires bank holding companies and banks to be both well capitalized and well managed in order to acquire banks located outside their home state and requires any bank holding company electing to be treated as a financial holding company to be both well managed and well capitalized;</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eliminates all remaining restrictions on interstate banking by authorizing national and state banks to establish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in any state that would permit a bank chartered in that state to open a branch at that location; and</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repeals Regulation Q, the federal prohibition on the payment of interest on demand deposits, thereby permitting depository institutions to pay interest on business transaction and other accounts.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Although a significant number of the rules and regulations mandated by the Dodd-Frank Act have been finalized, many of the requirements called for have yet to be implemented and will likely be subject to implementing regulations over the course of several years. Given the uncertainty associated with the manner in which the provisions of the Dodd-Frank Act will be implemented by the various agencies, the full extent of the impact such requirements will have on financial institutions’ operations is unclear.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Federal Home Loan Bank Membership</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Laws and Regulations</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operations are subject to several additional laws, some of which are specific to banking and others of which are applicable to commercial operations generally. For example, with respect to our lending practices, we are subject to the following laws and regulations, among several others:</w:t>
      </w:r>
    </w:p>
    <w:p>
      <w:pPr>
        <w:spacing w:after="0" w:line="22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Truth-In-Lending Act, governing disclosures of credit terms to consumer borrowers;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HMDA, requiring financial institutions to provide information to enable the public and public officials to determine whether a financial institution is fulfilling its obligation to help meet the housing needs of the community it serves;</w:t>
      </w:r>
    </w:p>
    <w:p>
      <w:pPr>
        <w:sectPr>
          <w:pgSz w:w="11900" w:h="16838" w:orient="portrait"/>
          <w:cols w:equalWidth="0" w:num="1">
            <w:col w:w="11240"/>
          </w:cols>
          <w:pgMar w:left="320" w:top="121"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Credit Reporting Act of 1978, as amended by the Fair and Accurate Credit Transactions Act, governing the use and provision of information to credit reporting agencies, certain identity theft protections, and certain credit and other disclosures;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Debt Collection Practices Act, governing how consumer debts may be collected by collection agencies;</w:t>
      </w:r>
    </w:p>
    <w:p>
      <w:pPr>
        <w:spacing w:after="0" w:line="25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 Estate Settlement Procedures Act, requiring certain disclosures concerning loan closing costs and escrows, and governing transfers of loan servicing and the amounts of escrows for loans secured by one-to-four family residential properties;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established by the National Flood Insurance Program;</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Our deposit operations are subject to federal laws applicable to depository accounts, including:</w:t>
      </w:r>
    </w:p>
    <w:p>
      <w:pPr>
        <w:spacing w:after="0" w:line="240"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Right to Financial Privacy Act, which imposes a duty to maintain confidentiality of consumer financial records and prescribes procedures for complying with administrative subpoenas of financial records;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Truth-In-Savings Act, requiring certain disclosures for consumer deposit accounts;</w:t>
      </w:r>
    </w:p>
    <w:p>
      <w:pPr>
        <w:spacing w:after="0" w:line="25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Electronic Funds Transfer Act and Regulation E of the Federal Reserve, which govern automatic deposits to and withdrawals from deposit accounts and customers’ rights and liabilities arising from the use of automated teller machines and other electronic banking services; and</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also subject to a variety of laws and regulations that are not limited to banking organizations. For example, in lending to commercial and consumer borrowers, and in owning and operating our own property, we are subject to regulations and potential liabilities under state and federal environmental laws. In addition, we must comply with privacy and data security laws and regulations at both the federal and state level.</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heavily regulated by regulatory agencies at the federal and state levels. Like most of our competitors, we have faced and expect to continue to face increased regulation and regulatory and political scrutiny, which creates significant uncertainty for us, as well as for the financial services industry in general.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Powers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federal regulatory agencies have substantial penalties available to use against depository institutions and certain “institution-affiliated parties.” Institution-affiliated parties primarily include management, employees, and agents of a financial institution, as well as independent contractors and consultants, such as attorneys, accountants, and others who participate in the conduct of the financial institution’s affairs. An institution can be subject to an enforcement action due to the failure to timely file required reports, the filing of false or misleading information, or the submission of inaccurate reports, or engaging in other unsafe or unsound banking practices.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Financial Institution Reform Recovery and Enforcement Act provided regulators with greater flexibility to commence enforcement actions against institutions and institution-affiliated parties and to terminate an institution’s deposit insurance. It also expanded the power of banking regulatory agencies to issue regulatory orders. Such orders may, among other things, require affirmative action to correct any harm resulting from a violation or practice, including restitution, reimbursement, indemnification, or guarantees against loss. A financial institution may also be ordered to restrict its growth, dispose of certain assets, rescind agreements or contracts, or take other actions as determined by the ordering agency to be appropriate. The Dodd-Frank Act increases regulatory oversight, supervision and examination of banks, bank holding companies, and their respective subsidiaries by the appropriate regulatory agency.</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UDFI also has broad enforcement powers over us, including the power to impose orders, remove officers and directors, impose fines and appoint supervisors and conservators.</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Government and Regulatory Response to the Covid-19 Pandemic</w:t>
      </w:r>
    </w:p>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onset of the Covid-19 pandemic in the United States has in certain respects, at least temporarily, impacted the Company’s operations and risk management and resulted in changes to its safety and soundness regulation. For instance, the federal banking agencies have encouraged banking organizations to work constructively and prudently with borrowers impacted by the Covid-19 pandemic in order to meet the borrowers’ financial needs. Guidance published by the Federal Reserve encourages banking organizations to consider undertaking a variety of efforts during a major disaster or national emergency such as the Covid-19 pandemic, including: waiving ATM, overdraft, and late fees, as well as early withdrawal penalties on time deposits; increasing ATM daily cash withdrawal limits; easing credit terms for new loans; increasing credit limits for creditworthy customers; offering payment accommodations such as allowing loan customers to defer or skip some payments or extending payment due dates, which would avoid delinquencies and negative credit bureau reporting caused by disaster-related disruptions; and conducting a review of an affected borrower’s financial condition in an effort to implement a prudent loan workout arrangement. The federal banking agencies have stated that they will not criticize a banking organization that implements prudent loan workouts for affected customers even if the restructured loans result in adverse classifications or credit risk downgrades. In addition, the agencies temporarily suspended examination activity in the second quarter of 2020 to allow banking organization to focus on the needs of their customers and revised examination guidance to require examiners to consider, in conducting supervisory assessments, whether banking organizations have taken appropriate actions in response to the stress caused by the Covid-19 pandemic and managed associated risk appropriately. Consistent with the regulators’ guidance, the Company has and continues to work with its customers during the Covid-19 pandemic to provide them with greater access to their funds, waive certain fees and provide short-term payment deferrals for borrowers requiring assistance.</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response to the Covid-19 pandemic, Congress, through the enactment of the CARES Act, and the federal banking agencies, though rulemaking, interpretive guidance and modifications to agency policies and procedures, have taken a series of actions to address regulatory capital, liquidity risk management, financial management and reporting, and operational considerations for banking organizations. Notable developments not otherwise discussed above include the following.</w:t>
      </w:r>
    </w:p>
    <w:p>
      <w:pPr>
        <w:spacing w:after="0" w:line="177" w:lineRule="exact"/>
        <w:rPr>
          <w:sz w:val="20"/>
          <w:szCs w:val="20"/>
          <w:color w:val="auto"/>
        </w:rPr>
      </w:pPr>
    </w:p>
    <w:p>
      <w:pPr>
        <w:jc w:val="both"/>
        <w:ind w:left="340" w:hanging="332"/>
        <w:spacing w:after="0" w:line="311"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March 15, 2020, the Federal Reserve issued a statement encouraging banks to use their capital and liquidity buffers to lend to households and businesses impacted by the Covid-19 pandemic. The following day, the Federal Reserve issued a statement encouraging banks to access the Federal Reserve’s discount window to assist with capital and liquidity management in light of the increased credit needs of banking customers.</w:t>
      </w:r>
    </w:p>
    <w:p>
      <w:pPr>
        <w:spacing w:after="0" w:line="17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Bank is also typically required by the Federal Reserve to maintain in reserves certain amounts of vault cash and/or deposits with the Federal Reserve, however, in response to the Covid-19 pandemic, this requirement has been eliminated until further notice.</w:t>
      </w:r>
    </w:p>
    <w:p>
      <w:pPr>
        <w:spacing w:after="0" w:line="197" w:lineRule="exact"/>
        <w:rPr>
          <w:rFonts w:ascii="Arial" w:cs="Arial" w:eastAsia="Arial" w:hAnsi="Arial"/>
          <w:sz w:val="18"/>
          <w:szCs w:val="18"/>
          <w:color w:val="auto"/>
        </w:rPr>
      </w:pPr>
    </w:p>
    <w:p>
      <w:pPr>
        <w:jc w:val="both"/>
        <w:ind w:left="340" w:hanging="332"/>
        <w:spacing w:after="0" w:line="289"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Section 4013 of the CARES Act provides financial institutions the option to suspend the application of GAAP to any loan modification related to Covid-19 from treatment as a TDR for the period between March 1, 2020 and the earlier of (i) 60 days after the end of the national emergency proclamation or (ii) December 31, 2020. Section 541 of the Consolidated Appropriations Act, 2021, amended Section 4013 of the CARES Act to extend this relief to the earlier of (i) 60 days after the end of the national emergency proclamation or (ii) January 1, 2022. A financial institution may elect to suspend GAAP only for a loan that was not more than 30 days past due as of December 31, 2019. In addition, the temporary suspension of GAAP does not apply to any adverse impact on the credit of a borrower that is not related to Covid-19. The suspension of GAAP is applicable for the entire term of the modification, including an interest rate modification, a forbearance agreement, a repayment plan, or other agreement that defers or delays the payment of principal and/or interest. Accordingly, a financial institution that elects to suspend GAAP should not be required to increase its reported TDRs at the end of the period of relief, unless the loans require further modification after the expiration of that period.</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additional information regarding actions taken by regulatory agencies to provide relief to consumers who have been adversely impacted by the Covid-19 pandemic, see the discussion below under “Management's Discussion and Analysis of Financial Condition and Results of Operations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stockholders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important factors that could cause actual results to differ materially from those expressed in any forward-looking statements made by us or on our behalf. See “Cautionary Note Regarding Forward-Looking Statements.”</w:t>
      </w:r>
    </w:p>
    <w:p>
      <w:pPr>
        <w:sectPr>
          <w:pgSz w:w="11900" w:h="16838" w:orient="portrait"/>
          <w:cols w:equalWidth="0" w:num="1">
            <w:col w:w="11240"/>
          </w:cols>
          <w:pgMar w:left="320" w:top="121" w:right="339" w:bottom="11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2" w:gutter="0" w:footer="0" w:header="0"/>
          <w:type w:val="continuous"/>
        </w:sectPr>
      </w:pPr>
    </w:p>
    <w:bookmarkStart w:id="35" w:name="page36"/>
    <w:bookmarkEnd w:id="35"/>
    <w:p>
      <w:pPr>
        <w:spacing w:after="0" w:line="10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Factor Summary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financial condition and results of operations are subject to a number of substantial risks and uncertainties.</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These risks are discussed more fully in this “Item 1A. Risk Factors.” Some of these risks include the following:</w:t>
      </w:r>
    </w:p>
    <w:p>
      <w:pPr>
        <w:spacing w:after="0" w:line="234"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and extent of the ongoing Covid-19 pandemic (including the emergence of any new variants thereof) and the response of governmental authorities to the Covid-19 pandemic;</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operational and strategic risks, including the risk that we may not be able to implement our growth strategy and risks related to cybersecurity breaches and system failures, our continued ability to establish relationships with Strategic Program service providers, and the possible loss of key members of our senior leadership team;</w:t>
      </w:r>
    </w:p>
    <w:p>
      <w:pPr>
        <w:spacing w:after="0" w:line="21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liquidity and funding risks, including the risk that we will not be able to meet our obligations due to risks relating to our funding sources;</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and interest rate risks, including risks related to interest rate fluctuations and the monetary policies and regulations of the Board of Governors of the Federal Reserve System, or the Federal Reserve;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third-party risk, including risks that we may be unable to maintain or increase loan originations facilitated through our Strategic Programs;</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risks, including the risk that we may be subject to negative publicity about us or our industry, including the transparency, fairness, user experience, quality, and reliability of our lending products or distribution channels;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legislative, regulatory, legal, and reputational risks related to our Strategic Programs, including those relating to our small dollar lending program;</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reversal of regulatory pronouncements that provided clarity for Strategic Programs on “true lender” rules;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accounting and compliance risks, including risks related to the extensive state and federal regulation under which we operate and changes in such regulations;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regulatory oversight environment impacting our Strategic Programs or non-compliance of federal and state consumer protection laws by our Strategic Program service providers;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 risks, including volatility in the trading of our common stock and limitations on our ability to pay dividends.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Cybersecurity and Technology</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System failure or cybersecurity breaches of our network security could subject us to increased operating costs as well as litigation and other potential losses.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Further, the technology created by and relied upon by us, including FinView™, may not function properly, or at all, which may have a material impact on our operations and financial conditions. The importance of our on-line banking systems to the Company’s operations means that any problems in its functionality would have a material adverse effect on the Company’s operations, business model and growth strategy.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response to the Covid-19 pandemic, 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 The extent of the impact of the Covid-19 pandemic on our business and financial</w:t>
      </w:r>
    </w:p>
    <w:p>
      <w:pPr>
        <w:sectPr>
          <w:pgSz w:w="11900" w:h="16943" w:orient="portrait"/>
          <w:cols w:equalWidth="0" w:num="1">
            <w:col w:w="11240"/>
          </w:cols>
          <w:pgMar w:left="320" w:top="121" w:right="339" w:bottom="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9"/>
          <w:szCs w:val="19"/>
          <w:color w:val="auto"/>
        </w:rPr>
        <w:t>performance, including our ability to execute our near-term and long-term business strategies and initiatives in the expected time frame, will continue to depend on future developments, including the duration and severity of the pandemic and any additional variants thereof and the impacts of reopening, including possible additional waves, which are uncertain and cannot be predicted.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Despite the implementation of security measures, our internal computer systems and those of our Strategic Program platforms, and other contractors and consultants as well as third party vendors of IT and data security systems and services, are vulnerable to damage and interruptions from security breaches, computer viruses, fraud and similar incidents involving the loss or unauthorized access of confidential information.</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not have the resources to keep pace with rapid technological changes in the industry or implement new technology effectively.</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financial services industry is undergoing rapid technological changes with frequent introductions of new technology-driven products and services.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spacing w:after="0" w:line="21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operations could be interrupted if our third-party service providers or Strategic Program service providers experience operational or other systems difficulties or terminate their services.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Banking Business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As a business operating in the financial services industry, our business and operations may be adversely affected in numerous and complex ways by weak economic conditions.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addition, 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ALL, which in turn could necessitate an increase in our provision for loan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Acts of terrorism, geopolitical and other external events could impact our ability to conduct business.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Additionally, financial markets may be adversely affected by the current or anticipated impact of military conflict, including escalating military action between Russia and Ukraine, terrorism or other geopolitical events.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Unpredictable future developments related to or resulting from the COVID-19 pandemic could materially and adversely affect our business and results of operations.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Because there have been no comparable recent global pandemics that resulted in a similar global impact, we do not yet know the full extent of the COVID-19 pandemic’s effects on our business, operations, or the global economy as a whole, including the impact of new COVID-19 variants. Any future development will be highly uncertain and cannot be predicted, including the scope and duration of the pandemic, the effectiveness of our work from home arrangements, third party providers’ ability to support our operation, and any actions taken by governmental authorities and other third parties in response to the pandemic. We are continuing to monitor the COVID-19 pandemic and related risks, although the rapid development and fluidity of the situation precludes any specific prediction as to its ultimate impact on us. However, if new COVID-19 variants spread and adversely impact economic and commercial environments, our business, financial condition, results of operations and cash flows as well as</w:t>
      </w:r>
    </w:p>
    <w:p>
      <w:pPr>
        <w:sectPr>
          <w:pgSz w:w="11900" w:h="16838" w:orient="portrait"/>
          <w:cols w:equalWidth="0" w:num="1">
            <w:col w:w="11240"/>
          </w:cols>
          <w:pgMar w:left="320" w:top="121" w:right="339" w:bottom="0" w:gutter="0" w:footer="0" w:header="0"/>
        </w:sectPr>
      </w:pPr>
    </w:p>
    <w:bookmarkStart w:id="38" w:name="page39"/>
    <w:bookmarkEnd w:id="38"/>
    <w:p>
      <w:pPr>
        <w:spacing w:after="0" w:line="251" w:lineRule="auto"/>
        <w:rPr>
          <w:sz w:val="20"/>
          <w:szCs w:val="20"/>
          <w:color w:val="auto"/>
        </w:rPr>
      </w:pPr>
      <w:r>
        <w:rPr>
          <w:rFonts w:ascii="Arial" w:cs="Arial" w:eastAsia="Arial" w:hAnsi="Arial"/>
          <w:sz w:val="22"/>
          <w:szCs w:val="22"/>
          <w:color w:val="auto"/>
        </w:rPr>
        <w:t>our regulatory capital and liquidity ratios could be materially adversely affected and many of the risks described in this Report will be heightened.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359" w:lineRule="auto"/>
        <w:rPr>
          <w:sz w:val="20"/>
          <w:szCs w:val="20"/>
          <w:color w:val="auto"/>
        </w:rPr>
      </w:pPr>
      <w:r>
        <w:rPr>
          <w:rFonts w:ascii="Arial" w:cs="Arial" w:eastAsia="Arial" w:hAnsi="Arial"/>
          <w:sz w:val="18"/>
          <w:szCs w:val="18"/>
          <w:b w:val="1"/>
          <w:bCs w:val="1"/>
          <w:i w:val="1"/>
          <w:iCs w:val="1"/>
          <w:color w:val="auto"/>
        </w:rPr>
        <w:t>Our commercial and consumer banking clients who participate in our real estate lending program and SBA 7(a) lending program are concentrated in certain geographic areas and we are sensitive to adverse changes in those regional economies.</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face strong competition from financial services companies and other companies that offer banking services.</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may not be able to measure and limit our credit risk adequately, which could lead to unexpected losses.</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ALL, each of which could adversely affect our net income. As a result, our inability to successfully manage credit risk could have an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ALL may prove to be insufficient to absorb potential losses in our loan portfolio.</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maintain an ALL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ALL. If we are required to materially increase the level of our ALL for any reason, such increase could have an adverse effect on our business, financial condition and results of operations.</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lines of business or new products and services may subject us to additional risks.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subject to certain risks in connection with growing through mergers and acquisitions.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Our SBA lending program is dependent upon the U.S. federal government, and we face specific risks associated with originating SBA loans.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Our SBA lending program is dependent upon the U.S. federal government. 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If we lose our status as an SBA Preferred Lender, we may lose some or all of our customers to lenders who are SBA Preferred Lenders, and as a result we could experience a material adverse effect on 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the funding and sale of the guaranteed portion of SBA 7(a) loans is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Generally, we do not maintain reserves or loss allowances for such potential claims and any such claims could materially and adversely affect our business, financial condition and earnings.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rely on BFG for loan referrals associated with our SBA 7(a) lending program, any disruption of that relationship may adversely impact our SBA lending business.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BFG is a nationally significant referral source of small business loans. BFG has been the primary source of SBA loan referrals for the Bank since the Bank began its SBA lending program in 2014. BFG referred 96.9% of the Bank’s SBA 7(a) loan originations for the year ended December 31, 2021.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p>
    <w:p>
      <w:pPr>
        <w:spacing w:after="0" w:line="17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Because a significant portion of our loan portfolio held-for-investment within our local lending program and SBA 7(a) lending program is secured by real estate, negative changes in the economy affecting real estate values and liquidity could impair the value of collateral securing our real estate loans and result in loan and other losses.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As of December 31, 2021, approximately $29.5 million, or 14.4%, of our total gross loans held-for-investment were loans with real estate as a primary or secondary component of collateral. We also have approximately $134.6 million, or 65.7%, of our total gross loans held-for-investment in SBA loans that are secured with real estate as a component of collateral as of December 31, 2021.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Appraisals and other valuation techniques we use in evaluating and monitoring loans secured by real property, other real estate owned and repossessed business and personal property may not accurately describe the net value of the asset.</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ALL may not reflect accurate loan impairments. This could have a material adverse effect on our business, financial condition or results of operations.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Additionally, consumer protection initiatives, including those related to Covid-19,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 Additionally, courts may be closed due to Covid-19 and once opened, may experience a backlog of activity that delays our foreclosure efforts.</w:t>
      </w:r>
    </w:p>
    <w:p>
      <w:pPr>
        <w:sectPr>
          <w:pgSz w:w="11900" w:h="16838" w:orient="portrait"/>
          <w:cols w:equalWidth="0" w:num="1">
            <w:col w:w="11240"/>
          </w:cols>
          <w:pgMar w:left="320" w:top="122" w:right="339" w:bottom="436"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not be able to protect our intellectual property rights, and may become involved in lawsuits to protect or enforce our intellectual property, which could be expensive, time consuming and unsuccessful.</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origination of construction loans exposes us to increased lending risks.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originate commercial construction loans primarily to professional builders for the construction of one-to-four family residences, apartment buildings, and commercial real estate properties. As of December 31, 2021, we had approximately $23.1 million of construction loans, which represents approximately 11.3% of our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small- to medium-sized businesses that we lend to may have fewer resources to weather adverse business developments, which may impair our borrowers’ ability to repay loans.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concentration of large loans to a limited number of borrowers may increase our credit risk.</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of December 31, 2021, our 10 largest borrowing relationships accounted for approximately 18.8% of our total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ALL could increase significantly, which could have a material adverse effect on our assets, business, financial condition and results of operations.</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 lack of liquidity could impair our ability to fund operations and adversely impact our business, financial condition and results of operations.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most important source of funds is deposits. As of December 31, 2021, approximately $110.5 million, or 43.9%, of our total deposits were noninterest 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also may borrow funds from third-party lenders, such as other financial institutions. We currently utilize three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of December 31, 2021, approximately $101.5 million, or approximately 40.3%, of our total 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sectPr>
          <w:pgSz w:w="11900" w:h="16838" w:orient="portrait"/>
          <w:cols w:equalWidth="0" w:num="1">
            <w:col w:w="11240"/>
          </w:cols>
          <w:pgMar w:left="320" w:top="122" w:right="339" w:bottom="6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If we are unable to attract additional merchants and retain and grow our existing merchant relationships, our business, results of operations, financial condition, and future prospects could be materially and adversely affected.</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continued success is dependent, in part, on our ability to expand our merchant base and to grow our POS lending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are subject to interest rate risk as fluctuations in interest rates may adversely affect our earnings.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 bearing liabilities, such as deposits and borrowings. We expect that we will periodically experience “gaps” in the interest rate sensitivities of our assets and liabilities, meaning that either our interest 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generally accepted accounting principles, or GAAP.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could recognize losses on investment securities held in our securities portfolio, particularly if interest rates increase or economic and market conditions deteriorate.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invest a portion of our total assets (3.0% as of December 31, 2021) in investment securities with the primary objectives of providing a source of liquidity, providing an appropriate return on funds invested, managing interest rate risk and meeting pledging requirements. As of December 31, 2021, all securities were classified as held-for-investment.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sectPr>
          <w:pgSz w:w="11900" w:h="16838" w:orient="portrait"/>
          <w:cols w:equalWidth="0" w:num="1">
            <w:col w:w="11240"/>
          </w:cols>
          <w:pgMar w:left="320" w:top="122" w:right="339" w:bottom="92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subject to certain operational risks, including, but not limited to, customer, employee or third-party fraud.</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rely heavily on our executive management team and other key employees, and we could be adversely affected by the unexpected loss of their services.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spacing w:after="0" w:line="21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Negative public opinion regarding the Company or failure to maintain our reputation within the industries we serve and across our product lines could adversely affect our business and prevent us from growing our business.</w:t>
      </w:r>
    </w:p>
    <w:p>
      <w:pPr>
        <w:spacing w:after="0" w:line="13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future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not be able to raise the additional capital needed, in absolute terms or on terms acceptable to us, to fund our growth strategy in the future if we continue to grow at our current pace.</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growth until market conditions become more favorable. Any such events could have a material adverse effect on our business, financial condition and results of operations.</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Regulation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regulation, which increases the cost and expense of regulatory compliance and therefore reduces our net income and may restrict our growth and ability to acquire other financial institutions.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a Utah state-chartered bank that is not a member of the Federal Reserve System, the Bank is separately subject to regulation by both the FDIC and the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Legislative and regulatory actions taken now or in the future may increase our costs and impact our business, governance structure, financial condition or results of operations.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Federal and state regulatory agencies frequently adopt changes to their regulations or change the way existing regulations are applied, including the Dodd-Frank Act and the Regulatory Relief Act. These and other changes are more fully discussed under “Supervision and Regulation.”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Due to Section 162(m) of the Internal Revenue Code (the “Code”), we may not be able to deduct all of the compensation of some executives, including executives of companies we may acquire in the future.</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will limit the deductibility of compensation to our covered employees to $1 million beginning with the year ending December 31, 2021. Pursuant to Treasury regulations that were finalized on December 18, 2020,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 “predecessor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to those currently included in the definition as described above).</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result of the foregoing, under present law, we may not be able to deduct all of the compensation paid in 2021 and future years where FinWise Bancorp qualifies as a “publicly held corporation.” Losing deductions under Section 162(m) of the Code could increase our income taxes and reduce our net income. A reduction in net income could negatively affect the price of our stock.</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Because of the Dodd-Frank Act and related rulemaking, the Company is subject to more stringent capital requirements.</w:t>
      </w: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p>
    <w:p>
      <w:pPr>
        <w:spacing w:after="0" w:line="17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Federal and state banking agencies periodically conduct examinations of our business, including our compliance with laws and regulations, and our failure to comply with any regulatory actions, if any, could adversely impact us.</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part of the bank regulatory process, the Federal Reserve, the FDIC and the Utah Department of Financial Institutions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Financial institutions, such as the Bank, face risks of noncompliance and enforcement actions related to the Bank Secrecy Act and other anti-money laundering statutes and regulations.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sectPr>
          <w:pgSz w:w="11900" w:h="16838" w:orient="portrait"/>
          <w:cols w:equalWidth="0" w:num="1">
            <w:col w:w="11240"/>
          </w:cols>
          <w:pgMar w:left="320" w:top="122" w:right="339" w:bottom="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i w:val="1"/>
          <w:iCs w:val="1"/>
          <w:color w:val="auto"/>
        </w:rPr>
        <w:t>We are subject to anticorruption laws, including the U.S. Foreign Corrupt Practices Act, or FCPA, and we may be subject to other anti-corruption laws, as well as anti-money laundering and sanctions laws and other laws governing our operations, to the extent our business expands to non-U.S. jurisdictions. If we fail to comply with these laws, we could be subject to civil or criminal penalties, other remedial measures, and legal expenses, which could adversely affect our business, financial condition and results of operations.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continue to pursue deposit sourcing opportunities outside of the United States. We are currently subject to anti-corruption laws, including the FCPA. The FCPA and other applicable anti-corruption laws generally prohibit us, our employees and intermediaries from bribing, being bribed or making other prohibited payments to government officials or other persons to obtain or retain business or gain other business advantages. We may also participate in collaborations and relationships with third parties whose actions could potentially subject us to liability under the FCPA or other jurisdictions’ anti-corruption laws. There is no assurance that we will be completely effective in ensuring our compliance with all applicable anti-corruption laws, including the FCPA. If we are not in compliance with the FCPA or other anti-corruption laws, we may be subject to criminal and civil penalties, disgorgement and other sanctions and remedial measures, and legal expenses, which could have an adverse impact on our business, financial condition and results of operations. Similarly, any investigation of any potential violations of the FCPA or other anti-corruption laws by authorities in the United States or other jurisdictions where we conduct business could also have an adverse impact on our reputation, business, financial condition and results of operations.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200" w:lineRule="exact"/>
        <w:rPr>
          <w:sz w:val="20"/>
          <w:szCs w:val="20"/>
          <w:color w:val="auto"/>
        </w:rPr>
      </w:pPr>
    </w:p>
    <w:p>
      <w:pPr>
        <w:spacing w:after="0" w:line="22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 xml:space="preserve">We </w:t>
      </w:r>
      <w:r>
        <w:rPr>
          <w:rFonts w:ascii="Arial" w:cs="Arial" w:eastAsia="Arial" w:hAnsi="Arial"/>
          <w:sz w:val="19"/>
          <w:szCs w:val="19"/>
          <w:b w:val="1"/>
          <w:bCs w:val="1"/>
          <w:i w:val="1"/>
          <w:iCs w:val="1"/>
          <w:color w:val="auto"/>
        </w:rPr>
        <w:t>are subject to numerous laws and regulations, designed to protect consumers, including the Community Reinvestment Act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and fair lending laws, and failure to comply with these laws or regulations could lead to a wide variety of sanctions.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 The CFPB has indicated that it may propose new rules on overdrafts and other consumer financial products or services, which could have a material adverse effect on our business, financial condition and results of operations if any such rules limit our ability to provide such financial products or services.</w:t>
      </w: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sectPr>
          <w:pgSz w:w="11900" w:h="16838" w:orient="portrait"/>
          <w:cols w:equalWidth="0" w:num="1">
            <w:col w:w="11240"/>
          </w:cols>
          <w:pgMar w:left="320" w:top="122" w:right="339" w:bottom="193"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93"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be subject to liability for potential violations of predatory lending laws, which could adversely impact our results of operations, financial condition and business.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Regulatory agencies and consumer advocacy groups have asserted claims that the practices of lenders and loan servicers result in a disparate impact on protected classes.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reputational harm, violations of FHA and ECOA can result in actual damages, punitive damages, injunctive or equitable relief, attorneys’ fees and civil money penalties.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Increases in FDIC insurance premiums could adversely affect our earnings and results of operations.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deposits of our Bank are insured by the FDIC up to legal limits and, accordingly, subject it to the payment of FDIC deposit insurance assessments as determined according to the calculation described in “Supervision and Regulation—Deposit Insurance.”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Our Strategic Programs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Bank and our Strategic Program service providers are subject to borrower protection laws and federal and state consumer protection laws and may be subject to public criticism by consumer advocacy groups.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indemnification right or other action against the service provider. The foregoing could adversely affect our growth, business prospects, financial condition and results of operations.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other forms of relief a competent tribunal may impose, or otherwise predict the impact of consumer claims on the Bank’s or any Strategic Program service provider’s operations or revenue.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unable to maintain our relationships with our Strategic Program service providers, our business will suffer.</w:t>
      </w:r>
    </w:p>
    <w:p>
      <w:pPr>
        <w:spacing w:after="0" w:line="26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 significant portion of our loan origination is conducted through our Strategic Programs. Approximately $55.1 million, or 68.0% of our total revenues for the year ended December 31, 2021,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spacing w:after="0" w:line="18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Furthermore, our agreements with third-parties could come under scrutiny by our regulators, and our regulators could raise an issue with, or object to, any term or provision in such an agreement or any action taken by such third party vis-à-vis the Bank’s</w:t>
      </w:r>
    </w:p>
    <w:p>
      <w:pPr>
        <w:sectPr>
          <w:pgSz w:w="11900" w:h="16838" w:orient="portrait"/>
          <w:cols w:equalWidth="0" w:num="1">
            <w:col w:w="11240"/>
          </w:cols>
          <w:pgMar w:left="320" w:top="122" w:right="339" w:bottom="0" w:gutter="0" w:footer="0" w:header="0"/>
        </w:sectPr>
      </w:pPr>
    </w:p>
    <w:bookmarkStart w:id="51" w:name="page52"/>
    <w:bookmarkEnd w:id="51"/>
    <w:p>
      <w:pPr>
        <w:spacing w:after="0" w:line="251" w:lineRule="auto"/>
        <w:rPr>
          <w:sz w:val="20"/>
          <w:szCs w:val="20"/>
          <w:color w:val="auto"/>
        </w:rPr>
      </w:pPr>
      <w:r>
        <w:rPr>
          <w:rFonts w:ascii="Arial" w:cs="Arial" w:eastAsia="Arial" w:hAnsi="Arial"/>
          <w:sz w:val="22"/>
          <w:szCs w:val="22"/>
          <w:color w:val="auto"/>
        </w:rPr>
        <w:t>operations or customers, resulting in a material adverse effect to us including, but not limited to, the imposition of fines and/or penalties and the material restructuring or termination of such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Inadequate oversight of our relationships with our Strategic Program service providers and POS merchants could result in regulatory actions against the Bank, which could adversely affect our business, financial condition and result of operations.</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The regulatory framework for Strategic Programs is evolving and uncertain as federal and state governments consider new laws to regulate online marketplaces such as ours. New laws and regulations, including taxes on services provided through Strategic Programs, as well as continued uncertainty regarding potential new laws or regulations, may negatively affect our business.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We cannot predict whether any legislation or proposed rulemaking will actually be introduced or how any legislation or rulemaking will impact our business and results of operations of marketplace lenders going forward.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w:t>
      </w:r>
    </w:p>
    <w:p>
      <w:pPr>
        <w:spacing w:after="0" w:line="3" w:lineRule="exact"/>
        <w:rPr>
          <w:sz w:val="20"/>
          <w:szCs w:val="20"/>
          <w:color w:val="auto"/>
        </w:rPr>
      </w:pPr>
    </w:p>
    <w:p>
      <w:pPr>
        <w:jc w:val="both"/>
        <w:ind w:firstLine="8"/>
        <w:spacing w:after="0" w:line="232" w:lineRule="auto"/>
        <w:tabs>
          <w:tab w:leader="none" w:pos="4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$28.8 million, or 35.5% of our total revenues for the year ended December 31, 2021, were generated from Strategic Programs with annual interest rates above 36%.</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sectPr>
          <w:pgSz w:w="11900" w:h="16838" w:orient="portrait"/>
          <w:cols w:equalWidth="0" w:num="1">
            <w:col w:w="11240"/>
          </w:cols>
          <w:pgMar w:left="320" w:top="122" w:right="339" w:bottom="922"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May 25, 2020, the Office of the Comptroller of the Currency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Several states have also adopted legislation that impacts our Strategic Programs. In 2021, Illinois and Maine have enacted laws that regulate any person who holds, acquires, or maintains, directly or indirectly, the predominant economic interest in a loan originated by an otherwise-exempt entity like a bank.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spacing w:after="0" w:line="185" w:lineRule="exact"/>
        <w:rPr>
          <w:sz w:val="20"/>
          <w:szCs w:val="20"/>
          <w:color w:val="auto"/>
        </w:rPr>
      </w:pPr>
    </w:p>
    <w:p>
      <w:pPr>
        <w:jc w:val="both"/>
        <w:spacing w:after="0" w:line="359" w:lineRule="auto"/>
        <w:rPr>
          <w:sz w:val="20"/>
          <w:szCs w:val="20"/>
          <w:color w:val="auto"/>
        </w:rPr>
      </w:pPr>
      <w:r>
        <w:rPr>
          <w:rFonts w:ascii="Arial" w:cs="Arial" w:eastAsia="Arial" w:hAnsi="Arial"/>
          <w:sz w:val="18"/>
          <w:szCs w:val="18"/>
          <w:b w:val="1"/>
          <w:bCs w:val="1"/>
          <w:i w:val="1"/>
          <w:iCs w:val="1"/>
          <w:color w:val="auto"/>
        </w:rPr>
        <w:t>Fraudulent activity associated with a Strategic Program service provider could negatively impact operating results, brand and reputation and cause the use of a Strategic Program’s loan products and services to decrease and its fraud losses to increase.</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Strategic Program service providers are subject to the risk of fraudulent activity associated with the handling or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Potential Strategic Transactions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pursue strategic acquisitions in the future, and we may not be able to overcome risks associated with such transactions.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Although we plan to continue to grow our business organically, we may explore opportunities to invest in, or to acquire, other financial institutions, financial service companies and businesses that we believe would complement our existing business. Our investment or acquisition activities could be material to our business and involve a number of risks including the following:</w:t>
      </w:r>
    </w:p>
    <w:p>
      <w:pPr>
        <w:spacing w:after="0" w:line="16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estimating the value of any target company;</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history among our management team in working together on acquisitions and related integration activities;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necessary regulatory approvals, which we may have difficulty obtaining or be unable to obtain;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expense and difficulty of integrating the operations and personnel of any combined businesses;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asset quality problems with acquired companies;</w:t>
      </w:r>
    </w:p>
    <w:p>
      <w:pPr>
        <w:sectPr>
          <w:pgSz w:w="11900" w:h="16838" w:orient="portrait"/>
          <w:cols w:equalWidth="0" w:num="1">
            <w:col w:w="11240"/>
          </w:cols>
          <w:pgMar w:left="320" w:top="122" w:right="339" w:bottom="86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68"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inaccurate estimates and judgments used to evaluate credit, operations, management and market risks with respect to any target institution or assets;</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of impairment to goodwill or other-than-temporary impairment of investment securities;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exposure to unknown or contingent liabilities of banks and businesses we acquire;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realize expected synergies or returns on investment;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disruption of our ongoing banking business;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adequate regulatory capital;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key employees, key customers or key business counterparties following our investment or acquisition.</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 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Acquisitions and strategic collaborations may never materialize.</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 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Common Stock</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market price of our common stock may be subject to substantial fluctuations, which may make it difficult for you to sell your shares at the volume, prices and times desired.</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sectPr>
          <w:pgSz w:w="11900" w:h="16838" w:orient="portrait"/>
          <w:cols w:equalWidth="0" w:num="1">
            <w:col w:w="11240"/>
          </w:cols>
          <w:pgMar w:left="320" w:top="122" w:right="339" w:bottom="1111"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111"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executive management and board of directors have significant control over our business.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of December 31, 2021, our directors and executive officers beneficially owned an aggregate of 3,233,718 shares, or approximately 24.2% of our 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are an emerging growth company and smaller reporting company, and the reduced regulatory and reporting requirements applicable to emerging growth companies and smaller reporting companies may make our common stock less attractive to investors.</w:t>
      </w: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may take advantage of some or all of these provisions for up to five years or such earlier time as we cease to qualify as an emerging growth company, which will occur if we have more than $1.07 billion in total annual gross revenue, if we issue more than $1.0 billion of non-convertible debt in a three-year period, or if we become a “large accelerated filer,” in which case we would no longer be an emerging growth company as of the following December 31.</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Provisions in our governing documents and Utah law may have an anti-takeover effect, and there are substantial regulatory limitations on changes of control of bank holding companies.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spacing w:after="0" w:line="200" w:lineRule="exact"/>
        <w:rPr>
          <w:sz w:val="20"/>
          <w:szCs w:val="20"/>
          <w:color w:val="auto"/>
        </w:rPr>
      </w:pPr>
    </w:p>
    <w:p>
      <w:pPr>
        <w:spacing w:after="0" w:line="23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Articles and Bylaws contain an exclusive forum provision that limits the judicial forums where our shareholders may initiate derivative actions and certain other legal proceedings against us and our directors and officers.</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Our Articles and Bylaws provide that the United States District Court for the District of Utah and any Utah state court sitting in Salt Lake County, Utah will, to the fullest extent permitted by law, be the sole and exclusive forum for (a) any derivative action or proceeding brought on our behalf, (b) any action asserting a claim of breach of a fiduciary duty owed by any of our directors, officers or other employees to the Company or the Company’s shareholders, (c) any action asserting a claim against us or any of our directors or officers arising pursuant to the Utah Revised Business Corporation Act, our Articles, or our Bylaws, or (d) any other action asserting a claim against us or any of our directors or officers that is governed by the internal affairs doctrine. The choice of forum provision in our Articles and Bylaws may limit our shareholders’ ability to obtain a favorable judicial forum for disputes with us. Alternatively, if a court were to find the 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common stock is not an insured deposit and is subject to risk of loss.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headquarters office is currently located at 756 East Winchester, Suite 100, Murray, UT 84107. The following table summarizes pertinent details of our leased office properties.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Owned/</w:t>
            </w:r>
          </w:p>
        </w:tc>
        <w:tc>
          <w:tcPr>
            <w:tcW w:w="2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Lease</w:t>
            </w:r>
          </w:p>
        </w:tc>
        <w:tc>
          <w:tcPr>
            <w:tcW w:w="2280" w:type="dxa"/>
            <w:vAlign w:val="bottom"/>
          </w:tcPr>
          <w:p>
            <w:pPr>
              <w:spacing w:after="0"/>
              <w:rPr>
                <w:sz w:val="18"/>
                <w:szCs w:val="18"/>
                <w:color w:val="auto"/>
              </w:rPr>
            </w:pPr>
          </w:p>
        </w:tc>
      </w:t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Leased</w:t>
            </w:r>
          </w:p>
        </w:tc>
        <w:tc>
          <w:tcPr>
            <w:tcW w:w="2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Expiration</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Type of Office</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Murray, Utah</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4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31, 2029</w:t>
            </w:r>
          </w:p>
        </w:tc>
        <w:tc>
          <w:tcPr>
            <w:tcW w:w="4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Corporate Headquarters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Sandy, Utah</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Leased</w:t>
            </w:r>
          </w:p>
        </w:tc>
        <w:tc>
          <w:tcPr>
            <w:tcW w:w="23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July 31, 2024</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Retail Bank Branch</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Rockville Centre, New York</w:t>
            </w: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4"/>
              </w:rPr>
              <w:t>Leased</w:t>
            </w:r>
          </w:p>
        </w:tc>
        <w:tc>
          <w:tcPr>
            <w:tcW w:w="234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September 30,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Loan Production Office</w:t>
            </w: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 facilities are in good condition and are adequate to meet our operating needs for the foreseeable future.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common stock has been publicly traded since November 19, 2021 and is currently traded on the Nasdaq Global Market under the Symbol “FINW.”</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There were approximately 167 shareholders of record of the Company’s common stock as of December 31, 2021. This number does not reflect the number of persons or entities holding stock in nominee name through banks, brokerage firms or other nominees.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Sales of Unregistered Securities and Issuer Repurchases of Common Stock</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There were no unregistered sales of the Company’s stock during the fourth quarter of 2021. The Company did not repurchase any of its shares during the fourth quarter of 2021 and does not have any authorized share repurchase programs.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provides information as of December 31, 2021, with respect to options outstanding and shares available for future awards under the Company’s active equity incentive plans.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000" w:type="dxa"/>
            <w:vAlign w:val="bottom"/>
          </w:tcPr>
          <w:p>
            <w:pPr>
              <w:spacing w:after="0"/>
              <w:rPr>
                <w:sz w:val="18"/>
                <w:szCs w:val="18"/>
                <w:color w:val="auto"/>
              </w:rPr>
            </w:pPr>
          </w:p>
        </w:tc>
        <w:tc>
          <w:tcPr>
            <w:tcW w:w="2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Number of Securities to be</w:t>
            </w: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Future Issuance under Equity</w:t>
            </w: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Issued Upon Exercise of</w:t>
            </w:r>
          </w:p>
        </w:tc>
        <w:tc>
          <w:tcPr>
            <w:tcW w:w="80" w:type="dxa"/>
            <w:vAlign w:val="bottom"/>
          </w:tcPr>
          <w:p>
            <w:pPr>
              <w:spacing w:after="0"/>
              <w:rPr>
                <w:sz w:val="18"/>
                <w:szCs w:val="18"/>
                <w:color w:val="auto"/>
              </w:rPr>
            </w:pPr>
          </w:p>
        </w:tc>
        <w:tc>
          <w:tcPr>
            <w:tcW w:w="2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Weighted-Average Exercise</w:t>
            </w:r>
          </w:p>
        </w:tc>
        <w:tc>
          <w:tcPr>
            <w:tcW w:w="2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Compensation Plans (excluding</w:t>
            </w:r>
          </w:p>
        </w:tc>
      </w:t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 Options,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Price of Outstanding Options,</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securities reflected in the first</w:t>
            </w:r>
          </w:p>
        </w:tc>
      </w:tr>
      <w:tr>
        <w:trPr>
          <w:trHeight w:val="241"/>
        </w:trPr>
        <w:tc>
          <w:tcPr>
            <w:tcW w:w="40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80" w:type="dxa"/>
            <w:vAlign w:val="bottom"/>
          </w:tcPr>
          <w:p>
            <w:pPr>
              <w:spacing w:after="0"/>
              <w:rPr>
                <w:sz w:val="20"/>
                <w:szCs w:val="20"/>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 and Rights</w:t>
            </w:r>
          </w:p>
        </w:tc>
        <w:tc>
          <w:tcPr>
            <w:tcW w:w="80" w:type="dxa"/>
            <w:vAlign w:val="bottom"/>
          </w:tcPr>
          <w:p>
            <w:pPr>
              <w:spacing w:after="0"/>
              <w:rPr>
                <w:sz w:val="20"/>
                <w:szCs w:val="20"/>
                <w:color w:val="auto"/>
              </w:rPr>
            </w:pPr>
          </w:p>
        </w:tc>
        <w:tc>
          <w:tcPr>
            <w:tcW w:w="2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Warrants and Rights</w:t>
            </w:r>
          </w:p>
        </w:tc>
        <w:tc>
          <w:tcPr>
            <w:tcW w:w="2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column)</w:t>
            </w:r>
          </w:p>
        </w:tc>
      </w:tr>
      <w:tr>
        <w:trPr>
          <w:trHeight w:val="202"/>
        </w:trPr>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8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holders:</w:t>
            </w: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FinWise Bancorp 2016 Stock Option Plan</w:t>
            </w:r>
          </w:p>
        </w:tc>
        <w:tc>
          <w:tcPr>
            <w:tcW w:w="2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24,612</w:t>
            </w: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FinWise Bancorp 2019 Stock Option Plan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459,474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296,226</w:t>
            </w:r>
          </w:p>
        </w:tc>
      </w:tr>
      <w:tr>
        <w:trPr>
          <w:trHeight w:val="192"/>
        </w:trPr>
        <w:tc>
          <w:tcPr>
            <w:tcW w:w="4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5"/>
              </w:rPr>
              <w:t>Equity compensation plans not approved by security</w:t>
            </w:r>
          </w:p>
        </w:tc>
        <w:tc>
          <w:tcPr>
            <w:tcW w:w="80" w:type="dxa"/>
            <w:vAlign w:val="bottom"/>
            <w:shd w:val="clear" w:color="auto" w:fill="CCEEFF"/>
          </w:tcPr>
          <w:p>
            <w:pPr>
              <w:spacing w:after="0"/>
              <w:rPr>
                <w:sz w:val="16"/>
                <w:szCs w:val="16"/>
                <w:color w:val="auto"/>
              </w:rPr>
            </w:pPr>
          </w:p>
        </w:tc>
        <w:tc>
          <w:tcPr>
            <w:tcW w:w="20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40"/>
        </w:trPr>
        <w:tc>
          <w:tcPr>
            <w:tcW w:w="4000" w:type="dxa"/>
            <w:vAlign w:val="bottom"/>
            <w:shd w:val="clear" w:color="auto" w:fill="CCEEFF"/>
          </w:tcPr>
          <w:p>
            <w:pPr>
              <w:ind w:left="180"/>
              <w:spacing w:after="0" w:line="240" w:lineRule="exact"/>
              <w:rPr>
                <w:sz w:val="20"/>
                <w:szCs w:val="20"/>
                <w:color w:val="auto"/>
              </w:rPr>
            </w:pPr>
            <w:r>
              <w:rPr>
                <w:rFonts w:ascii="Arial" w:cs="Arial" w:eastAsia="Arial" w:hAnsi="Arial"/>
                <w:sz w:val="17"/>
                <w:szCs w:val="17"/>
                <w:color w:val="auto"/>
              </w:rPr>
              <w:t xml:space="preserve">holders </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0"/>
                <w:szCs w:val="20"/>
                <w:color w:val="auto"/>
              </w:rPr>
            </w:pPr>
          </w:p>
        </w:tc>
        <w:tc>
          <w:tcPr>
            <w:tcW w:w="2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268,914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2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7"/>
        </w:trPr>
        <w:tc>
          <w:tcPr>
            <w:tcW w:w="4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862,488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320,838</w:t>
            </w:r>
          </w:p>
        </w:tc>
      </w:tr>
      <w:tr>
        <w:trPr>
          <w:trHeight w:val="21"/>
        </w:trPr>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 a grant to Kent Landvatter of 40,914 non-qualified stock options, (b) a grant to Javvis Jacobson of 60,000 non-qualified stock options, (c) a grant to James Noone of 60,000 non-qualified stock options, (d) grants to Russell F. Healey, Jr. of an aggregate of 18,000 non-qualified stock options,</w:t>
      </w:r>
    </w:p>
    <w:p>
      <w:pPr>
        <w:jc w:val="both"/>
        <w:ind w:left="340"/>
        <w:spacing w:after="0" w:line="253" w:lineRule="auto"/>
        <w:rPr>
          <w:rFonts w:ascii="Arial" w:cs="Arial" w:eastAsia="Arial" w:hAnsi="Arial"/>
          <w:sz w:val="16"/>
          <w:szCs w:val="16"/>
          <w:color w:val="auto"/>
        </w:rPr>
      </w:pPr>
      <w:r>
        <w:rPr>
          <w:rFonts w:ascii="Arial" w:cs="Arial" w:eastAsia="Arial" w:hAnsi="Arial"/>
          <w:sz w:val="18"/>
          <w:szCs w:val="18"/>
          <w:color w:val="auto"/>
        </w:rPr>
        <w:t>(e) grants to Howard Reynolds of an aggregate of 18,000 non-qualified stock options, (f) grants to Gerald E. Cunningham of an aggregate of 18,000 non-qualified stock options, (g) grants to Thomas E. Gibson of an aggregate of 18,000 non-qualified stock options, (h) grants to James N. Giordano of an aggregate of 18,000 non-qualified stock options, (i) grants to Jeana Hutchings of an aggregate of 9,000 non-qualified stock options and (j) grants to Lisa Ann Nievaard of an aggregate of 9,000 non-qualified 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Proceeds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November 23, 2021, we completed our IPO of 4,025,000 shares of our common stock at an IPO price of $10.50 per share, including 525,000 shares pursuant to the exercise of the underwriters’ option to purchase additional shares of our common stock. We raised approximately $42.3 million in gross proceeds and $35.6 million in net proceeds after deducting underwriting discounts and commissions and certain estimated offering expenses payable by us. Piper Sandler &amp; Co. and Stephens Inc. acted as joint bookrunning managers for the IPO. None of the expenses associated with the IPO were paid to directors, officers, affiliates, persons owning 10% or more of any class of equity securities, or their associates.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shares issued and sold in our IPO were registered under the Securities Act pursuant to a Registration Statement on Form S-1 (File No. 333-257929) (the “Registration Statement”), which was declared effective by the SEC on November 18, 2021. We have used the proceeds from our IPO as disclosed in our final prospectus dated as of November 18, 2021 and filed with the SEC pursuant to Rule 424(b)(4) on November 19, 2021, and there has been no material change in the planned use of proceeds. No proceeds currently remain from the IPO.</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 thereto and other financial information included elsewhere in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entitled “Risk Factors,” “Cautionary Note Regarding Forward-Looking Statements” and elsewhere in this Report. We assume no obligation to update any of these forward-looking statements except to the extent required by law.</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For a discussion of trends, uncertainties and risks that will or could impact the Company’s businesses, results of operations and financial condition during 2022, see “Principal Factors Affecting Our Results of Operations,” and “Principal Factors Affecting Our Financial Condition.”</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All dollar amounts in the tables in this section are in thousands of dollars, except per share data or where otherwise specifically noted. Unless otherwise stated, all information in this Report gives effect to a six-for-one stock split of our common stock completed effective July 26, 2021. The effect of the stock split on outstanding shares and per share figures has been retroactively applied to all periods presented in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is a Utah corporation and the parent company of FinWise Bank.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See “Supervision and Regulation.”</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lending focuses on four main lending areas: (i) SBA 7(a) loans, (ii) Strategic Programs, (iii) residential and commercial real estate and (iv) consumer lending. For a description and analysis of the Company’s loan categories, see “—Principal Factors Affecting Our Financial Condition”.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 19 Pandemic</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The economic turbulence spawned by the Covid-19 pandemic left many banks with potential credit quality and income issues. These issues are further compounded by uncertainties regarding the length, depth and possible resurgence of the pandemic and its ultimate long-term effects on the economy.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the EIDL and the PPP, both of which are being administered by the SBA. Additionally, the United States government agreed to make six months of payments on SBA loans and increase the SBA guaranty on SBA 7(a) loans to 90% for loans originated from February 1, 2020 through September 30, 2021. The SBA has made the full monthly P&amp;I payments with respect to our qualifying SBA 7(a) customers in “regular servicing” status for six months. For most of our SBA portfolio (the legacy loans), the SBA made borrowers’ principal and interest payments from April 2020 through September 2020. These were officially referred to as First Round Section 1112 Payments, as they derived from Section 1112 of the CARES Act. To be eligible for the full six months of First Round Section 1112 Payments, the SBA loans were required to be: (i) in “regular servicing” status;</w:t>
      </w:r>
    </w:p>
    <w:p>
      <w:pPr>
        <w:spacing w:after="0" w:line="1" w:lineRule="exact"/>
        <w:rPr>
          <w:sz w:val="20"/>
          <w:szCs w:val="20"/>
          <w:color w:val="auto"/>
        </w:rPr>
      </w:pPr>
    </w:p>
    <w:p>
      <w:pPr>
        <w:jc w:val="both"/>
        <w:ind w:firstLine="8"/>
        <w:spacing w:after="0" w:line="245" w:lineRule="auto"/>
        <w:tabs>
          <w:tab w:leader="none" w:pos="323" w:val="left"/>
        </w:tabs>
        <w:numPr>
          <w:ilvl w:val="0"/>
          <w:numId w:val="22"/>
        </w:numPr>
        <w:rPr>
          <w:rFonts w:ascii="Arial" w:cs="Arial" w:eastAsia="Arial" w:hAnsi="Arial"/>
          <w:sz w:val="21"/>
          <w:szCs w:val="21"/>
          <w:color w:val="auto"/>
        </w:rPr>
      </w:pPr>
      <w:r>
        <w:rPr>
          <w:rFonts w:ascii="Arial" w:cs="Arial" w:eastAsia="Arial" w:hAnsi="Arial"/>
          <w:sz w:val="21"/>
          <w:szCs w:val="21"/>
          <w:color w:val="auto"/>
        </w:rPr>
        <w:t>approved by the SBA before March 27, 2020; and (iii) fully disbursed by September 27, 2020. Under the Economic Aid Act, the SBA will make an additional two payments for eligible SBA customers, capped at $9,000 per month per loan. Borrowers with loan payments above $9,000 per month are responsible for paying the difference. For our legacy portfolio, the SBA will make payment on the lesser of a borrower’s monthly principal and interest payment or $9,000 per month from February 2021 through March 2021. These are referred to as Second Round Section 1112 Payments.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SBA released a list of NAICS codes deemed to have been particularly affected by the Covid-19 pandemic. SBA customers who met all other Section 1112 qualifying criteria and operated within certain NAICS codes, are entitled to an additional three months of payments. As of December 31, 2020, the Bank had 35 qualifying SBA loans totaling approximately $4.9 million in SBA 7(a) unguaranteed balance that received an additional three months of Second Round Section 1112 Payments, which were capped at $9,000 per month and per loan. As of December 31, 2021, 5 of the 35 qualifying SBA loans have been paid in full. The remaining 30 loans are all performing and total approximately $4.5 million in SBA 7(a) unguaranteed balance. As of December 31, 2021, none of the remaining 30 loans are entitled to additional Section 1112 payments. We participated in the first round of</w:t>
      </w:r>
    </w:p>
    <w:p>
      <w:pPr>
        <w:spacing w:after="0" w:line="5" w:lineRule="exact"/>
        <w:rPr>
          <w:sz w:val="20"/>
          <w:szCs w:val="20"/>
          <w:color w:val="auto"/>
        </w:rPr>
      </w:pPr>
    </w:p>
    <w:p>
      <w:pPr>
        <w:ind w:firstLine="8"/>
        <w:spacing w:after="0" w:line="308" w:lineRule="auto"/>
        <w:tabs>
          <w:tab w:leader="none" w:pos="444" w:val="left"/>
        </w:tabs>
        <w:numPr>
          <w:ilvl w:val="0"/>
          <w:numId w:val="23"/>
        </w:numPr>
        <w:rPr>
          <w:rFonts w:ascii="Arial" w:cs="Arial" w:eastAsia="Arial" w:hAnsi="Arial"/>
          <w:sz w:val="19"/>
          <w:szCs w:val="19"/>
          <w:color w:val="auto"/>
        </w:rPr>
      </w:pPr>
      <w:r>
        <w:rPr>
          <w:rFonts w:ascii="Arial" w:cs="Arial" w:eastAsia="Arial" w:hAnsi="Arial"/>
          <w:sz w:val="19"/>
          <w:szCs w:val="19"/>
          <w:color w:val="auto"/>
        </w:rPr>
        <w:t>lending and provided PPP loans to approximately 700 businesses totaling approximately $126.6 million during the year ended December 31, 2020. No PPP loans were originated by the Company during the year ended December 31, 2021.</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believe the Bank’s diversified loan portfolio and associated revenue streams have enabled the Bank to sustain and grow its business despite the adverse conditions relating to the Covid-19 pandemic. During the first and second quarters of 2020, we recorded higher than normal provisions to position ourselves for the possibility of elevated losses on loans resulting from the pandemic. The provision amounts reflected our early uncertainty surrounding the impact of the pandemic. Provisions ceased in the third and fourth quarters when we determined that our loan portfolios were not materially impacted at that time. For the year ended December 31, 2020, the provision for loan losses amounted to $5.2 million. For the year ended December 31, 2021 the provision for loan losses amounted to $8.0 million. While some of the adverse conditions relating to the Covid-19 pandemic reversed in 2021, and have continued such reversal in the beginning of 2022, sustained improvements are highly dependent upon strengthening economic conditions. The Covid-19 pandemic continues to cause economic uncertainties which may again result in these and other adverse impacts to our financial condition and results of operations. We believe our SBA 7(a) underwriting program has remained strong throughout the Covid-19 pandemic and our SBA 7(a) loans are well collateralized when compared to the SBA industry in general. The dollar amount of short-term modifications of loans held-for-investment not classified as troubled debt restructurings was $0.5 million and $1.2 million as of December 31, 2021 and 2020,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Factors Affecting Our Results of Operations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 xml:space="preserve">Net Income. </w:t>
      </w:r>
      <w:r>
        <w:rPr>
          <w:rFonts w:ascii="Arial" w:cs="Arial" w:eastAsia="Arial" w:hAnsi="Arial"/>
          <w:sz w:val="22"/>
          <w:szCs w:val="22"/>
          <w:color w:val="auto"/>
        </w:rPr>
        <w:t>Net income is calculated by taking interest and noninterest income and subtracting our costs to do business, such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provision for loan losses, interest expense, salaries, taxes and other operational expenses.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auto"/>
        </w:rPr>
        <w:t xml:space="preserve">Net Interest Income. </w:t>
      </w:r>
      <w:r>
        <w:rPr>
          <w:rFonts w:ascii="Arial" w:cs="Arial" w:eastAsia="Arial" w:hAnsi="Arial"/>
          <w:sz w:val="19"/>
          <w:szCs w:val="19"/>
          <w:color w:val="auto"/>
        </w:rPr>
        <w:t>Net interest income represents interest income, less interest expense. We generate interest income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and fees received on interest earning assets, including loans, interest earning deposits in other banks, the Federal Reserve and investment securities we own. We incur interest expense from interest paid on interest bearing liabilities, including interest bearing deposits, borrowings and other forms of indebtedness. Net interest income was the most significant contributor to our net income in 2020 and 2021. To evaluate net interest income, we measure and monitor: (i) yields on our loans and other interest earning assets; (ii) the costs of our deposits and other funding sources; (iii) our net interest spread; and (iv) our net interest margin. Net interest spread is the difference between rates earned on interest earning assets and rates paid on interest bearing liabilities. Net interest margin is a ratio calculated as net interest income divided by average interest earning assets for the same period. Because noninterest bearing sources of funds, such as noninterest bearing deposits and shareholders’ equity, also fund interest earning assets, net interest margin includes the benefit of these noninterest bearing sources.</w:t>
      </w:r>
    </w:p>
    <w:p>
      <w:pPr>
        <w:sectPr>
          <w:pgSz w:w="11900" w:h="16838" w:orient="portrait"/>
          <w:cols w:equalWidth="0" w:num="1">
            <w:col w:w="11240"/>
          </w:cols>
          <w:pgMar w:left="320" w:top="122"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Decreases in interest rates, as well as the ongoing economic uncertainty, may decrease our net interest income and net interest margin in future periods, while increases in interest rates are expected to increase our net interest income and net interest margin in future periods. We expect increases in the federal funds rate in 2022 which is anticipated to be beneficial to our net interest income and net interest margin. In its statement released on January 26, 2022, the Federal Open Market Committee stated that it would soon be appropriate to raise the target range for the federal funds rate above the range of 0.0% to 0.25% in response to inflation that is above their 2.0% target and a strong labor market. As of December 31, 2021, approximately 79.9% of our loans held for investment were indexed to a market rate that is expected to reprice along with the federal funds rate. Changes in market interest rates and interest we earn on interest earning assets or pay on interest bearing liabilities, as well as the volume and types of our interest earning assets, liabilities and shareholders’ equity, have the largest impact on our net interest spread, net interest margin and net interest income. We measure net interest income before and after our provision for loan losses.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i w:val="1"/>
          <w:iCs w:val="1"/>
          <w:color w:val="auto"/>
        </w:rPr>
        <w:t xml:space="preserve">Provision for Loan Losses. </w:t>
      </w:r>
      <w:r>
        <w:rPr>
          <w:rFonts w:ascii="Arial" w:cs="Arial" w:eastAsia="Arial" w:hAnsi="Arial"/>
          <w:sz w:val="21"/>
          <w:szCs w:val="21"/>
          <w:color w:val="auto"/>
        </w:rPr>
        <w:t>Provision for loan losses is the amount of expense that, based on our judgment at that time,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required to maintain our ALL at an adequate level to absorb probable losses inherent in our loan portfolio and that, in our management’s judgment, is appropriate under relevant accounting guidance. Determination of the ALL is complex and involves a high degree of judgment and subjectivity. For a description of the factors we considered in determining the ALL see “—Principal Factors Affecting Our Financial Condition—Allowance for Loan Losses.”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i w:val="1"/>
          <w:iCs w:val="1"/>
          <w:color w:val="auto"/>
        </w:rPr>
        <w:t xml:space="preserve">Noninterest Income. </w:t>
      </w:r>
      <w:r>
        <w:rPr>
          <w:rFonts w:ascii="Arial" w:cs="Arial" w:eastAsia="Arial" w:hAnsi="Arial"/>
          <w:sz w:val="22"/>
          <w:szCs w:val="22"/>
          <w:color w:val="auto"/>
        </w:rPr>
        <w:t>Noninterest income consists of, among other things: (i) Strategic Program fees; (ii) loan servicing fees; (iii)</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deposit related fees; (iv) gain on sale of loans; and (v) other noninterest income. Strategic Program fees are paid to us by loan origination platforms and include monthly minimum fees, fees based on the volume of loan originations in each month, testing and oversight fees, wire transfer fees, ACH fees, and program set up fees. Deposit related fees include checking fees, account maintenance fees, insufficient funds fees, overdraft fees, stop payment fees, domestic and foreign wire interchange and card processing fee income.</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 xml:space="preserve">Noninterest Expense. </w:t>
      </w:r>
      <w:r>
        <w:rPr>
          <w:rFonts w:ascii="Arial" w:cs="Arial" w:eastAsia="Arial" w:hAnsi="Arial"/>
          <w:sz w:val="19"/>
          <w:szCs w:val="19"/>
          <w:color w:val="auto"/>
        </w:rPr>
        <w:t>Noninterest expense includes, among other things: (i) salaries and employee benefits; (ii) occupancy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equipment expense; (iii) communications and data processing fees (iv) professional services fees; (v) federal deposit insurance assessments; (vi) correspondent bank charges; (vii) marketing costs; and (viii) other general and administrative expenses.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Salaries and employee benefits include compensation (including employee-related stock compensation), employee benefits and tax expenses for our personnel. Occupancy expense includes depreciation expense, lease expense on our leased properties and other occupancy-related expenses. Equipment expense includes expenses related to our furniture, fixtures, equipment and software. Data processing fees include expenses paid to our third-party data processing system provider and other data service providers. Communications expense includes costs for telephone and internet. Professional fees include legal, accounting, consulting and other outsourcing arrangements. Federal deposit insurance expense relates to FDIC assessments based on the level of our deposits. Correspondent bank charges include wire transfer fees, transaction fees and service charges related to transactions settled with correspondent relationships. Marketing expense includes marketing material production, trade show participation, marketing fees related to Strategic Programs, website enhancement, outsourced marketing and branding services. Other general and administrative expenses include expenses associated with travel, meals, advertising, promotions, training, supplies and postage.</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 xml:space="preserve">Regulatory Environment. </w:t>
      </w:r>
      <w:r>
        <w:rPr>
          <w:rFonts w:ascii="Arial" w:cs="Arial" w:eastAsia="Arial" w:hAnsi="Arial"/>
          <w:sz w:val="19"/>
          <w:szCs w:val="19"/>
          <w:color w:val="auto"/>
        </w:rPr>
        <w:t>We are subject to federal and state regulation and supervision, which continue to evolve as the legal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regulatory framework governing our operations continues to change. The current operating environment includes extensive regulation and supervision in areas such as consumer compliance, the BSA and anti-money laundering compliance, risk management and internal audit. We anticipate that this environment of extensive regulation and supervision will continue for the industry. As a result, changes in the regulatory environment may result in additional costs for additional compliance, risk management and audit personnel or professional fees associated with advisors and consultants.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Income Overview</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the principal components of net income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For the Years Ended</w:t>
            </w:r>
          </w:p>
        </w:tc>
      </w:tr>
      <w:tr>
        <w:trPr>
          <w:trHeight w:val="241"/>
        </w:trPr>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29,506</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(1,756)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31,844</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14,373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(21,749)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(10,689)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(3,942)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31,583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11,198</w:t>
            </w:r>
          </w:p>
        </w:tc>
      </w:tr>
    </w:tbl>
    <w:p>
      <w:pPr>
        <w:spacing w:after="0" w:line="200" w:lineRule="exact"/>
        <w:rPr>
          <w:sz w:val="20"/>
          <w:szCs w:val="20"/>
          <w:color w:val="auto"/>
        </w:rPr>
      </w:pPr>
    </w:p>
    <w:p>
      <w:pPr>
        <w:sectPr>
          <w:pgSz w:w="11900" w:h="16838" w:orient="portrait"/>
          <w:cols w:equalWidth="0" w:num="1">
            <w:col w:w="11240"/>
          </w:cols>
          <w:pgMar w:left="320" w:top="122" w:right="339" w:bottom="166"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66"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income for the year ended December 31, 2021 was $31.6 million, an increase of $20.4 million or 182.0% from net income of $11.2 million for the year ended December 31, 2020. The increase was primarily due to an increase of $19.7 million or 66.9% in interest income and an increase of $17.5 million or 121.6% in non-interest income, offset by an increase of $7.8 million or 35.7% in non-interest expense and an increase of $6.7 million or 171.1% in provision for income taxes,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Interest Income and Net Interest Margin Analysis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Net interest income was the primary contributor to our earnings in 2021 and 2020. We believe our net interest income results were enhanced by using FinView™ to identify attractive risk-adjusted lending opportunities and assist in the selection of Strategic Program loans that we chose to hold for investment.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For the year ended December 31, 2021, our net interest income increased $20.2 million, or 72.9%, to $48.0 million compared to the year ended December 31, 2020. This increase was primarily due to an increase in asset yields, growth in average interest earning assets, and a decrease in our cost of funds. Average interest earning assets increased by $64.8 million, or 25.6%, to $317.8 million for the year ended December 31, 2021 compared to the year ended December 31, 2020, while the related yield on average interest earning assets increased by 380 basis points to 15.5%, resulting in increased interest income for the year ended December 31, 2021 of $19.7 million. A substantial decrease in comparatively low yielding PPP loans during the year ended December 31, 2021 contributed to the increase in yield on average interest earning assets for the year. While the corresponding cost of funds on interest bearing liabilities for the year ended December 31, 2021 declined by 40 basis points to 0.9%, the average balance in interest bearing liabilities increased by $12.3 million, or 9.3%. The general decline of interest rates in the U.S. financial markets in 2021 is the primary cause for the decline in the cost of funds. As indicated in the rate/volume table set forth below, the decline in the cost of funds partially offset by the effect of increased volumes of interest-bearing liabilities, resulting in decreased interest expense for the year ended December 31, 2021 of $0.5 million. We gather deposits in the Salt Lake City, Utah MSA through our one branch and nationwide from our Strategic Program service providers, SBA 7(a) borrowers, Institutional Deposit exchanges, and brokered deposit arrangements. For the year ended December 31, 2021, deposits sourced through our branch, Strategic Programs, SBA 7(a) borrowers, national Institutional Deposit exchanges and brokered deposit arrangements increased compared to the year ended December 31, 2020. Our net interest margin increased from 11.0% at December 31, 2020 to 15.1%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i w:val="1"/>
          <w:iCs w:val="1"/>
          <w:color w:val="auto"/>
        </w:rPr>
        <w:t>Average Balances and Yields</w:t>
      </w:r>
      <w:r>
        <w:rPr>
          <w:rFonts w:ascii="Arial" w:cs="Arial" w:eastAsia="Arial" w:hAnsi="Arial"/>
          <w:sz w:val="19"/>
          <w:szCs w:val="19"/>
          <w:color w:val="auto"/>
        </w:rPr>
        <w:t>. The following table presents average balances for assets and liabilities, the total dollar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approximately $3.6 million (including approximately $1.8 million in SBA fees related to PPP loans) and $1.4 million (including approximately $1.2 million in SBA fees related to PPP loans), for the years ended December 31, 2021 and December 31, 2020, respectively. Average balances have been calculated using daily averages.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w w:val="93"/>
              </w:rPr>
              <w:t>Years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198"/>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Yield/Rate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Interest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Yield/Rate</w:t>
            </w:r>
          </w:p>
        </w:tc>
        <w:tc>
          <w:tcPr>
            <w:tcW w:w="2260" w:type="dxa"/>
            <w:vAlign w:val="bottom"/>
          </w:tcPr>
          <w:p>
            <w:pPr>
              <w:spacing w:after="0"/>
              <w:rPr>
                <w:sz w:val="20"/>
                <w:szCs w:val="20"/>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tcPr>
          <w:p>
            <w:pPr>
              <w:ind w:left="340"/>
              <w:spacing w:after="0"/>
              <w:rPr>
                <w:sz w:val="20"/>
                <w:szCs w:val="20"/>
                <w:color w:val="auto"/>
              </w:rPr>
            </w:pPr>
            <w:r>
              <w:rPr>
                <w:rFonts w:ascii="Arial" w:cs="Arial" w:eastAsia="Arial" w:hAnsi="Arial"/>
                <w:sz w:val="18"/>
                <w:szCs w:val="18"/>
                <w:color w:val="auto"/>
                <w:w w:val="92"/>
              </w:rPr>
              <w:t>with the Federal Reserve,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260" w:type="dxa"/>
            <w:vAlign w:val="bottom"/>
          </w:tcPr>
          <w:p>
            <w:pPr>
              <w:ind w:left="340"/>
              <w:spacing w:after="0"/>
              <w:rPr>
                <w:sz w:val="20"/>
                <w:szCs w:val="20"/>
                <w:color w:val="auto"/>
              </w:rPr>
            </w:pPr>
            <w:r>
              <w:rPr>
                <w:rFonts w:ascii="Arial" w:cs="Arial" w:eastAsia="Arial" w:hAnsi="Arial"/>
                <w:sz w:val="18"/>
                <w:szCs w:val="18"/>
                <w:color w:val="auto"/>
              </w:rPr>
              <w:t>non</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2"/>
        </w:trPr>
        <w:tc>
          <w:tcPr>
            <w:tcW w:w="2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U.S. central banks and other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260" w:type="dxa"/>
            <w:vAlign w:val="bottom"/>
          </w:tcPr>
          <w:p>
            <w:pPr>
              <w:spacing w:after="0"/>
              <w:rPr>
                <w:sz w:val="20"/>
                <w:szCs w:val="20"/>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59,524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10,560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w:t>
            </w:r>
          </w:p>
        </w:tc>
        <w:tc>
          <w:tcPr>
            <w:tcW w:w="2260" w:type="dxa"/>
            <w:vAlign w:val="bottom"/>
          </w:tcPr>
          <w:p>
            <w:pPr>
              <w:spacing w:after="0"/>
              <w:rPr>
                <w:sz w:val="18"/>
                <w:szCs w:val="18"/>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w w:val="99"/>
              </w:rPr>
              <w:t>Loans held for investment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198,992</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26,674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187,314</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18,711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interest earning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49,243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29,506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Less: ALL</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(7,548)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(6,706)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327,228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254,406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tcPr>
          <w:p>
            <w:pPr>
              <w:ind w:left="340"/>
              <w:spacing w:after="0"/>
              <w:rPr>
                <w:sz w:val="20"/>
                <w:szCs w:val="20"/>
                <w:color w:val="auto"/>
              </w:rPr>
            </w:pPr>
            <w:r>
              <w:rPr>
                <w:rFonts w:ascii="Arial" w:cs="Arial" w:eastAsia="Arial" w:hAnsi="Arial"/>
                <w:sz w:val="18"/>
                <w:szCs w:val="18"/>
                <w:color w:val="auto"/>
              </w:rPr>
              <w:t>Demand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260" w:type="dxa"/>
            <w:vAlign w:val="bottom"/>
          </w:tcPr>
          <w:p>
            <w:pPr>
              <w:spacing w:after="0"/>
              <w:rPr>
                <w:sz w:val="18"/>
                <w:szCs w:val="18"/>
                <w:color w:val="auto"/>
              </w:rPr>
            </w:pPr>
          </w:p>
        </w:tc>
      </w:tr>
      <w:tr>
        <w:trPr>
          <w:trHeight w:val="216"/>
        </w:trPr>
        <w:tc>
          <w:tcPr>
            <w:tcW w:w="2260" w:type="dxa"/>
            <w:vAlign w:val="bottom"/>
          </w:tcPr>
          <w:p>
            <w:pPr>
              <w:ind w:left="340"/>
              <w:spacing w:after="0"/>
              <w:rPr>
                <w:sz w:val="20"/>
                <w:szCs w:val="20"/>
                <w:color w:val="auto"/>
              </w:rPr>
            </w:pPr>
            <w:r>
              <w:rPr>
                <w:rFonts w:ascii="Arial" w:cs="Arial" w:eastAsia="Arial" w:hAnsi="Arial"/>
                <w:sz w:val="18"/>
                <w:szCs w:val="18"/>
                <w:color w:val="auto"/>
                <w:w w:val="99"/>
              </w:rPr>
              <w:t>Money market accounts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21,964</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16,327</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57,496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2260" w:type="dxa"/>
            <w:vAlign w:val="bottom"/>
          </w:tcPr>
          <w:p>
            <w:pPr>
              <w:spacing w:after="0"/>
              <w:rPr>
                <w:sz w:val="18"/>
                <w:szCs w:val="18"/>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108,232</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83,294</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1,583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36,363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2"/>
              </w:rPr>
              <w:t>Total interest bearing liabilities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144,595</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132,338</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1,756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5"/>
              </w:rPr>
              <w:t>Non-interest bearing deposits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107,481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w w:val="94"/>
              </w:rPr>
              <w:t>Non-interest bearing liabilities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3,941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63,760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Total liabilities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226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327,228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254,406</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income and</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30"/>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spread</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47,978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27,750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2260" w:type="dxa"/>
            <w:vAlign w:val="bottom"/>
          </w:tcPr>
          <w:p>
            <w:pPr>
              <w:spacing w:after="0"/>
              <w:rPr>
                <w:sz w:val="20"/>
                <w:szCs w:val="20"/>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260" w:type="dxa"/>
            <w:vAlign w:val="bottom"/>
          </w:tcPr>
          <w:p>
            <w:pPr>
              <w:spacing w:after="0"/>
              <w:rPr>
                <w:sz w:val="18"/>
                <w:szCs w:val="18"/>
                <w:color w:val="auto"/>
              </w:rPr>
            </w:pPr>
          </w:p>
        </w:tc>
      </w:tr>
      <w:tr>
        <w:trPr>
          <w:trHeight w:val="202"/>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average interest-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earning assets to average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bearing liabilities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2260" w:type="dxa"/>
            <w:vAlign w:val="bottom"/>
          </w:tcPr>
          <w:p>
            <w:pPr>
              <w:spacing w:after="0"/>
              <w:rPr>
                <w:sz w:val="20"/>
                <w:szCs w:val="20"/>
                <w:color w:val="auto"/>
              </w:rPr>
            </w:pPr>
          </w:p>
        </w:tc>
      </w:tr>
      <w:tr>
        <w:trPr>
          <w:trHeight w:val="595"/>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54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Rate/Volume Analysis. </w:t>
      </w:r>
      <w:r>
        <w:rPr>
          <w:rFonts w:ascii="Arial" w:cs="Arial" w:eastAsia="Arial" w:hAnsi="Arial"/>
          <w:sz w:val="19"/>
          <w:szCs w:val="19"/>
          <w:color w:val="auto"/>
        </w:rPr>
        <w:t>The following table sets forth the effects of changing rates and volumes on our net interest income. The</w:t>
      </w:r>
      <w:r>
        <w:rPr>
          <w:rFonts w:ascii="Arial" w:cs="Arial" w:eastAsia="Arial" w:hAnsi="Arial"/>
          <w:sz w:val="19"/>
          <w:szCs w:val="19"/>
          <w:i w:val="1"/>
          <w:iCs w:val="1"/>
          <w:color w:val="auto"/>
        </w:rPr>
        <w:t xml:space="preserve"> </w:t>
      </w:r>
      <w:r>
        <w:rPr>
          <w:rFonts w:ascii="Arial" w:cs="Arial" w:eastAsia="Arial" w:hAnsi="Arial"/>
          <w:sz w:val="19"/>
          <w:szCs w:val="19"/>
          <w:color w:val="auto"/>
        </w:rPr>
        <w:t>rate column shows the effects attributable to changes in rate. The volume column shows the effects attributable to changes in volume. For purposes of this table, changes attributable to changes in both rate and volume that cannot be segregated have been allocated proportionally based on the changes due to rate and the changes due to volume.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ind w:left="180"/>
              <w:spacing w:after="0"/>
              <w:rPr>
                <w:sz w:val="20"/>
                <w:szCs w:val="20"/>
                <w:color w:val="auto"/>
              </w:rPr>
            </w:pPr>
            <w:r>
              <w:rPr>
                <w:rFonts w:ascii="Arial" w:cs="Arial" w:eastAsia="Arial" w:hAnsi="Arial"/>
                <w:sz w:val="18"/>
                <w:szCs w:val="18"/>
                <w:b w:val="1"/>
                <w:bCs w:val="1"/>
                <w:color w:val="auto"/>
                <w:w w:val="95"/>
              </w:rPr>
              <w:t>Years Ended December 31,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3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center"/>
              <w:ind w:right="90"/>
              <w:spacing w:after="0"/>
              <w:rPr>
                <w:sz w:val="20"/>
                <w:szCs w:val="20"/>
                <w:color w:val="auto"/>
              </w:rPr>
            </w:pPr>
            <w:r>
              <w:rPr>
                <w:rFonts w:ascii="Arial" w:cs="Arial" w:eastAsia="Arial" w:hAnsi="Arial"/>
                <w:sz w:val="18"/>
                <w:szCs w:val="18"/>
                <w:b w:val="1"/>
                <w:bCs w:val="1"/>
                <w:color w:val="auto"/>
                <w:w w:val="88"/>
              </w:rPr>
              <w:t>Increase (Decrease) Due to</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jc w:val="right"/>
              <w:ind w:right="430"/>
              <w:spacing w:after="0"/>
              <w:rPr>
                <w:sz w:val="20"/>
                <w:szCs w:val="20"/>
                <w:color w:val="auto"/>
              </w:rPr>
            </w:pPr>
            <w:r>
              <w:rPr>
                <w:rFonts w:ascii="Arial" w:cs="Arial" w:eastAsia="Arial" w:hAnsi="Arial"/>
                <w:sz w:val="18"/>
                <w:szCs w:val="18"/>
                <w:b w:val="1"/>
                <w:bCs w:val="1"/>
                <w:color w:val="auto"/>
              </w:rPr>
              <w:t>Increase (Decrease) Due to</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Volume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3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Interest-bearing deposits with the Federal</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Reserve, non-U.S. central banks and 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1140" w:type="dxa"/>
            <w:vAlign w:val="bottom"/>
          </w:tcPr>
          <w:p>
            <w:pPr>
              <w:spacing w:after="0"/>
              <w:rPr>
                <w:sz w:val="20"/>
                <w:szCs w:val="20"/>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w:t>
            </w:r>
          </w:p>
        </w:tc>
        <w:tc>
          <w:tcPr>
            <w:tcW w:w="1140" w:type="dxa"/>
            <w:vAlign w:val="bottom"/>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6,735</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7,963</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5,765</w:t>
            </w: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w:t>
            </w: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140" w:type="dxa"/>
            <w:vAlign w:val="bottom"/>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Savings</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14,603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7,804</w:t>
            </w:r>
          </w:p>
        </w:tc>
        <w:tc>
          <w:tcPr>
            <w:tcW w:w="1140" w:type="dxa"/>
            <w:vAlign w:val="bottom"/>
          </w:tcPr>
          <w:p>
            <w:pPr>
              <w:spacing w:after="0"/>
              <w:rPr>
                <w:sz w:val="18"/>
                <w:szCs w:val="18"/>
                <w:color w:val="auto"/>
              </w:rPr>
            </w:pPr>
          </w:p>
        </w:tc>
      </w:tr>
      <w:tr>
        <w:trPr>
          <w:trHeight w:val="595"/>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9"/>
              </w:rPr>
              <w:t>55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Provision for Loan Losses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provision for loan losses is a charge to income to bring our ALL to a level deemed appropriate by management and approved by of board of directors. We determine the provision for loan losses monthly in connection with our monthly evaluation of the adequacy of our ALL. For a description of the factors we considered in determining the ALL see “—Principal Factors Affecting Our Financial Condition—Allowance for Loan Losses” and “—Critical Accounting Policies and Estimates—Allowance for Loan Losses.”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provision for loan losses was $8.0 million and $5.2 million for the years ended December 31, 2021 and 2020, respectively. The increase of $2.8 million was primarily due to an overall increase in our provision attributable to Strategic Program lending, which was the result of our decision to increase certain retained Strategic Program loan balances during the period, and an overall increase in our provision attributable to SBA lending, which was the result of our decision to increase SBA 7(a) loan balances during the period.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Noninterest Income</w:t>
      </w:r>
    </w:p>
    <w:p>
      <w:pPr>
        <w:spacing w:after="0" w:line="23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largest portion of our noninterest income is associated with our Strategic Program fees. Other sources of noninterest income include gain on sale of loans, SBA loan servicing fees, change in fair value on investment in BFG and other miscellaneous fees.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for the periods indicated, the major categories of noninterest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For the Years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Noninterest income: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fees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9,689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6,840</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loan servicing fees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2,135</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249.4%</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miscellaneous income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31,844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17,471</w:t>
            </w: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r>
    </w:tbl>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For the year ended December 31, 2021, total noninterest income increased $17.5 million, or 121.6%, to $31.8 million compared to the year ended December 31, 2020. This increase was primarily due to the increase in Strategic Program fees, gain on sale of loans, the change in fair value on investment in BFG, and SBA loan servicing fees. The increase in Strategic Program fees was primarily due to the increase in loan origination volume in the Strategic Program. Strategic Program fees were also positively impacted by the launch of three origination platforms during the year ended December 31, 2021. The increase in gain on sale of loans was primarily due to the increase in the number of SBA 7(a) loans sold during the year ended December 31, 2021. The increase in fair value on investment in BFG was primarily due to BFG’s increased profitability and cash position during and for the year ended December 31, 2021 and the appreciation of its peer companies under the Guideline Public Company valuation method during the same period. The increase in SBA loan servicing fees was primarily due to the increase in SBA 7(a) loans serviced for others during the year.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Noninterest Expense</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Noninterest expense has increased as we have grown and as we have expanded and modernized our operational infrastructure and implemented our plan to build an efficient, technology-driven banking operation with significant capacity for growth.</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for the periods indicated, the major categories of noninterest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For the Years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8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Occupancy and equipment expenses</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SBA servicing asset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Loss on investment in BFG</w:t>
            </w: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29,511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7,762</w:t>
            </w:r>
          </w:p>
        </w:tc>
        <w:tc>
          <w:tcPr>
            <w:tcW w:w="3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bl>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 the year ended December 31, 2021, total noninterest expense increased $7.8 million, or 35.7%, to $29.5 million compared to the year ended December 31, 2020. This increase was primarily due to the increase in salaries and employee benefits and other operating expenses. For the year ended December 31, 2021, salaries and employee benefits increased $5.5 million, or 32.9%, to $22.4 million compared to the year ended December 31, 2020. This increase was primarily due to the increase in the number of employees during the year ended December 31, 2021. The increase in employees during this timeframe coincided with an increase in Strategic Program loan volume and the expansion of our information technology and security division to support enhancements in our infrastructure, and an increase in contractual bonuses paid relating to the expansion of the Strategic Programs in 2021. For the year ended December 31, 2021, other operating expense increased $1.4 million, or 32.8%, to $5.5 million compared to the year ended December 31, 2020. This increase was primarily due to our initiative to develop new and upgrade existing technology, increased third party financial and business process reviews, increased marketing costs, and increased legal and professional fees, all with the intent of supporting of our growth. For the year ended December 31, 2021, an impairment of SBA servicing asset was recognized for $0.8 million due to a softening of the secondary market for SBA 7(a) loans.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Factors Affecting Our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The primary factors we use to evaluate and manage our financial condition include asset quality, capital and liquidity.</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 xml:space="preserve">Asset Quality. </w:t>
      </w:r>
      <w:r>
        <w:rPr>
          <w:rFonts w:ascii="Arial" w:cs="Arial" w:eastAsia="Arial" w:hAnsi="Arial"/>
          <w:sz w:val="22"/>
          <w:szCs w:val="22"/>
          <w:color w:val="auto"/>
        </w:rPr>
        <w:t>We manage the diversification and quality of our assets based on factors that include the level, distribution,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severity and trend of problem, classified, delinquent, nonaccrual, nonperforming and restructured assets, the adequacy of our ALL, the diversification and quality of our loan and investment portfolios, the extent of counterparty risks, credit risk concentrations and other factors.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Capital. </w:t>
      </w:r>
      <w:r>
        <w:rPr>
          <w:rFonts w:ascii="Arial" w:cs="Arial" w:eastAsia="Arial" w:hAnsi="Arial"/>
          <w:sz w:val="22"/>
          <w:szCs w:val="22"/>
          <w:color w:val="auto"/>
        </w:rPr>
        <w:t>Financial institution regulators have established guidelines for minimum capital ratios for banks. As a small bank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holding company, we are expected to be a capital resource to our subsidiary, which is required to be well capitalized. We, however, are not subject to specific capital ratios as a small bank holding company. We manage capital based upon factors that include: (i) the level and quality of capital and our overall financial condition; (ii) the trend and volume of problem assets; (iii) the adequacy of reserves; (iv) the level and quality of earnings; (v) the risk exposures in our balance sheet; (vi) the Community Bank Leverage Ratio; (viii) the state of local and national economic conditions; and (ix) other factors including our asset growth rate, as well as certain liquidity ratios.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 xml:space="preserve">Liquidity. </w:t>
      </w:r>
      <w:r>
        <w:rPr>
          <w:rFonts w:ascii="Arial" w:cs="Arial" w:eastAsia="Arial" w:hAnsi="Arial"/>
          <w:sz w:val="19"/>
          <w:szCs w:val="19"/>
          <w:color w:val="auto"/>
        </w:rPr>
        <w:t>We manage liquidity based on factors that include the amount of core deposits as a percentage of total deposits,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level of Strategic Program held-for-sale loan balances compared to Strategic Program reserve deposit balances, the level of diversification of our funding sources, the allocation and amount of our deposits among deposit types, the short-term funding sources, the amount of non-deposit funding, the availability of unused funding sources, off-balance sheet obligations, the availability of assets to be readily converted into cash without undue loss, the amount of cash, interest earning deposits in other banks and liquid securities we hold, the re-pricing characteristics and maturities of our assets and other factors.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 Portfolio</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ectPr>
          <w:pgSz w:w="11900" w:h="16838" w:orient="portrait"/>
          <w:cols w:equalWidth="0" w:num="1">
            <w:col w:w="11240"/>
          </w:cols>
          <w:pgMar w:left="320" w:top="122" w:right="339" w:bottom="89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95"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SBA 7(a) Loans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originate and service loans partially guaranteed by the SBA under its Section 7(a) loan program. SBA 7(a) loans are made to small businesses and professionals throughout the USA. As of December 31, 2021 and 2020, we had total SBA 7(a) loans of $141.3 million and $96.2 million, respectively, representing 53.2% and 36.7%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SBA Paycheck Protection Program Loans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As an experienced SBA 7(a) lender, we were an active participant in the first round of the PPP, which began in April of 2020 and expired on August 8, 2020. As a result of our efforts, we provided PPP loans to approximately 700 businesses, totaling approximately $126.6 million, for the year ended December 31, 2020. As of December 31, 2021 and 2020, we had total PPP loans of $1.1 million and $107.1 million, respectively, representing 0.4% and 40.9% of our total loans, respectively. The PPP loans also resulted in fees paid by the SBA to the originating bank for processing PPP loans, which fees are accreted into interest income over the life of the applicable loans. If a PPP loan is forgiven or paid off before maturity, the remaining unearned fee is recognized into income at that time. For the year ended December 31, 2020, the Company recognized $0.4 million in PPP-related SBA accelerated deferred loan fees through interest income as a result of PPP loan forgiveness. For the year ended December 31. 2021, the Company recognized a total of $1.8 million in PPP-related accreted fees ($1.5 million of which were accelerated due to loan forgiveness).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amount of deferred fees remained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Commercial, non-real estate</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Commercial non-real estate loans consist of loans and leases made to commercial enterprises that are not secured by real estate. As of December 31, 2021 and December 31, 2020, we had total commercial non-real estate loans of $3.4 million and $4.0 million, respectively, representing 1.3% and 1.5% of our total loans,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Residential real estate</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2021 and December 31, 2020, we had total residential real estate loans of $27.1 million and $17.7 million, respectively, representing 10.2% and 6.8%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Strategic Program loans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through our Strategic Program service providers, issue, on a nationwide basis, unsecured consumer and secured or unsecured business loans to borrowers within certain approved credit profiles. As of December 31, 2021 and December 31, 2020, we had total Strategic Program loans of $85.9 million and $28.3 million, respectively, representing 32.3% and 10.8% of our total loans,</w:t>
      </w:r>
    </w:p>
    <w:p>
      <w:pPr>
        <w:sectPr>
          <w:pgSz w:w="11900" w:h="16838" w:orient="portrait"/>
          <w:cols w:equalWidth="0" w:num="1">
            <w:col w:w="11240"/>
          </w:cols>
          <w:pgMar w:left="320" w:top="122" w:right="339" w:bottom="0" w:gutter="0" w:footer="0" w:header="0"/>
        </w:sectPr>
      </w:pPr>
    </w:p>
    <w:bookmarkStart w:id="68" w:name="page69"/>
    <w:bookmarkEnd w:id="68"/>
    <w:p>
      <w:pPr>
        <w:jc w:val="both"/>
        <w:spacing w:after="0" w:line="247" w:lineRule="auto"/>
        <w:rPr>
          <w:sz w:val="20"/>
          <w:szCs w:val="20"/>
          <w:color w:val="auto"/>
        </w:rPr>
      </w:pPr>
      <w:r>
        <w:rPr>
          <w:rFonts w:ascii="Arial" w:cs="Arial" w:eastAsia="Arial" w:hAnsi="Arial"/>
          <w:sz w:val="21"/>
          <w:szCs w:val="21"/>
          <w:color w:val="auto"/>
        </w:rPr>
        <w:t>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and FinView™ evolves, we may choose to hold more of the funded loans and/or receivables. We reserve the right to sell any portion of funded loans and/or receivables directly to the Strategic Program service providers or other investors. We retain the legal right to service all these loans, but contract with the Strategic Program service provider or another approved sub-servicer to service these loans on our behalf.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Commercial real estate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December 31, 2021 and December 31, 2020, we had total commercial real estate loans of $2.4 million and $2.9 million, respectively, representing 0.9% and 1.1%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Consumer</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December 31, 2021 and December 31, 2020, we had total consumer loans of $4.6 million, and $5.5 million, respectively, representing 1.7% and 2.1%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Loan Portfolio Program Summary</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Through our diversification efforts and FinView™,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 We believe that these efforts helped minimize our exposure to industries severely impacted by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loan portfolio by loan program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As of December 31,</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98"/>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7"/>
                <w:szCs w:val="17"/>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41"/>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loans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20"/>
                <w:szCs w:val="20"/>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loans</w:t>
            </w:r>
          </w:p>
        </w:tc>
        <w:tc>
          <w:tcPr>
            <w:tcW w:w="200" w:type="dxa"/>
            <w:vAlign w:val="bottom"/>
          </w:tcPr>
          <w:p>
            <w:pPr>
              <w:spacing w:after="0"/>
              <w:rPr>
                <w:sz w:val="20"/>
                <w:szCs w:val="20"/>
                <w:color w:val="auto"/>
              </w:rPr>
            </w:pPr>
          </w:p>
        </w:tc>
      </w:tr>
      <w:tr>
        <w:trPr>
          <w:trHeight w:val="216"/>
        </w:trPr>
        <w:tc>
          <w:tcPr>
            <w:tcW w:w="21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3"/>
              </w:rPr>
              <w:t>Commercial, non real estate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4,020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17,740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85,850</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28,265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5,543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265,788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261,777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24" w:lineRule="exact"/>
        <w:rPr>
          <w:sz w:val="20"/>
          <w:szCs w:val="20"/>
          <w:color w:val="auto"/>
        </w:rPr>
      </w:pPr>
    </w:p>
    <w:p>
      <w:pPr>
        <w:ind w:left="5560" w:right="2580" w:hanging="5552"/>
        <w:spacing w:after="0" w:line="897"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 of SBA loans as of December 31, 2021 and December 31, 2020 includes approximately $1.1 million and $107.1 million of PPP loans.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Loan Maturity and Sensitivity to Changes in Interest Rates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December 31, 2021, including the impact of PPP loans, $103.1 million, or 50.3%, of the total held for investment loan balance matures in less than five years. Loans maturing in greater than five years totaled $101.9 million as of December 31, 2021. The variable rate portion of our total held for investment loan portfolio at December 31, 2021 was $163.8 million, or 79.9%. As of December 31, 2020, including the impact of PPP loans, $173.5 million, or 72.1%, of the total held for investment loan balance matures in less than five years. Loans maturing in greater than five years totaled $67.3 million as of December 31, 2020. The variable rate portion of our total held for investment loan portfolio at December 31, 2020 was $107.7 million, or 44.7%. The variable rate portion of the total held for investment loans reflects our strategy to minimize interest rate risk through the use of variable rate products.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tables detail maturities and sensitivity to interest rate changes for our loan portfolio at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8"/>
                <w:szCs w:val="18"/>
                <w:b w:val="1"/>
                <w:bCs w:val="1"/>
                <w:color w:val="auto"/>
                <w:w w:val="93"/>
              </w:rPr>
              <w:t>Remaining Contractual Maturity Held for Investment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After One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Years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and</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Through</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After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One Year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Fifteen</w:t>
            </w: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Fifteen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or Less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Five Years</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6,981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25,102</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r>
      <w:tr>
        <w:trPr>
          <w:trHeight w:val="216"/>
        </w:trPr>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140,643</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22,713</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56,314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59,155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205,040</w:t>
            </w:r>
          </w:p>
        </w:tc>
      </w:tr>
    </w:tbl>
    <w:p>
      <w:pPr>
        <w:spacing w:after="0" w:line="224" w:lineRule="exact"/>
        <w:rPr>
          <w:sz w:val="20"/>
          <w:szCs w:val="20"/>
          <w:color w:val="auto"/>
        </w:rPr>
      </w:pPr>
    </w:p>
    <w:p>
      <w:pPr>
        <w:jc w:val="both"/>
        <w:ind w:firstLine="8"/>
        <w:spacing w:after="0" w:line="229" w:lineRule="auto"/>
        <w:tabs>
          <w:tab w:leader="none" w:pos="20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of SBA fixed rate loans includes approximately $1.1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2021, three PPP loans have been granted maturity date extensions.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Remaining Contractual Maturity Held for Investment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After One</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Years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 and</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Through</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After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One Year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Fifteen</w:t>
            </w: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Fifteen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or Less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Five Years</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86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53,093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107,966</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2,203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6,180</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7,317</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3,226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rate loans: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SBA</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23,009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39,866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26,714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95,351</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86,669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86,858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40,429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240,829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 The amount of SBA fixed rate loans includes approximately $107.1 million of PPP loans.</w:t>
      </w:r>
    </w:p>
    <w:p>
      <w:pPr>
        <w:sectPr>
          <w:pgSz w:w="11900" w:h="16838" w:orient="portrait"/>
          <w:cols w:equalWidth="0" w:num="1">
            <w:col w:w="11240"/>
          </w:cols>
          <w:pgMar w:left="320" w:top="122" w:right="339" w:bottom="598"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598"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Nonperforming Assets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provides information with respect to our nonperforming assets and troubled debt restructurings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50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Nonaccrual loans: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nonperforming loans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831</w:t>
            </w:r>
          </w:p>
        </w:tc>
      </w:tr>
      <w:tr>
        <w:trPr>
          <w:trHeight w:val="216"/>
        </w:trPr>
        <w:tc>
          <w:tcPr>
            <w:tcW w:w="50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accruing loans past due 90 days or more</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Nonaccrual troubled debt restructuring</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troubled debt restructurings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nonaccrual troubled debt restructurings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1,701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 to total loans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nonperforming loans to total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Total nonperforming assets and troubled debt restructurings to total</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w w:val="92"/>
              </w:rPr>
              <w:t>Total nonperforming assets and troubled debt restructurings to total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192"/>
        </w:trPr>
        <w:tc>
          <w:tcPr>
            <w:tcW w:w="500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w w:val="92"/>
              </w:rPr>
              <w:t>Total nonperforming assets and troubled debt restructurings to total</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40"/>
        </w:trPr>
        <w:tc>
          <w:tcPr>
            <w:tcW w:w="500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 xml:space="preserve">assets (less PPP loans) </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See “GAAP Reconciliation and Management Explanation of Non-GAAP Financial Measures” for a reconciliation of this measure to its most comparable GAAP measure.</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total nonperforming assets and troubled debt restructurings at December 31. 2021 were $0.8 million, which represented a reduction of $0.9 million from December 31, 2020. The largest troubled debt restructuring attributable to a single borrower at December 31, 2020 with balance of $0.8 million paid in full including interest in May 2021. Total nonperforming assets at December 31, 2021 were composed of $0.7 million in nonaccrual loans and $0.1 million of troubled debt restructurings. Total nonperforming assets at December 31, 2020 were composed of $0.8 million in nonaccrual loans and $0.9 million of troubled debt restructurings.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do not classify loans that experience insignificant payment delays and payment shortfalls as impaired. We consider an “insignificant period of time” from payment delays to be a period of 90 days or less, or 180 days or less in certain Strategic Programs. We will customarily attempt to provide a modification for a customer experiencing what we consider to be a short-term event that has temporarily impacted cash flow. In those cases, we will review the request to determine if the customer is experiencing cash flow strain and how the event has impacted the ability of the customer to repay in the long term. Short-term modifications are not classified as troubled debt restructurings because they do not meet the definition set by the FDIC or our accounting policy for identifying troubled debt restructurings. The FDIC issued statements in March and April of 2020 that encouraged banks to work with all borrowers, especially those from industry sectors particularly vulnerable to economic volatility. The FDIC clarified that prudent efforts to modify the terms on existing loans for affected customers will not be subject to examiner criticism, and that certain loan modifications made in response to Covid-19 are not troubled debt restructurings.</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dollar amount of short-term modifications of loans held for investment as of December 31, 2021 was $0.5 million, substantially all of which are attributable to our Strategic Program loans.</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dollar amount of short-term modifications of loans held for investment as of December 31, 2020 was $1.2 million. Of this, approximately $0.6 million, or 46.7%, is attributable to our Strategic Program loans, $0.5 million, or 46.5%, is attributable to our SBA 7(a) portfolio, and $0.1 million, or 6.8%, is attributable to our Commercial, non-real estate portfolio.</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Interest income that would have been recorded for the years ended December 31, 2021 and 2020 had nonaccrual loans been current throughout the period amounted to $0.1 million and $0.1 million, respectively.</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Credit Risk Profile</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As an example, at the beginning of the Covid-19 pandemic we analyzed our portfolio to identify loans that were more likely to be vulnerable to the pandemic’s impact. We then proactively opened a dialogue with potentially affected borrowers to assess their needs and provide assistance. Through this process we were able to not only better understand our portfolio risks but were able to intercede with borrowers if needed.</w:t>
      </w:r>
    </w:p>
    <w:p>
      <w:pPr>
        <w:spacing w:after="0" w:line="200" w:lineRule="exact"/>
        <w:rPr>
          <w:sz w:val="20"/>
          <w:szCs w:val="20"/>
          <w:color w:val="auto"/>
        </w:rPr>
      </w:pPr>
    </w:p>
    <w:p>
      <w:pPr>
        <w:spacing w:after="0" w:line="24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sectPr>
          <w:pgSz w:w="11900" w:h="16838" w:orient="portrait"/>
          <w:cols w:equalWidth="0" w:num="1">
            <w:col w:w="11240"/>
          </w:cols>
          <w:pgMar w:left="320" w:top="122" w:right="339" w:bottom="0" w:gutter="0" w:footer="0" w:header="0"/>
        </w:sectPr>
      </w:pPr>
    </w:p>
    <w:bookmarkStart w:id="74" w:name="page75"/>
    <w:bookmarkEnd w:id="74"/>
    <w:p>
      <w:pPr>
        <w:jc w:val="both"/>
        <w:spacing w:after="0"/>
        <w:rPr>
          <w:sz w:val="20"/>
          <w:szCs w:val="20"/>
          <w:color w:val="auto"/>
        </w:rPr>
      </w:pPr>
      <w:r>
        <w:rPr>
          <w:rFonts w:ascii="Arial" w:cs="Arial" w:eastAsia="Arial" w:hAnsi="Arial"/>
          <w:sz w:val="22"/>
          <w:szCs w:val="22"/>
          <w:color w:val="auto"/>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Grade 6: Classified Substandard – A substandard loan has a developing or current weakness or weaknesses that could result in loss or default if deficiencies are not corrected, or adverse conditions arise.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Grade 7: Classified Doubtful – A doubtful loan has an existing weakness or weaknesses that make collection or liquidation in full, on the basis of currently existing facts and conditions, highly questionable and improbable.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presents, as of the period presented, the loan balances by loan program as well as risk rating. No loans were classified as ‘Loss’ grade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As of December 31, 2021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Special</w:t>
            </w:r>
          </w:p>
        </w:tc>
        <w:tc>
          <w:tcPr>
            <w:tcW w:w="14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Doubtful</w:t>
            </w:r>
          </w:p>
        </w:tc>
        <w:tc>
          <w:tcPr>
            <w:tcW w:w="16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27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Grade 6-7</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Grade 8</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1,435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3,382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14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114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114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c>
          <w:tcPr>
            <w:tcW w:w="1140" w:type="dxa"/>
            <w:vAlign w:val="bottom"/>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Not Risk Graded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Strategic Program</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loans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85,850</w:t>
            </w:r>
          </w:p>
        </w:tc>
        <w:tc>
          <w:tcPr>
            <w:tcW w:w="1140" w:type="dxa"/>
            <w:vAlign w:val="bottom"/>
          </w:tcPr>
          <w:p>
            <w:pPr>
              <w:spacing w:after="0"/>
              <w:rPr>
                <w:sz w:val="18"/>
                <w:szCs w:val="18"/>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177,485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c>
          <w:tcPr>
            <w:tcW w:w="1140" w:type="dxa"/>
            <w:vAlign w:val="bottom"/>
          </w:tcPr>
          <w:p>
            <w:pPr>
              <w:spacing w:after="0"/>
              <w:rPr>
                <w:sz w:val="20"/>
                <w:szCs w:val="20"/>
                <w:color w:val="auto"/>
              </w:rPr>
            </w:pPr>
          </w:p>
        </w:tc>
      </w:tr>
      <w:tr>
        <w:trPr>
          <w:trHeight w:val="581"/>
        </w:trPr>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580"/>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7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b w:val="1"/>
                <w:bCs w:val="1"/>
                <w:color w:val="auto"/>
                <w:w w:val="89"/>
              </w:rPr>
              <w:t>As of December 31, 2020</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8"/>
              </w:rPr>
              <w:t>Special</w:t>
            </w:r>
          </w:p>
        </w:tc>
        <w:tc>
          <w:tcPr>
            <w:tcW w:w="140" w:type="dxa"/>
            <w:vAlign w:val="bottom"/>
          </w:tcPr>
          <w:p>
            <w:pPr>
              <w:spacing w:after="0"/>
              <w:rPr>
                <w:sz w:val="17"/>
                <w:szCs w:val="17"/>
                <w:color w:val="auto"/>
              </w:rPr>
            </w:pPr>
          </w:p>
        </w:tc>
        <w:tc>
          <w:tcPr>
            <w:tcW w:w="1440" w:type="dxa"/>
            <w:vAlign w:val="bottom"/>
            <w:gridSpan w:val="3"/>
          </w:tcPr>
          <w:p>
            <w:pPr>
              <w:jc w:val="center"/>
              <w:ind w:right="560"/>
              <w:spacing w:after="0" w:line="198" w:lineRule="exact"/>
              <w:rPr>
                <w:sz w:val="20"/>
                <w:szCs w:val="20"/>
                <w:color w:val="auto"/>
              </w:rPr>
            </w:pPr>
            <w:r>
              <w:rPr>
                <w:rFonts w:ascii="Arial" w:cs="Arial" w:eastAsia="Arial" w:hAnsi="Arial"/>
                <w:sz w:val="18"/>
                <w:szCs w:val="18"/>
                <w:b w:val="1"/>
                <w:bCs w:val="1"/>
                <w:color w:val="auto"/>
                <w:w w:val="88"/>
              </w:rPr>
              <w:t>Classified/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40" w:type="dxa"/>
            <w:vAlign w:val="bottom"/>
          </w:tcPr>
          <w:p>
            <w:pPr>
              <w:spacing w:after="0"/>
              <w:rPr>
                <w:sz w:val="18"/>
                <w:szCs w:val="18"/>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4"/>
              </w:rPr>
              <w:t>Doubtful</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7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40" w:type="dxa"/>
            <w:vAlign w:val="bottom"/>
          </w:tcPr>
          <w:p>
            <w:pPr>
              <w:spacing w:after="0"/>
              <w:rPr>
                <w:sz w:val="20"/>
                <w:szCs w:val="20"/>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3"/>
              </w:rPr>
              <w:t>Grade 6-7</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Grade 8</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200,360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100" w:type="dxa"/>
            <w:vAlign w:val="bottom"/>
            <w:shd w:val="clear" w:color="auto" w:fill="CCEEFF"/>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Commercial, non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16,984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2,892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2,892</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Not Risk Graded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Strategic Program</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loans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28,265</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229,739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261,777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(1) The Strategic Program loan balance includes $60.7 million and $21.0 million of loans classified as held-for-sale as of December 31, 2021 and December 31, 2020,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Allowance for Loan Losses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We have not adopted Financial Accounting Standards Board Accounting Standards Update No. 2016–13, </w:t>
      </w:r>
      <w:r>
        <w:rPr>
          <w:rFonts w:ascii="Arial" w:cs="Arial" w:eastAsia="Arial" w:hAnsi="Arial"/>
          <w:sz w:val="22"/>
          <w:szCs w:val="22"/>
          <w:i w:val="1"/>
          <w:iCs w:val="1"/>
          <w:color w:val="auto"/>
        </w:rPr>
        <w:t>Financial Instruments –</w:t>
      </w:r>
      <w:r>
        <w:rPr>
          <w:rFonts w:ascii="Arial" w:cs="Arial" w:eastAsia="Arial" w:hAnsi="Arial"/>
          <w:sz w:val="22"/>
          <w:szCs w:val="22"/>
          <w:color w:val="auto"/>
        </w:rPr>
        <w:t xml:space="preserve"> </w:t>
      </w:r>
      <w:r>
        <w:rPr>
          <w:rFonts w:ascii="Arial" w:cs="Arial" w:eastAsia="Arial" w:hAnsi="Arial"/>
          <w:sz w:val="22"/>
          <w:szCs w:val="22"/>
          <w:i w:val="1"/>
          <w:iCs w:val="1"/>
          <w:color w:val="auto"/>
        </w:rPr>
        <w:t>Credit Losses (Topic 326)</w:t>
      </w:r>
      <w:r>
        <w:rPr>
          <w:rFonts w:ascii="Arial" w:cs="Arial" w:eastAsia="Arial" w:hAnsi="Arial"/>
          <w:sz w:val="22"/>
          <w:szCs w:val="22"/>
          <w:color w:val="auto"/>
        </w:rPr>
        <w:t>, commonly referred to as the “CECL model,” but plan to adopt the CECL model in the 2023 calendar</w:t>
      </w:r>
      <w:r>
        <w:rPr>
          <w:rFonts w:ascii="Arial" w:cs="Arial" w:eastAsia="Arial" w:hAnsi="Arial"/>
          <w:sz w:val="22"/>
          <w:szCs w:val="22"/>
          <w:i w:val="1"/>
          <w:iCs w:val="1"/>
          <w:color w:val="auto"/>
        </w:rPr>
        <w:t xml:space="preserve"> </w:t>
      </w:r>
      <w:r>
        <w:rPr>
          <w:rFonts w:ascii="Arial" w:cs="Arial" w:eastAsia="Arial" w:hAnsi="Arial"/>
          <w:sz w:val="22"/>
          <w:szCs w:val="22"/>
          <w:color w:val="auto"/>
        </w:rPr>
        <w:t>year.</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ALL,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 when we believe that the collectability of the principal loan balance is unlikely. Subsequent recoveries, if any, are credited to the ALL when received.</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judgment in determining the adequacy of the allowance is inherently subjective as it requires estimates that are susceptible to significant revision as more information becomes available and as situations and information change.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evaluate the ALL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 is reviewed by regulatory examinations and the Company’s auditors.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ALL consists of the following two elements:</w:t>
      </w:r>
    </w:p>
    <w:p>
      <w:pPr>
        <w:spacing w:after="0" w:line="240" w:lineRule="exact"/>
        <w:rPr>
          <w:sz w:val="20"/>
          <w:szCs w:val="20"/>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Specific allowance for identified impaired loans. </w:t>
      </w:r>
      <w:r>
        <w:rPr>
          <w:rFonts w:ascii="Arial" w:cs="Arial" w:eastAsia="Arial" w:hAnsi="Arial"/>
          <w:sz w:val="18"/>
          <w:szCs w:val="18"/>
          <w:color w:val="auto"/>
        </w:rPr>
        <w:t>For such loans that are identified as impaired, an allowance is established when the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(or collateral value if the loan is collateral dependent) or observable market price of the impaired loan are lower than the carrying value of that loan.</w:t>
      </w:r>
    </w:p>
    <w:p>
      <w:pPr>
        <w:spacing w:after="0" w:line="203" w:lineRule="exact"/>
        <w:rPr>
          <w:sz w:val="20"/>
          <w:szCs w:val="20"/>
          <w:color w:val="auto"/>
        </w:rPr>
      </w:pPr>
    </w:p>
    <w:p>
      <w:pPr>
        <w:jc w:val="both"/>
        <w:ind w:left="340"/>
        <w:spacing w:after="0" w:line="236" w:lineRule="auto"/>
        <w:rPr>
          <w:sz w:val="20"/>
          <w:szCs w:val="20"/>
          <w:color w:val="auto"/>
        </w:rPr>
      </w:pPr>
      <w:r>
        <w:rPr>
          <w:rFonts w:ascii="Arial" w:cs="Arial" w:eastAsia="Arial" w:hAnsi="Arial"/>
          <w:sz w:val="22"/>
          <w:szCs w:val="22"/>
          <w:color w:val="auto"/>
        </w:rPr>
        <w:t>Independent appraisals are obtained for all collateral dependent loans deemed impaired when collateral value is expected to exceed $5 thousand net of actual and/or anticipated liquidation-related expenses. After initially measured for impairment, new appraisals are ordered on at least an annual basis for all real estate secured loans deemed impaired. Non-real estate secured loan appraisal values are reevaluated and assessed throughout the year based upon interim changes in collateral and market conditions.</w:t>
      </w:r>
    </w:p>
    <w:p>
      <w:pPr>
        <w:spacing w:after="0" w:line="221" w:lineRule="exact"/>
        <w:rPr>
          <w:sz w:val="20"/>
          <w:szCs w:val="20"/>
          <w:color w:val="auto"/>
        </w:rPr>
      </w:pPr>
    </w:p>
    <w:p>
      <w:pPr>
        <w:jc w:val="both"/>
        <w:ind w:left="340" w:hanging="332"/>
        <w:spacing w:after="0" w:line="27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General valuation allowance. </w:t>
      </w:r>
      <w:r>
        <w:rPr>
          <w:rFonts w:ascii="Arial" w:cs="Arial" w:eastAsia="Arial" w:hAnsi="Arial"/>
          <w:sz w:val="17"/>
          <w:szCs w:val="17"/>
          <w:color w:val="auto"/>
        </w:rPr>
        <w:t>This component represents a valuation allowance on the remainder of the loan portfolio, after excluding impaired loans.</w:t>
      </w:r>
      <w:r>
        <w:rPr>
          <w:rFonts w:ascii="Arial" w:cs="Arial" w:eastAsia="Arial" w:hAnsi="Arial"/>
          <w:sz w:val="17"/>
          <w:szCs w:val="17"/>
          <w:i w:val="1"/>
          <w:iCs w:val="1"/>
          <w:color w:val="auto"/>
        </w:rPr>
        <w:t xml:space="preserve"> </w:t>
      </w:r>
      <w:r>
        <w:rPr>
          <w:rFonts w:ascii="Arial" w:cs="Arial" w:eastAsia="Arial" w:hAnsi="Arial"/>
          <w:sz w:val="17"/>
          <w:szCs w:val="17"/>
          <w:color w:val="auto"/>
        </w:rPr>
        <w:t>For this portion of the allowance, loans are reviewed based on industry, stage and structure and are assigned allowance percentages based on historical loan loss experience for similar loans with similar characteristics and trends adjusted for qualitative factors. Qualitative factors that, in management’s judgment, affect the collectability of the portfolio as of the evaluation date, may include changes in lending policies and procedures; changes in national and local economic and business conditions, including the condition of various market sectors; changes in the nature and volume of the portfolio; changes in the experience, ability and depth of lending management and staff; changes in the volume and severity of past due and classified loans and in the volume of nonaccruals, troubled debt restructurings, and other loan modifications; the existence and effect of any concentrations of credit and changes in the level of such concentrations; and the effect of external factors, such as competition and legal and regulatory requirements, on the level of estimated and inherent credit losses in our current portfolio.</w:t>
      </w:r>
    </w:p>
    <w:p>
      <w:pPr>
        <w:sectPr>
          <w:pgSz w:w="11900" w:h="16838" w:orient="portrait"/>
          <w:cols w:equalWidth="0" w:num="1">
            <w:col w:w="11240"/>
          </w:cols>
          <w:pgMar w:left="320" w:top="11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 was $9.9 million at December 31, 2021 compared to $6.2 million at December 31, 2020, an increase of $3.7 million, or 59.0%. The increase was primarily due to increased retention of Strategic Program loans with higher loss reserving characteristics.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a summary of changes in the ALL for the periods and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For the Year Ended</w:t>
            </w:r>
          </w:p>
        </w:tc>
      </w:tr>
      <w:tr>
        <w:trPr>
          <w:trHeight w:val="241"/>
        </w:trPr>
        <w:tc>
          <w:tcPr>
            <w:tcW w:w="6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ALL: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8,039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 offs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SBA</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Recoveries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4"/>
              </w:rPr>
              <w:t>9,855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Although we believe that we have established our ALL in accordance with GAAP and that the ALL was adequate to provide for known and inherent losses in the portfolio at all times shown above, future provisions for loan losses will be subject to ongoing evaluations of the risks in our loan portfolio.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following table shows the allocation of the ALL among loan categories and certain other information as of the dates indicated. The ALL related to Strategic Programs constitutes 66.5% and 66.3% of the total ALL while comprising 32.3% and 10.8% of total loans as of December 31, 2021 and December 31, 2020, respectively. This reflects the increased credit risks associated with certain retained Strategic Program loans.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b w:val="1"/>
                <w:bCs w:val="1"/>
                <w:color w:val="auto"/>
              </w:rPr>
              <w:t>December 31, 2021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9"/>
              </w:rPr>
              <w:t>% of</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of Loans in</w:t>
            </w:r>
          </w:p>
        </w:tc>
        <w:tc>
          <w:tcPr>
            <w:tcW w:w="16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Category of</w:t>
            </w:r>
          </w:p>
        </w:tc>
      </w:tr>
      <w:tr>
        <w:trPr>
          <w:trHeight w:val="241"/>
        </w:trPr>
        <w:tc>
          <w:tcPr>
            <w:tcW w:w="4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Total Loans</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Loans</w:t>
            </w:r>
          </w:p>
        </w:tc>
        <w:tc>
          <w:tcPr>
            <w:tcW w:w="16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3,428</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85,850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4,574</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265,788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466"/>
        </w:trPr>
        <w:tc>
          <w:tcPr>
            <w:tcW w:w="4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8"/>
                <w:szCs w:val="18"/>
                <w:b w:val="1"/>
                <w:bCs w:val="1"/>
                <w:color w:val="auto"/>
              </w:rPr>
              <w:t>December 31, 2020</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4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9"/>
              </w:rPr>
              <w:t>% of</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 of Loans in</w:t>
            </w:r>
          </w:p>
        </w:tc>
        <w:tc>
          <w:tcPr>
            <w:tcW w:w="16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Category of</w:t>
            </w:r>
          </w:p>
        </w:tc>
      </w:tr>
      <w:tr>
        <w:trPr>
          <w:trHeight w:val="241"/>
        </w:trPr>
        <w:tc>
          <w:tcPr>
            <w:tcW w:w="4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Total Loans</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Loans</w:t>
            </w:r>
          </w:p>
        </w:tc>
        <w:tc>
          <w:tcPr>
            <w:tcW w:w="16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Commercial, non real estate</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4,020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17,740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28,265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5,543</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261,777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following table reflects the ratio of the ALL to nonperforming loan balances, as well as net charge-offs to average loans outstanding by loan category, as of the dates presented. The ratio of net charge-offs to average loans outstanding generally decreased or remained consistent for loan categories in the year ended December 31, 2021 from the year ended December 31, 2020. The decrease in the ratio for Strategic Programs loans was primarily due to increases in average loan balances in the year ended December 31,2021 while the decreases in Commercial, non-real estate and Consumer were primarily due to lower charge-off amounts in the year ended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7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As of December 31,</w:t>
            </w:r>
          </w:p>
        </w:tc>
        <w:tc>
          <w:tcPr>
            <w:tcW w:w="4500" w:type="dxa"/>
            <w:vAlign w:val="bottom"/>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ALL to nonperforming loans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745.7%</w:t>
            </w:r>
          </w:p>
        </w:tc>
        <w:tc>
          <w:tcPr>
            <w:tcW w:w="4500" w:type="dxa"/>
            <w:vAlign w:val="bottom"/>
          </w:tcPr>
          <w:p>
            <w:pPr>
              <w:spacing w:after="0"/>
              <w:rPr>
                <w:sz w:val="18"/>
                <w:szCs w:val="18"/>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4"/>
              </w:rPr>
              <w:t>Net charge-offs to average loans outstanding by loan</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category</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450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45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450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45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4500" w:type="dxa"/>
            <w:vAlign w:val="bottom"/>
          </w:tcPr>
          <w:p>
            <w:pPr>
              <w:spacing w:after="0"/>
              <w:rPr>
                <w:sz w:val="18"/>
                <w:szCs w:val="18"/>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4500" w:type="dxa"/>
            <w:vAlign w:val="bottom"/>
          </w:tcPr>
          <w:p>
            <w:pPr>
              <w:spacing w:after="0"/>
              <w:rPr>
                <w:sz w:val="20"/>
                <w:szCs w:val="20"/>
                <w:color w:val="auto"/>
              </w:rPr>
            </w:pPr>
          </w:p>
        </w:tc>
      </w:tr>
      <w:tr>
        <w:trPr>
          <w:trHeight w:val="581"/>
        </w:trPr>
        <w:tc>
          <w:tcPr>
            <w:tcW w:w="4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692"/>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6"/>
        </w:trPr>
        <w:tc>
          <w:tcPr>
            <w:tcW w:w="40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Interest-Bearing Deposits in Other Banks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interest-bearing deposits in other banks increased to $85.3 million at December 31, 2021 from $47.0 million at December 31, 2020, an increase of $38.3 million, or 81.7%. This increase was primarily due to the net proceeds of $35.6 million from our initial public offering and an increase in loan originations.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Securities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use our securities portfolio to provide a source of liquidity, provide an appropriate return on funds invested, manage interest rate risk, meet collateral requirements and meet regulatory capital requirements.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tables summarize the contractual maturities and weighted average yields of investment securities at December 31, 2021 and December 31, 2020, and the amortized cost of those securities as of the indicated dates.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9"/>
          </w:tcPr>
          <w:p>
            <w:pPr>
              <w:ind w:left="380"/>
              <w:spacing w:after="0"/>
              <w:rPr>
                <w:sz w:val="20"/>
                <w:szCs w:val="20"/>
                <w:color w:val="auto"/>
              </w:rPr>
            </w:pPr>
            <w:r>
              <w:rPr>
                <w:rFonts w:ascii="Arial" w:cs="Arial" w:eastAsia="Arial" w:hAnsi="Arial"/>
                <w:sz w:val="18"/>
                <w:szCs w:val="18"/>
                <w:b w:val="1"/>
                <w:bCs w:val="1"/>
                <w:color w:val="auto"/>
              </w:rPr>
              <w:t>At December 31. 2021</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8"/>
          </w:tcPr>
          <w:p>
            <w:pPr>
              <w:jc w:val="right"/>
              <w:ind w:right="920"/>
              <w:spacing w:after="0"/>
              <w:rPr>
                <w:sz w:val="20"/>
                <w:szCs w:val="20"/>
                <w:color w:val="auto"/>
              </w:rPr>
            </w:pPr>
            <w:r>
              <w:rPr>
                <w:rFonts w:ascii="Arial" w:cs="Arial" w:eastAsia="Arial" w:hAnsi="Arial"/>
                <w:sz w:val="18"/>
                <w:szCs w:val="18"/>
                <w:b w:val="1"/>
                <w:bCs w:val="1"/>
                <w:color w:val="auto"/>
              </w:rPr>
              <w:t>One Year or Less</w:t>
            </w:r>
          </w:p>
        </w:tc>
        <w:tc>
          <w:tcPr>
            <w:tcW w:w="120" w:type="dxa"/>
            <w:vAlign w:val="bottom"/>
          </w:tcPr>
          <w:p>
            <w:pPr>
              <w:spacing w:after="0"/>
              <w:rPr>
                <w:sz w:val="19"/>
                <w:szCs w:val="19"/>
                <w:color w:val="auto"/>
              </w:rPr>
            </w:pPr>
          </w:p>
        </w:tc>
        <w:tc>
          <w:tcPr>
            <w:tcW w:w="2260" w:type="dxa"/>
            <w:vAlign w:val="bottom"/>
            <w:gridSpan w:val="6"/>
          </w:tcPr>
          <w:p>
            <w:pPr>
              <w:ind w:left="80"/>
              <w:spacing w:after="0"/>
              <w:rPr>
                <w:sz w:val="20"/>
                <w:szCs w:val="20"/>
                <w:color w:val="auto"/>
              </w:rPr>
            </w:pPr>
            <w:r>
              <w:rPr>
                <w:rFonts w:ascii="Arial" w:cs="Arial" w:eastAsia="Arial" w:hAnsi="Arial"/>
                <w:sz w:val="18"/>
                <w:szCs w:val="18"/>
                <w:b w:val="1"/>
                <w:bCs w:val="1"/>
                <w:color w:val="auto"/>
              </w:rPr>
              <w:t>After One to Five Years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5"/>
          </w:tcPr>
          <w:p>
            <w:pPr>
              <w:ind w:left="20"/>
              <w:spacing w:after="0" w:line="198" w:lineRule="exact"/>
              <w:rPr>
                <w:sz w:val="20"/>
                <w:szCs w:val="20"/>
                <w:color w:val="auto"/>
              </w:rPr>
            </w:pPr>
            <w:r>
              <w:rPr>
                <w:rFonts w:ascii="Arial" w:cs="Arial" w:eastAsia="Arial" w:hAnsi="Arial"/>
                <w:sz w:val="18"/>
                <w:szCs w:val="18"/>
                <w:b w:val="1"/>
                <w:bCs w:val="1"/>
                <w:color w:val="auto"/>
              </w:rPr>
              <w:t>Amortized</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2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4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0"/>
              </w:rPr>
              <w:t>Average Yield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w:t>
            </w:r>
          </w:p>
        </w:tc>
        <w:tc>
          <w:tcPr>
            <w:tcW w:w="1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Average Yield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6"/>
        </w:trPr>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9"/>
          </w:tcPr>
          <w:p>
            <w:pPr>
              <w:ind w:left="320"/>
              <w:spacing w:after="0"/>
              <w:rPr>
                <w:sz w:val="20"/>
                <w:szCs w:val="20"/>
                <w:color w:val="auto"/>
              </w:rPr>
            </w:pPr>
            <w:r>
              <w:rPr>
                <w:rFonts w:ascii="Arial" w:cs="Arial" w:eastAsia="Arial" w:hAnsi="Arial"/>
                <w:sz w:val="18"/>
                <w:szCs w:val="18"/>
                <w:b w:val="1"/>
                <w:bCs w:val="1"/>
                <w:color w:val="auto"/>
              </w:rPr>
              <w:t>At December 31, 2021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420" w:type="dxa"/>
            <w:vAlign w:val="bottom"/>
          </w:tcPr>
          <w:p>
            <w:pPr>
              <w:spacing w:after="0"/>
              <w:rPr>
                <w:sz w:val="19"/>
                <w:szCs w:val="19"/>
                <w:color w:val="auto"/>
              </w:rPr>
            </w:pPr>
          </w:p>
        </w:tc>
        <w:tc>
          <w:tcPr>
            <w:tcW w:w="2960" w:type="dxa"/>
            <w:vAlign w:val="bottom"/>
            <w:gridSpan w:val="10"/>
          </w:tcPr>
          <w:p>
            <w:pPr>
              <w:jc w:val="right"/>
              <w:ind w:right="280"/>
              <w:spacing w:after="0"/>
              <w:rPr>
                <w:sz w:val="20"/>
                <w:szCs w:val="20"/>
                <w:color w:val="auto"/>
              </w:rPr>
            </w:pPr>
            <w:r>
              <w:rPr>
                <w:rFonts w:ascii="Arial" w:cs="Arial" w:eastAsia="Arial" w:hAnsi="Arial"/>
                <w:sz w:val="18"/>
                <w:szCs w:val="18"/>
                <w:b w:val="1"/>
                <w:bCs w:val="1"/>
                <w:color w:val="auto"/>
                <w:w w:val="94"/>
              </w:rPr>
              <w:t>After Five to Ten Years Weighted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After Ten Years Weighted</w:t>
            </w:r>
          </w:p>
        </w:tc>
        <w:tc>
          <w:tcPr>
            <w:tcW w:w="2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2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0" w:type="dxa"/>
            <w:vAlign w:val="bottom"/>
          </w:tcPr>
          <w:p>
            <w:pPr>
              <w:spacing w:after="0"/>
              <w:rPr>
                <w:sz w:val="18"/>
                <w:szCs w:val="18"/>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3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2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Average Yield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4"/>
              </w:rPr>
              <w:t>9,882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ind w:left="8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2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weighted average yield of investment securities is the sum of all interest that the investments generate, divided by the sum of the book value.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There were no calls, sales or maturities of securities during the years ended December 31, 2021 and December 31, 2020.</w:t>
      </w:r>
    </w:p>
    <w:p>
      <w:pPr>
        <w:spacing w:after="0" w:line="26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At December 31, 2021, there were 13 securities, consisting of five collateralized mortgage obligations and eight mortgage-backed securities. Four of these securities were in gain positions for greater than 12 months and nine of these securities were in an unrealized loss position as of December 31, 2021. There were no unrealized losses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Deposits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Deposits are the major source of funding for the Company, with the exception of the Company’s participation in the PPPLF, which added a significant amount of funding in 2020 (see discussion below in </w:t>
      </w:r>
      <w:r>
        <w:rPr>
          <w:rFonts w:ascii="Arial" w:cs="Arial" w:eastAsia="Arial" w:hAnsi="Arial"/>
          <w:sz w:val="19"/>
          <w:szCs w:val="19"/>
          <w:i w:val="1"/>
          <w:iCs w:val="1"/>
          <w:color w:val="auto"/>
        </w:rPr>
        <w:t>Liquidity and Capital Resources – Liquidity</w:t>
      </w:r>
      <w:r>
        <w:rPr>
          <w:rFonts w:ascii="Arial" w:cs="Arial" w:eastAsia="Arial" w:hAnsi="Arial"/>
          <w:sz w:val="19"/>
          <w:szCs w:val="19"/>
          <w:color w:val="auto"/>
        </w:rPr>
        <w:t xml:space="preserve"> </w:t>
      </w:r>
      <w:r>
        <w:rPr>
          <w:rFonts w:ascii="Arial" w:cs="Arial" w:eastAsia="Arial" w:hAnsi="Arial"/>
          <w:sz w:val="19"/>
          <w:szCs w:val="19"/>
          <w:i w:val="1"/>
          <w:iCs w:val="1"/>
          <w:color w:val="auto"/>
        </w:rPr>
        <w:t>Management</w:t>
      </w:r>
      <w:r>
        <w:rPr>
          <w:rFonts w:ascii="Arial" w:cs="Arial" w:eastAsia="Arial" w:hAnsi="Arial"/>
          <w:sz w:val="19"/>
          <w:szCs w:val="19"/>
          <w:color w:val="auto"/>
        </w:rPr>
        <w:t>). We offer a variety of deposit products including interest and noninterest bearing demand accounts, money market</w:t>
      </w:r>
      <w:r>
        <w:rPr>
          <w:rFonts w:ascii="Arial" w:cs="Arial" w:eastAsia="Arial" w:hAnsi="Arial"/>
          <w:sz w:val="19"/>
          <w:szCs w:val="19"/>
          <w:i w:val="1"/>
          <w:iCs w:val="1"/>
          <w:color w:val="auto"/>
        </w:rPr>
        <w:t xml:space="preserve"> </w:t>
      </w:r>
      <w:r>
        <w:rPr>
          <w:rFonts w:ascii="Arial" w:cs="Arial" w:eastAsia="Arial" w:hAnsi="Arial"/>
          <w:sz w:val="19"/>
          <w:szCs w:val="19"/>
          <w:color w:val="auto"/>
        </w:rPr>
        <w:t>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presents the end of period and average balances and for the periods indicated (average balances have been calculated using daily averages):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3"/>
              </w:rPr>
              <w:t>For the Years Ended December 31,</w:t>
            </w: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9"/>
                <w:szCs w:val="19"/>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i w:val="1"/>
                <w:iCs w:val="1"/>
                <w:color w:val="auto"/>
              </w:rPr>
              <w:t>Period end:</w:t>
            </w:r>
          </w:p>
        </w:tc>
        <w:tc>
          <w:tcPr>
            <w:tcW w:w="4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110,548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5,399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Savings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6,685</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7,435</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31,076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Time certificates of deposit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98,184</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45,312</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period end deposits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251,892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164,476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318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demand deposits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107,481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6,060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Savings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7,897</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6,234</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21,964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Time certificates of deposit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72,311</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57,496</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215,713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163,831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deposits increased to $251.9 million at December 31, 2021 from $164.5 million at December 31, 2020, an increase of $87.4 million, or 53.1%. This increase was primarily due to an increase in certificates of deposit, noninterest-bearing and interest-bearing demand deposits, and money markets.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$163.7 million and $92.2 million for the years ended December 31, 2021 and 2020, respectively. The maturity profile of our uninsured time deposits, those amounts that exceed the FDIC insurance limit, at December 31, 2021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8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Three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More than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six months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More than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months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three months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to twelve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twelve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880" w:type="dxa"/>
            <w:vAlign w:val="bottom"/>
          </w:tcPr>
          <w:p>
            <w:pPr>
              <w:jc w:val="center"/>
              <w:ind w:left="150"/>
              <w:spacing w:after="0"/>
              <w:rPr>
                <w:sz w:val="20"/>
                <w:szCs w:val="20"/>
                <w:color w:val="auto"/>
              </w:rPr>
            </w:pPr>
            <w:r>
              <w:rPr>
                <w:rFonts w:ascii="Arial" w:cs="Arial" w:eastAsia="Arial" w:hAnsi="Arial"/>
                <w:sz w:val="18"/>
                <w:szCs w:val="18"/>
                <w:b w:val="1"/>
                <w:bCs w:val="1"/>
                <w:color w:val="auto"/>
                <w:w w:val="82"/>
              </w:rPr>
              <w:t>or less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to six months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months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Time deposits, uninsured</w:t>
            </w: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595"/>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56"/>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Management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Our primary source of funds to originate new loans (other than the PPPLF program used to fund PPP loans in 2020)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date, depositors of brokered and Institutional Deposits have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regularly evaluate new, core deposit products and in 2020, we launched a deposit product targeted to the needs of our PPP borrowers. We intend to have various term offerings to match our funding needs. Plans for 2022 include marketing commercial checking accounts to selected business customers and expanded roll out of our deposit product targeted to the needs of our SBA borrowers. These accounts offer small business cash management tools including ACH and wire capabilities, competitive interest rates, and personalized customer support. The commercial checking account is expected to be a no-fee based account with emphasis on electronic banking.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22.6% of total assets at December 31, 2021.</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primarily utilize short-term and long-term borrowings to supplement deposits to fund our lending and investment activities, each of which is discussed below. At December 31, 2021, we had the ability to access $10.9 million from the Federal Reserve Bank’s Discount Window on a collateralized basis. Through Zions Bank, the Bank had an available unsecured line available of $1.0 million. The Bank had an available unsecured line of credit with Bankers’ Bank of the West to borrow up to $1.05 million in overnight funds. We also maintain a $4.1 million line of credit with Federal Home Loan Bank, secured by specific pledged loans. We had no outstanding balances on the unsecured or secured lines of credit as of December 31, 2021. In long term borrowings, we had $1.1 million outstanding at December 31, 2021 related to the PPPLF. The PPPLF is secured by pledged PPP loans.</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most liquid assets are cash and cash equivalents. The levels of these assets depend on our operating, financing, lending and investing activities during any given period. At December 31, 2021, liquid assets (defined as cash and due from banks and interest bearing deposits), consisting of cash and due from banks, totaled $85.8 million. We believe that our liquid assets combined with the available lines of credit provide adequate liquidity to meet our current financial obligations for at least the next 12 months.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Capital Resources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Shareholders’ equity increased $69.5 million to $115.4 million at December 31, 2021 compared to $45.9 million at December 31, 2020. The increase in shareholders’ equity was primarily attributable to the net proceeds of $35.6 million from the issuance of 4,025,000 shares of common stock in our IPO and net income recognized of $31.6 million. Stock options exercised, and stock-based compensation increased additional paid-in capital aggregately by approximately $2.4 million.</w:t>
      </w:r>
    </w:p>
    <w:p>
      <w:pPr>
        <w:spacing w:after="0" w:line="17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use several indicators of capital strength. The most commonly used measure is average common equity to average assets, which was 23.1% and 16.0% at December 31, 2021 and 2020, respectively.</w:t>
      </w:r>
    </w:p>
    <w:p>
      <w:pPr>
        <w:sectPr>
          <w:pgSz w:w="11900" w:h="16838" w:orient="portrait"/>
          <w:cols w:equalWidth="0" w:num="1">
            <w:col w:w="11240"/>
          </w:cols>
          <w:pgMar w:left="320" w:top="121" w:right="33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Our return on average equity was 39.2% and 28.4% for the years ended December 31, 2021 and 2020, respectively. Our return on average assets was 9.1% and 4.5% for the years ended December 31, 2021 and 2020, respectively.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as temporarily amended by Section 4012 of the CARES Act, the Bank must maintain a leverage ratio greater than 8% for 2020 and 8.5% for 2021.</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December 31, 2021 and 2020,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regulatory capital ratios for the Bank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6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198"/>
        </w:trPr>
        <w:tc>
          <w:tcPr>
            <w:tcW w:w="48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7"/>
              </w:rPr>
              <w:t>Well-</w:t>
            </w:r>
          </w:p>
        </w:tc>
        <w:tc>
          <w:tcPr>
            <w:tcW w:w="2260" w:type="dxa"/>
            <w:vAlign w:val="bottom"/>
          </w:tcPr>
          <w:p>
            <w:pPr>
              <w:spacing w:after="0"/>
              <w:rPr>
                <w:sz w:val="17"/>
                <w:szCs w:val="17"/>
                <w:color w:val="auto"/>
              </w:rPr>
            </w:pPr>
          </w:p>
        </w:tc>
      </w:tr>
      <w:tr>
        <w:trPr>
          <w:trHeight w:val="216"/>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Capitalized</w:t>
            </w:r>
          </w:p>
        </w:tc>
        <w:tc>
          <w:tcPr>
            <w:tcW w:w="2260" w:type="dxa"/>
            <w:vAlign w:val="bottom"/>
          </w:tcPr>
          <w:p>
            <w:pPr>
              <w:spacing w:after="0"/>
              <w:rPr>
                <w:sz w:val="18"/>
                <w:szCs w:val="18"/>
                <w:color w:val="auto"/>
              </w:rPr>
            </w:pPr>
          </w:p>
        </w:tc>
      </w:tr>
      <w:tr>
        <w:trPr>
          <w:trHeight w:val="241"/>
        </w:trPr>
        <w:tc>
          <w:tcPr>
            <w:tcW w:w="4800" w:type="dxa"/>
            <w:vAlign w:val="bottom"/>
          </w:tcPr>
          <w:p>
            <w:pPr>
              <w:spacing w:after="0"/>
              <w:rPr>
                <w:sz w:val="20"/>
                <w:szCs w:val="20"/>
                <w:color w:val="auto"/>
              </w:rPr>
            </w:pPr>
            <w:r>
              <w:rPr>
                <w:rFonts w:ascii="Arial" w:cs="Arial" w:eastAsia="Arial" w:hAnsi="Arial"/>
                <w:sz w:val="18"/>
                <w:szCs w:val="18"/>
                <w:i w:val="1"/>
                <w:iCs w:val="1"/>
                <w:color w:val="auto"/>
              </w:rPr>
              <w:t>Capital Ratios</w:t>
            </w: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Requirement</w:t>
            </w: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54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6"/>
                <w:szCs w:val="16"/>
                <w:color w:val="auto"/>
              </w:rPr>
              <w:t>8.5%</w:t>
            </w:r>
            <w:r>
              <w:rPr>
                <w:rFonts w:ascii="Arial" w:cs="Arial" w:eastAsia="Arial" w:hAnsi="Arial"/>
                <w:sz w:val="25"/>
                <w:szCs w:val="25"/>
                <w:color w:val="auto"/>
                <w:vertAlign w:val="superscript"/>
              </w:rPr>
              <w:t>(1)</w:t>
            </w:r>
          </w:p>
        </w:tc>
        <w:tc>
          <w:tcPr>
            <w:tcW w:w="2260" w:type="dxa"/>
            <w:vAlign w:val="bottom"/>
          </w:tcPr>
          <w:p>
            <w:pPr>
              <w:spacing w:after="0"/>
              <w:rPr>
                <w:sz w:val="18"/>
                <w:szCs w:val="18"/>
                <w:color w:val="auto"/>
              </w:rPr>
            </w:pP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(1) The Well-Capitalized Requirement for 2020 was 8.0%.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562"/>
        </w:trPr>
        <w:tc>
          <w:tcPr>
            <w:tcW w:w="4800" w:type="dxa"/>
            <w:vAlign w:val="bottom"/>
          </w:tcPr>
          <w:p>
            <w:pPr>
              <w:spacing w:after="0"/>
              <w:rPr>
                <w:sz w:val="24"/>
                <w:szCs w:val="2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6"/>
        </w:trPr>
        <w:tc>
          <w:tcPr>
            <w:tcW w:w="48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One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More</w:t>
            </w:r>
          </w:p>
        </w:tc>
      </w:tr>
      <w:tr>
        <w:trPr>
          <w:trHeight w:val="216"/>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Less than</w:t>
            </w: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Three to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Than Five</w:t>
            </w:r>
          </w:p>
        </w:tc>
      </w:tr>
      <w:tr>
        <w:trPr>
          <w:trHeight w:val="241"/>
        </w:trPr>
        <w:tc>
          <w:tcPr>
            <w:tcW w:w="30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Years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without stated maturity</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6"/>
              </w:rPr>
              <w:t>115,947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98,184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41,567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37,023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19,594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Long term borrowings</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8,717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2,204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3,355</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Balances in this category pertain to the PPPLF and are fully-collateralized with PPP loans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Off-Balance Sheet Items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6"/>
          </w:tcPr>
          <w:p>
            <w:pPr>
              <w:ind w:left="26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4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14,468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Total commitments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16,153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preparation of our consolidated financial statements in accordance with GAAP requires us to make estimates and judgments that affect our reported amounts of assets, liabilities, revenues and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Accounting policies, as described in detail in the notes to our consolidated financial statements, included elsewhere in this Report,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ectPr>
          <w:pgSz w:w="11900" w:h="16838" w:orient="portrait"/>
          <w:cols w:equalWidth="0" w:num="1">
            <w:col w:w="11240"/>
          </w:cols>
          <w:pgMar w:left="320" w:top="121" w:right="339" w:bottom="611"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11"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i w:val="1"/>
          <w:iCs w:val="1"/>
          <w:color w:val="auto"/>
        </w:rPr>
        <w:t xml:space="preserve">Allowance for Loan Losses. </w:t>
      </w:r>
      <w:r>
        <w:rPr>
          <w:rFonts w:ascii="Arial" w:cs="Arial" w:eastAsia="Arial" w:hAnsi="Arial"/>
          <w:sz w:val="19"/>
          <w:szCs w:val="19"/>
          <w:color w:val="auto"/>
        </w:rPr>
        <w:t>The ALL is a valuation allowance for probable incurred credit losses. Loans that are deemed to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uncollectible are charged off and deducted from the ALL. The provision for loan losses and recoveries on loans previously charged off are credited to the ALL. The ALL consists of specific and general components subject to significant judgment and short-term change. The specific component relates to loans that are individually classified as impaired when, based on current information and events, it is probable that the Company will be unable to collect all amounts due according to the contractual terms of the loan agreement. Loans for which the terms have been modified resulting in a concession, and for which the borrower is experiencing financial difficulties, are considered TDRs and classified as impaired.</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general component covers loans that are collectively evaluated for impairment and loans that are not individually identified for impairment evaluation. The general component is based on historical loss experience adjusted for current factors and includes actual loss history experienced for the preceding three fiscal years and the interim period for the current fiscal year. This actual loss experience is supplemented with other qualitative economic factors based on the risks present for each portfolio type. These economic factors include consideration of the following: levels and trends in delinquencies and impaired loans (including TDRs); levels and trends in charge-offs and recoveries, trends in volumes and terms of loans; migration of loans to the classification of special mention, substandard, or doubtful; effects of any change in risk selection and underwriting standards; other changes in lending policies and procedures; national and local economic trends and conditions; and effects of changes in credit concentrations. Generally, our estimate for the ALL does not have significant sensitivity to the changes in the qualitative factors. For a 0.20% increase in the qualitative economic factors assigned by us to each loan category the ALL at December 31, 2021 would have increased by approximately $0.3 million. The Company considered COVID-19 to be the most significant factor the Company uses in the qualitative economic factors estimate of the ALL. The ALL increase associated with the COVID-19 pandemic was $0.7 million as of December 31, 2021 and December 31, 2020.</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These sensitivity analyses do not represent management’s expectations of the deterioration in risk ratings or the increases in loss rates but are provided as hypothetical scenarios to assess the sensitivity of the allowance for loan and lease losses to changes in key inputs. We believe the risk ratings and loss severities currently in use are appropriate.</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estimate the allowance balance required using past loan loss experience, current economic conditions, the nature and volume of the portfolio, information about specific borrower situations, estimated collateral values and other factors. Allocations of the allowance may be made for specific loans, but the entire allowance is available for any loan that, in management’s judgment, should be charged off. Amounts are charged off when available information confirms that specific loans, or portions thereof, are uncollectible. This methodology for determining charge-offs is consistently applied to each group of loans. We group loans into different categories based on loan type to determine the appropriate allowance for each loan group.</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generally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all amounts due in accordance with the contractual terms of the loan agreement, including scheduled interest payments. Impairment is evaluated in total for smaller-balance loans of similar nature, such as Strategic Program loans, and on an individual loan basis for commercial real estate secured and SBA and commercial non-real estate and consumer loans. If a loan or pool of loans is impaired, a portion of the allowance is allocated so that the loan or pool of loans is reported, net of the present value of estimated future cash flows using the loan’s original effective rate or at the fair value of collateral less estimated costs to sell if repayment is expected solely from the collateral. Factors considered in determining impairment include payment status, collateral value and the probability of collecting all amounts when due. Loans that experience insignificant payment delays and payment shortfalls are generally not classified as impaired. We considered the significance of payment delays on a case by case basis, taking into consideration all the circumstances of the loan and borrower, including the length of delay, the reasons for the delay, the borrower’s prior payment record, the amount of the shortfall in relation to principal and interest owed.</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See our consolidated financial statements included elsewhere in this Report and “—Principal Factors Affecting Our Financial Condition—Allowance for Loan Losses” for more information.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 xml:space="preserve">Stock-based Compensation. </w:t>
      </w:r>
      <w:r>
        <w:rPr>
          <w:rFonts w:ascii="Arial" w:cs="Arial" w:eastAsia="Arial" w:hAnsi="Arial"/>
          <w:sz w:val="22"/>
          <w:szCs w:val="22"/>
          <w:color w:val="auto"/>
        </w:rPr>
        <w:t>Our historical and outstanding stock-based compensation awards are described in Note 10 in our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annual consolidated financial statements included elsewhere in this Report.</w:t>
      </w:r>
    </w:p>
    <w:p>
      <w:pPr>
        <w:sectPr>
          <w:pgSz w:w="11900" w:h="16838" w:orient="portrait"/>
          <w:cols w:equalWidth="0" w:num="1">
            <w:col w:w="11240"/>
          </w:cols>
          <w:pgMar w:left="320" w:top="121" w:right="339" w:bottom="436"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6"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We record stock-based compensation in accordance with ASC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xml:space="preserve"> (“ASC 718”) and recognize stock-based compensation expense in the period in which an employee or non-employee is required to provide service, which is generally over the vesting period of the individual stock-based payment award. Compensation expense for awards is recognized over the requisite service period on a straight-line basis and we account for forfeitures as they occur. We classify our awards as equity awards and these awards are valued as of the grant date based upon the underlying stock price and a number of assumptions, including volatility, performance period, risk-free interest rate and expected dividends.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determination of the grant date fair value using an option pricing model is affected principally by our estimated fair value of our common stock and requires us to make a number of other assumptions, including the expected term of the award, the expected volatility of the underlying shares, the risk-free interest rate and the expected dividend yield.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We will continue to use judgment in evaluating the expected volatility, expected terms and interest rates utilized for our stock-based compensation expense calculations on a prospective basis. If any assumptions change, our stock-based compensation expense could be materially different in the future. These assumptions are estimated as follows:</w:t>
      </w:r>
    </w:p>
    <w:p>
      <w:pPr>
        <w:spacing w:after="0" w:line="191"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awards are expected to be outstanding. We calculated the expected term using a</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simplified method, which is based on the vesting period and contractual term for each tranche of awards.</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was based on the historical share volatility of several comparable publicly traded companies over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time equal to the expected term of the awards, as we do not have any trading history to use the volatility of our own common shares. The comparable companies were chosen based on their size, stage in life cycle and area of specialty. We will continue to apply this process until a sufficient amount of historical information regarding the volatility of our own share price becomes available.</w:t>
      </w:r>
    </w:p>
    <w:p>
      <w:pPr>
        <w:spacing w:after="0" w:line="21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rate is based on the U.S. Treasury yield curve in effect at the time of grant for periods corresponding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not paid dividends on our common shares nor do we expect to pay dividends in the foreseeable future.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years ended December 31, 2021 and 2020, stock-based compensation expense was $2.1 million and $1.8 million, respectively. As of December 31, 2021, we had $0.3 million of total unrecognized stock-based compensation costs, which we expect to recognize over an estimated weighted-average period of 2.33 years. We expect to continue to grant options and other stock-based awards in the future, and to the extent that we do, our stock-based compensation expense recognized in future periods will likely increase.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b w:val="1"/>
          <w:bCs w:val="1"/>
          <w:i w:val="1"/>
          <w:iCs w:val="1"/>
          <w:color w:val="auto"/>
        </w:rPr>
        <w:t xml:space="preserve">Fair Value of Common Stock. </w:t>
      </w:r>
      <w:r>
        <w:rPr>
          <w:rFonts w:ascii="Arial" w:cs="Arial" w:eastAsia="Arial" w:hAnsi="Arial"/>
          <w:sz w:val="19"/>
          <w:szCs w:val="19"/>
          <w:color w:val="auto"/>
        </w:rPr>
        <w:t>There was no public market for our common shares prior to the completion of our initial public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offering on November 23, 2021. As such, the estimated fair value of our common shares has previously been determined at each grant date by our board of directors, with input from management, based on the information known to us on the grant date and upon a review of any recent events and their potential impact on the estimated per share fair value of our common shares. As part of these fair value determinations, our board of directors obtained and considered valuation reports prepared by a third-party valuation firm in accordance with the guidance outlined in the American Institute of Certified Public Accountants Accounting and Valuation Guide, </w:t>
      </w:r>
      <w:r>
        <w:rPr>
          <w:rFonts w:ascii="Arial" w:cs="Arial" w:eastAsia="Arial" w:hAnsi="Arial"/>
          <w:sz w:val="19"/>
          <w:szCs w:val="19"/>
          <w:i w:val="1"/>
          <w:iCs w:val="1"/>
          <w:color w:val="auto"/>
        </w:rPr>
        <w:t>Valuation of Privately-Held-Company Equity Securities Issued as Compensation</w:t>
      </w:r>
      <w:r>
        <w:rPr>
          <w:rFonts w:ascii="Arial" w:cs="Arial" w:eastAsia="Arial" w:hAnsi="Arial"/>
          <w:sz w:val="19"/>
          <w:szCs w:val="19"/>
          <w:color w:val="auto"/>
        </w:rPr>
        <w:t>.</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estimating the fair value of our common shares prior to the offering completed on November 23, 2021, multiple factors were considered in selecting an appropriate valuation approach, including, without limitation: (i) does the valuation method reflect our going-concern and/or expected time to liquidity status; (ii) does the valuation method assign value to the junior instruments, unless a future exit scenario is being analyzed whereby no cash is being distributed to the junior instruments based on equity class-specific rights; and (iii) is the method appropriate based on our stage of development at the date of the valuation. The valuation method evaluated and utilized, as appropriate, was the Option Pricing Method, or OPM. The OPM is a forward-looking method that considers our current equity value and was used to allocate our total equity value between common stock and stock options granted considering a continuous distribution of outcomes, rather than focusing on distinct future scenarios.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estimated fair value of our common shares using the OPM given the uncertainty associated with both the timing and type of any future exit scenario and applied an Income Approach and Market Approach. The Income Approach attempts to value an asset or security by estimating the present value of the future economic benefits it is expected to produce. These benefits can include earnings, cost savings, tax deductions, and disposition proceeds from the asset. An indication of value may be developed in this approach by discounting expected cash flows to their present value at a rate of return that incorporates the risk-free rate for the use of funds, the expected rate of inflation over the holding period, and the risks associated with realizing the cash flows in the amounts and at the times projected. The discount rate selected is typically based on rates of return available from alternative investments of similar type and quality as of the valuation date. The most commonly employed income approach to valuation is the discounted cash flow analysis. The Market Approach estimates the value of an asset or security by examining observable market values for similar assets or securities. Sales and offering prices for comparable assets are adjusted to reflect differences between the asset being valued and the comparable assets, such as, location, time and terms of sale, utility, and physical characteristics. When applied to the valuation of equity, the analysis may include consideration of the financial condition and operating performance of the company being valued relative to those of publicly traded companies or to those of companies acquired in a single transaction, which operate in the same or similar lines of business.</w:t>
      </w:r>
    </w:p>
    <w:p>
      <w:pPr>
        <w:sectPr>
          <w:pgSz w:w="11900" w:h="16838" w:orient="portrait"/>
          <w:cols w:equalWidth="0" w:num="1">
            <w:col w:w="11240"/>
          </w:cols>
          <w:pgMar w:left="320" w:top="121" w:right="339" w:bottom="0" w:gutter="0" w:footer="0" w:header="0"/>
        </w:sectPr>
      </w:pPr>
    </w:p>
    <w:bookmarkStart w:id="86" w:name="page87"/>
    <w:bookmarkEnd w:id="86"/>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OPM uses option theory to value securities in light of their respective claims to the enterprise value. Total equity value is allocated based upon a series of call options with strike prices at various value levels depending upon the rights and preferences of type of outstanding share. While the OPM is capable of allocating value across distinct share classes, because we have only a single class of stock, the OPM applied was utilized only to estimate the value allocable between common stock and stock options granted. A Black-Scholes closed form option pricing model is typically employed in this analysis, with an option term assumption that is consistent with expected time to a liquidity event and a volatility assumption based on the estimated stock price volatility of a peer group of comparable public companies over a similar term.</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When estimating our total equity value, we applied both an Income Approach and Market Approach and weighted the results evenly. The Income Approach utilized discounted cash flows using forecasted assumptions of operating income and a discount rate based on the cost of equity. The Market Approach was applied considering a set of guideline comparable companies, known as the Guideline Publicly-Traded Companies Method, or GPTCM. Under the GPTCM, valuation multiples were calculated from the market data and operating metrics of the guideline companies. The selected multiples were evaluated and adjusted based on the characteristics of the Company relative to the comparable companies being analyzed. The selected multiples were ultimately applied to our operating metrics to calculate indications of value. A discount for lack of marketability, or DLOM, was also then applied.</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considered various objective and subjective factors to estimate the fair value of the Company’s equity price per share of each grant date, including the value estimated by a third-party valuation firm. The factors considered by the third-party valuation firm and our board of directors included the following:</w:t>
      </w:r>
    </w:p>
    <w:p>
      <w:pPr>
        <w:spacing w:after="0" w:line="22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capital structure and stage of development;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management team and business strategy;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External market conditions affecting our industry, including competition and regulatory landscape;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position and forecasted operating results;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an active public or private market for our equity shares;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Historical discussions we have had with potential private investors;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sale of the Company or an initial public offering of our equity shares;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performance analyses, including with respect to share price valuation, of similar companies in our industry.</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the assumptions impact our valuations as of each valuation date and may have a material impact on the valuation of our common shares.</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After the completion of our initial public offering on November 23, 2021, it is no longer be necessary for our board of directors to estimate the fair value of our common stock in connection with our accounting for stock-based awards we may grant, as the fair value of our common stock will be determined based on the closing price of our common stock as reported on the date of grant.</w:t>
      </w:r>
    </w:p>
    <w:p>
      <w:pPr>
        <w:spacing w:after="0" w:line="1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i w:val="1"/>
          <w:iCs w:val="1"/>
          <w:color w:val="auto"/>
        </w:rPr>
        <w:t xml:space="preserve">Income Taxes. </w:t>
      </w:r>
      <w:r>
        <w:rPr>
          <w:rFonts w:ascii="Arial" w:cs="Arial" w:eastAsia="Arial" w:hAnsi="Arial"/>
          <w:sz w:val="22"/>
          <w:szCs w:val="22"/>
          <w:color w:val="auto"/>
        </w:rPr>
        <w:t>We account for income taxes under the asset and liability method. Under this method, deferred tax assets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liabilities are determined based on the differences between the financial statement carrying amounts and tax bases of assets and liabilities using enacted tax rates expected to be in effect for the year in which the differences are expected to reverse. Valuation allowances are established when necessary to reduce deferred tax assets to the amounts more likely than not to be realized. Realization of the future tax benefits is dependent on our ability to generate sufficient taxable income within the carryforward period. Because of our recent history of operating losses, management believes that recognition of the deferred tax assets arising from the above-mentioned future tax benefits is not likely to be realized and, accordingly, has provided a full valuation allowance.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more likely than not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Our unrecognized tax benefits, if recognized, would not have an impact on our effective tax rate assuming we continue to maintain a full valuation allowance position. We do not expect our unrecognized tax benefits to change significantly over the next 12 months.</w:t>
      </w:r>
    </w:p>
    <w:p>
      <w:pPr>
        <w:spacing w:after="0" w:line="208" w:lineRule="exact"/>
        <w:rPr>
          <w:sz w:val="20"/>
          <w:szCs w:val="20"/>
          <w:color w:val="auto"/>
        </w:rPr>
      </w:pPr>
    </w:p>
    <w:p>
      <w:pPr>
        <w:jc w:val="both"/>
        <w:ind w:right="580"/>
        <w:spacing w:after="0"/>
        <w:rPr>
          <w:sz w:val="20"/>
          <w:szCs w:val="20"/>
          <w:color w:val="auto"/>
        </w:rPr>
      </w:pPr>
      <w:r>
        <w:rPr>
          <w:rFonts w:ascii="Arial" w:cs="Arial" w:eastAsia="Arial" w:hAnsi="Arial"/>
          <w:sz w:val="22"/>
          <w:szCs w:val="22"/>
          <w:color w:val="auto"/>
        </w:rPr>
        <w:t xml:space="preserve">Our policy is to recognize interest and penalties related to the underpayment of income taxes as a component of income tax expense or benefit. During the years ended December 31, 2021 and 2020, the Company recognized </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interest and penalties.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Reconciliation and Management Explanation of Non-GAAP Financial Measures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Some of the financial measures included in this Report are not measures of financial performance recognized by GAAP. These non-GAAP financial measures are “tangible book value per share,” and “total nonperforming assets and troubled debt restructurings to total assets (less PPP loans).” Our management uses these non-GAAP financial measures in its analysis of our performance.</w:t>
      </w:r>
    </w:p>
    <w:p>
      <w:pPr>
        <w:spacing w:after="0" w:line="219" w:lineRule="exact"/>
        <w:rPr>
          <w:sz w:val="20"/>
          <w:szCs w:val="20"/>
          <w:color w:val="auto"/>
        </w:rPr>
      </w:pPr>
    </w:p>
    <w:p>
      <w:pPr>
        <w:jc w:val="both"/>
        <w:ind w:left="340" w:hanging="332"/>
        <w:spacing w:after="0" w:line="279"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as an intangible asset for purposes of this calculation. As a result, tangible book value per share is the same as book value per share as of each of the dates indicated.</w:t>
      </w:r>
    </w:p>
    <w:p>
      <w:pPr>
        <w:spacing w:after="0" w:line="198"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nonperforming assets and troubled debt restructurings to total assets (less PPP loans)” is defined as the sum of nonperforming assets and troubled debt restructurings divided by total assets minus PPP loans. The most directly comparable GAAP financial measure is the sum of nonperforming assets and troubled debt restructurings to total assets. We believe this measure is important because we believe that PPP loans will not be included in nonperforming assets or troubled debt restructurings since PPP loans are 100% guaranteed by the SBA. We believe that the non-GAAP measure more accurately discloses the proportion of nonperforming assets and troubled debt restructurings to total assets consistently with periods prior to the presence of PPP loans.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believe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measures as a substitute for results determined in accordance with GAAP, and they are not necessarily comparable to non-GAAP financial measures that other companies use. The following table provides a reconciliation of these non-GAAP financial measures to the most closely related GAAP measure.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nonperforming assets and troubled debt restructurings to total assets (less PPP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41"/>
        </w:trPr>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4500" w:type="dxa"/>
            <w:vAlign w:val="bottom"/>
          </w:tcPr>
          <w:p>
            <w:pPr>
              <w:spacing w:after="0"/>
              <w:rPr>
                <w:sz w:val="20"/>
                <w:szCs w:val="20"/>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nonperforming assets and troubled debt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00" w:type="dxa"/>
            <w:vAlign w:val="bottom"/>
          </w:tcPr>
          <w:p>
            <w:pPr>
              <w:spacing w:after="0"/>
              <w:rPr>
                <w:sz w:val="17"/>
                <w:szCs w:val="17"/>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w:t>
            </w:r>
          </w:p>
        </w:tc>
        <w:tc>
          <w:tcPr>
            <w:tcW w:w="4500" w:type="dxa"/>
            <w:vAlign w:val="bottom"/>
          </w:tcPr>
          <w:p>
            <w:pPr>
              <w:spacing w:after="0"/>
              <w:rPr>
                <w:sz w:val="20"/>
                <w:szCs w:val="20"/>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380,214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317,515</w:t>
            </w:r>
          </w:p>
        </w:tc>
        <w:tc>
          <w:tcPr>
            <w:tcW w:w="45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107,145</w:t>
            </w:r>
          </w:p>
        </w:tc>
        <w:tc>
          <w:tcPr>
            <w:tcW w:w="450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Total assets less PPP loans</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379,123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210,370</w:t>
            </w:r>
          </w:p>
        </w:tc>
        <w:tc>
          <w:tcPr>
            <w:tcW w:w="4500" w:type="dxa"/>
            <w:vAlign w:val="bottom"/>
          </w:tcPr>
          <w:p>
            <w:pPr>
              <w:spacing w:after="0"/>
              <w:rPr>
                <w:sz w:val="18"/>
                <w:szCs w:val="18"/>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nonperforming assets and troubled debt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00" w:type="dxa"/>
            <w:vAlign w:val="bottom"/>
          </w:tcPr>
          <w:p>
            <w:pPr>
              <w:spacing w:after="0"/>
              <w:rPr>
                <w:sz w:val="17"/>
                <w:szCs w:val="17"/>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restructurings to total assets (less PPP loans)</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4500" w:type="dxa"/>
            <w:vAlign w:val="bottom"/>
          </w:tcPr>
          <w:p>
            <w:pPr>
              <w:spacing w:after="0"/>
              <w:rPr>
                <w:sz w:val="20"/>
                <w:szCs w:val="20"/>
                <w:color w:val="auto"/>
              </w:rPr>
            </w:pPr>
          </w:p>
        </w:tc>
      </w:tr>
      <w:tr>
        <w:trPr>
          <w:trHeight w:val="596"/>
        </w:trPr>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76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6"/>
        </w:trPr>
        <w:tc>
          <w:tcPr>
            <w:tcW w:w="3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See our consolidated financial statements included elsewhere in this Report for a full description of recent accounting pronouncements, including the respective expected dates of adoption and anticipated effects on our results of operations and financial condition.</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Under the filer category of “smaller reporting company,” as defined in Rule 12b-2 of the Exchange Act, the Company is not required to provide information requested by Part II, Item 7A of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640" w:type="dxa"/>
            <w:vAlign w:val="bottom"/>
            <w:gridSpan w:val="7"/>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80" w:type="dxa"/>
            <w:vAlign w:val="bottom"/>
            <w:gridSpan w:val="5"/>
          </w:tcPr>
          <w:p>
            <w:pPr>
              <w:ind w:left="240"/>
              <w:spacing w:after="0"/>
              <w:rPr>
                <w:sz w:val="20"/>
                <w:szCs w:val="20"/>
                <w:color w:val="auto"/>
              </w:rPr>
            </w:pPr>
            <w:r>
              <w:rPr>
                <w:rFonts w:ascii="Arial" w:cs="Arial" w:eastAsia="Arial" w:hAnsi="Arial"/>
                <w:sz w:val="22"/>
                <w:szCs w:val="22"/>
                <w:b w:val="1"/>
                <w:bCs w:val="1"/>
                <w:color w:val="auto"/>
              </w:rPr>
              <w:t>INDEX TO CONSOLIDATED FINANCIAL STATEMENTS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00" w:type="dxa"/>
            <w:vAlign w:val="bottom"/>
            <w:gridSpan w:val="2"/>
          </w:tcPr>
          <w:p>
            <w:pPr>
              <w:ind w:left="1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92"/>
              </w:rPr>
              <w:t>Report of Independent Registered Public Accounting Firm (PCAOB ID 173)</w:t>
            </w:r>
          </w:p>
        </w:tc>
        <w:tc>
          <w:tcPr>
            <w:tcW w:w="40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560" w:type="dxa"/>
            <w:vAlign w:val="bottom"/>
            <w:gridSpan w:val="8"/>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Consolidated Balance Sheet</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Consolidated Statements of Income</w:t>
              </w:r>
            </w:hyperlink>
          </w:p>
        </w:tc>
        <w:tc>
          <w:tcPr>
            <w:tcW w:w="6980" w:type="dxa"/>
            <w:vAlign w:val="bottom"/>
            <w:tcBorders>
              <w:bottom w:val="single" w:sz="8" w:color="CCEEFF"/>
            </w:tcBorders>
            <w:gridSpan w:val="5"/>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560" w:type="dxa"/>
            <w:vAlign w:val="bottom"/>
            <w:gridSpan w:val="8"/>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Changes in Shareholders’ Equity</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Consolidated Statements of Cash Flows</w:t>
              </w:r>
            </w:hyperlink>
          </w:p>
        </w:tc>
        <w:tc>
          <w:tcPr>
            <w:tcW w:w="6680" w:type="dxa"/>
            <w:vAlign w:val="bottom"/>
            <w:tcBorders>
              <w:bottom w:val="single" w:sz="8" w:color="CCEEFF"/>
            </w:tcBorders>
            <w:gridSpan w:val="4"/>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Notes to Consolidated Financial Statements</w:t>
              </w:r>
            </w:hyperlink>
          </w:p>
        </w:tc>
        <w:tc>
          <w:tcPr>
            <w:tcW w:w="6400" w:type="dxa"/>
            <w:vAlign w:val="bottom"/>
            <w:gridSpan w:val="3"/>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the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FinWise Bancorp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Opinion on the Consolidated Financial Statements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audited the accompanying consolidated balance sheets of FinWise Bancorp and Subsidiary (the “Company”), as of December 31, 2021 and 2020, the related consolidated statements of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for Opinion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Moss Adams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Spokane, Washington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30, 2022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2018.</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FinWise Bancorp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share and par value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85,343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46,978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securities held-to-maturity, at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Federal Home Loan Bank (FHLB) stock, at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Loans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232,074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servicing asset,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3,770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FinWise Investments, LLC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380,214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317,515</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110,548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88,067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251,892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164,476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PPP Liquidity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101,007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264,772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271,643</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Preferred stock, $.001 par value, 4,000,000 authorized; no shares issued and outstanding as of December 31, 2021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$.001 par value, 40,000,000 shares authorized; 12,772,010 and 8,660,334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2021 and December 31,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54,836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115,442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45,872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380,214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317,515</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FinWise Bancorp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Income</w:t>
      </w:r>
    </w:p>
    <w:p>
      <w:pPr>
        <w:jc w:val="center"/>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6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8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Total interest income</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49,243</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29,506</w:t>
            </w:r>
          </w:p>
        </w:tc>
      </w:tr>
      <w:tr>
        <w:trPr>
          <w:trHeight w:val="216"/>
        </w:trPr>
        <w:tc>
          <w:tcPr>
            <w:tcW w:w="8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deposits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Interest on PPP Liquidity Facility</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47,978</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27,750</w:t>
            </w:r>
          </w:p>
        </w:tc>
      </w:tr>
      <w:tr>
        <w:trPr>
          <w:trHeight w:val="216"/>
        </w:trPr>
        <w:tc>
          <w:tcPr>
            <w:tcW w:w="8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8,039</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39,939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22,516</w:t>
            </w:r>
          </w:p>
        </w:tc>
      </w:tr>
      <w:tr>
        <w:trPr>
          <w:trHeight w:val="216"/>
        </w:trPr>
        <w:tc>
          <w:tcPr>
            <w:tcW w:w="8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17,959</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9,591</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 net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31,844</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14,373</w:t>
            </w:r>
          </w:p>
        </w:tc>
      </w:tr>
      <w:tr>
        <w:trPr>
          <w:trHeight w:val="216"/>
        </w:trPr>
        <w:tc>
          <w:tcPr>
            <w:tcW w:w="8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22,365</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16,835</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expenses</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Impairment of SBA servicing asset</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investment in BFG</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5,536</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4,170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29,511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21,749</w:t>
            </w: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42,272</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15,140</w:t>
            </w:r>
          </w:p>
        </w:tc>
      </w:tr>
      <w:tr>
        <w:trPr>
          <w:trHeight w:val="216"/>
        </w:trPr>
        <w:tc>
          <w:tcPr>
            <w:tcW w:w="8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10,689</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3,942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31,583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11,198</w:t>
            </w:r>
          </w:p>
        </w:tc>
      </w:tr>
      <w:tr>
        <w:trPr>
          <w:trHeight w:val="216"/>
        </w:trPr>
        <w:tc>
          <w:tcPr>
            <w:tcW w:w="8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basic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3.44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5"/>
              </w:rPr>
              <w:t>1.29</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Earnings per share, diluted</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3.27</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1.28</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8,669,724</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8,025,390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9,108,163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8,069,634</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FinWise Bancorp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Shareholders’ Equity</w:t>
      </w:r>
    </w:p>
    <w:p>
      <w:pPr>
        <w:jc w:val="center"/>
        <w:spacing w:after="0"/>
        <w:rPr>
          <w:sz w:val="20"/>
          <w:szCs w:val="20"/>
          <w:color w:val="auto"/>
        </w:rPr>
      </w:pPr>
      <w:r>
        <w:rPr>
          <w:rFonts w:ascii="Arial" w:cs="Arial" w:eastAsia="Arial" w:hAnsi="Arial"/>
          <w:sz w:val="22"/>
          <w:szCs w:val="22"/>
          <w:b w:val="1"/>
          <w:bCs w:val="1"/>
          <w:color w:val="auto"/>
        </w:rPr>
        <w:t>(in thousands,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30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46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8,709,756</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$9</w:t>
            </w: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15,274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33,095</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gridSpan w:val="3"/>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 to BFG</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02"/>
        </w:trPr>
        <w:tc>
          <w:tcPr>
            <w:tcW w:w="4620" w:type="dxa"/>
            <w:vAlign w:val="bottom"/>
          </w:tcPr>
          <w:p>
            <w:pPr>
              <w:ind w:left="180"/>
              <w:spacing w:after="0" w:line="201" w:lineRule="exact"/>
              <w:rPr>
                <w:sz w:val="20"/>
                <w:szCs w:val="20"/>
                <w:color w:val="auto"/>
              </w:rPr>
            </w:pPr>
            <w:r>
              <w:rPr>
                <w:rFonts w:ascii="Arial" w:cs="Arial" w:eastAsia="Arial" w:hAnsi="Arial"/>
                <w:sz w:val="18"/>
                <w:szCs w:val="18"/>
                <w:color w:val="auto"/>
              </w:rPr>
              <w:t>Repurchase of restricted stock to pay for employee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withholding taxes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(73,770)</w:t>
            </w:r>
          </w:p>
        </w:tc>
        <w:tc>
          <w:tcPr>
            <w:tcW w:w="920" w:type="dxa"/>
            <w:vAlign w:val="bottom"/>
          </w:tcPr>
          <w:p>
            <w:pPr>
              <w:spacing w:after="0"/>
              <w:rPr>
                <w:sz w:val="20"/>
                <w:szCs w:val="20"/>
                <w:color w:val="auto"/>
              </w:rPr>
            </w:pPr>
          </w:p>
        </w:tc>
        <w:tc>
          <w:tcPr>
            <w:tcW w:w="580" w:type="dxa"/>
            <w:vAlign w:val="bottom"/>
            <w:gridSpan w:val="3"/>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34,776</w:t>
            </w:r>
          </w:p>
        </w:tc>
        <w:tc>
          <w:tcPr>
            <w:tcW w:w="9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(10,428)</w:t>
            </w:r>
          </w:p>
        </w:tc>
        <w:tc>
          <w:tcPr>
            <w:tcW w:w="920" w:type="dxa"/>
            <w:vAlign w:val="bottom"/>
          </w:tcPr>
          <w:p>
            <w:pPr>
              <w:spacing w:after="0"/>
              <w:rPr>
                <w:sz w:val="18"/>
                <w:szCs w:val="18"/>
                <w:color w:val="auto"/>
              </w:rPr>
            </w:pPr>
          </w:p>
        </w:tc>
        <w:tc>
          <w:tcPr>
            <w:tcW w:w="580" w:type="dxa"/>
            <w:vAlign w:val="bottom"/>
            <w:gridSpan w:val="3"/>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8,660,334</w:t>
            </w:r>
          </w:p>
        </w:tc>
        <w:tc>
          <w:tcPr>
            <w:tcW w:w="920" w:type="dxa"/>
            <w:vAlign w:val="bottom"/>
          </w:tcPr>
          <w:p>
            <w:pPr>
              <w:spacing w:after="0"/>
              <w:rPr>
                <w:sz w:val="20"/>
                <w:szCs w:val="20"/>
                <w:color w:val="auto"/>
              </w:rPr>
            </w:pPr>
            <w:r>
              <w:rPr>
                <w:rFonts w:ascii="Arial" w:cs="Arial" w:eastAsia="Arial" w:hAnsi="Arial"/>
                <w:sz w:val="18"/>
                <w:szCs w:val="18"/>
                <w:b w:val="1"/>
                <w:bCs w:val="1"/>
                <w:color w:val="auto"/>
              </w:rPr>
              <w:t>$9</w:t>
            </w:r>
          </w:p>
        </w:tc>
        <w:tc>
          <w:tcPr>
            <w:tcW w:w="5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16,853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29,010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45,872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4,025,000</w:t>
            </w:r>
          </w:p>
        </w:tc>
        <w:tc>
          <w:tcPr>
            <w:tcW w:w="9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35,572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35,576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86,676</w:t>
            </w:r>
          </w:p>
        </w:tc>
        <w:tc>
          <w:tcPr>
            <w:tcW w:w="9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580" w:type="dxa"/>
            <w:vAlign w:val="bottom"/>
            <w:gridSpan w:val="3"/>
          </w:tcPr>
          <w:p>
            <w:pPr>
              <w:jc w:val="right"/>
              <w:ind w:right="2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31,583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31,583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12,772,010</w:t>
            </w: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54,836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60,593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115,442</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FinWise Bancorp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For the Years Ended December</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amortization in securities discounts and premiums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Capitalized servicing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SBA loans,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Originations of Strategic Program loans held-for-sale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(6,335,194)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(2,312,697)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on Strategic Program loans held-for-sale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6,295,394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2,316,858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BFG</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(2,991)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SBA servicing asset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investment in BFG</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changes in: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19,585</w:t>
            </w: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(decrease) in loans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(128,734)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loan pools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FinWise Investments, LLC</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Distributions from BFG</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bank premises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maturities and paydowns of securities held-to-maturity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securities held-to-maturity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FHLB stock</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(130,216)</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increase in deposits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87,416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22,455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initial public offering,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PPP Liquidity Facility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115,975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Repayment of PPP Liquidity Facility</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(105,515)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(14,968)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restricted stock to pay for employee withholding taxes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123,235</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47,383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47,383</w:t>
            </w: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3,329</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Summary of Significant Accounting Policies</w:t>
      </w: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Nature of business and organization – </w:t>
      </w:r>
      <w:r>
        <w:rPr>
          <w:rFonts w:ascii="Arial" w:cs="Arial" w:eastAsia="Arial" w:hAnsi="Arial"/>
          <w:sz w:val="22"/>
          <w:szCs w:val="22"/>
          <w:color w:val="auto"/>
        </w:rPr>
        <w:t>FinWise Bancorp is a Utah Corporation headquartered in Murray, Utah and operates all</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activities through its wholly-owned banking subsidiary, FinWise Bank, dba Utah Community Bank. Utah Community Bank was incorporated in the state of Utah on May 7, 1999. All West Bancorp was incorporated in the state of Utah on October 22, 2002, after which, it acquired 100% of Utah Community Bank. As of March 4, 2016, Utah Community Bank’s articles of incorporation were amended to rename the entity FinWise Bank. As of March 15, 2021, All West Bancorp’s articles of incorporation were amended and restated to rename the entity FinWise Bancorp. References herein to “FinWise Bancorp,” “Bancorp” or the “holding company,” refer to FinWise Bancorp on a standalone basis. The word “Company” refers to FinWise Bancorp and FinWise Bank collectively and on a consolidated basis. References to the “Bank” refer to FinWise Bank on a standalone basis.</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July 15, 2021, the Company publicly filed a Registration Statement on Form S-1 with the U.S. Securities and Exchange Commission (“SEC”) in connection with its Initial Public Offering (“IPO”) (the “Registration Statement”), which was subsequently amended on July 30, 2021, August 4, 2021, November 1, 2021, and November 16, 2021. The Registration Statement was declared effective by the SEC on November 18, 2021. In connection with the IPO, the Company issued 4,025,000 shares of common stock, par value of $0.001, which included 525,000 shares sold pursuant to the underwriters’ exercise of their option to purchase additional shares. The securities were sold to the public at a price of $10.50 per share and began trading on the Nasdaq Stock Market LLC on November 19, 2021. On November 23, 2021, the closing date of the IPO, the Company received total net proceeds of $39.3 million. The net proceeds less other related expenses, including audit fees, legal fees, listing fees, and other expenses, totaled $35.6 million.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Bank is an independent bank that provides a full range of banking services to individual and corporate customers. The Bank’s primary source of revenue is from loans including Small Business Administration (SBA), commercial, commercial real estate, residential real estate, and consumer.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subject to competition from other financial institutions and to the regulations of certain federal and state agencies and undergoes periodic examinations by those agencies.</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Stock split and changes in authorized shares – </w:t>
      </w:r>
      <w:r>
        <w:rPr>
          <w:rFonts w:ascii="Arial" w:cs="Arial" w:eastAsia="Arial" w:hAnsi="Arial"/>
          <w:sz w:val="19"/>
          <w:szCs w:val="19"/>
          <w:color w:val="auto"/>
        </w:rPr>
        <w:t>On July 26, 2021, the Board of Directors declared a six-for-one stock split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issued and outstanding shares of common stock, which was effective on July 26, 2021. Accordingly, except for the amount of authorized shares, all references to share and per share amounts for the periods presented in the condensed consolidated financial statements and accompanying notes to the condensed consolidated financial statements have been retroactively restated to reflect this stock split. As a subsequent event, effective as of July 28, 2021, authorized capital stock was increased to 44,000,000 shares of capital stock, consisting of (i) 40,000,000 shares of common stock, par value $0.001 per share, and (ii) 4,000,000 shares of Preferred Stock, par value $0.001 per share.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 xml:space="preserve">COVID-19 – </w:t>
      </w:r>
      <w:r>
        <w:rPr>
          <w:rFonts w:ascii="Arial" w:cs="Arial" w:eastAsia="Arial" w:hAnsi="Arial"/>
          <w:sz w:val="21"/>
          <w:szCs w:val="21"/>
          <w:color w:val="auto"/>
        </w:rPr>
        <w:t>On March 11, 2020, the World Health Organization declared COVID-19 to be a global pandemic. Local and</w:t>
      </w:r>
      <w:r>
        <w:rPr>
          <w:rFonts w:ascii="Arial" w:cs="Arial" w:eastAsia="Arial" w:hAnsi="Arial"/>
          <w:sz w:val="21"/>
          <w:szCs w:val="21"/>
          <w:b w:val="1"/>
          <w:bCs w:val="1"/>
          <w:color w:val="auto"/>
        </w:rPr>
        <w:t xml:space="preserve"> </w:t>
      </w:r>
      <w:r>
        <w:rPr>
          <w:rFonts w:ascii="Arial" w:cs="Arial" w:eastAsia="Arial" w:hAnsi="Arial"/>
          <w:sz w:val="21"/>
          <w:szCs w:val="21"/>
          <w:color w:val="auto"/>
        </w:rPr>
        <w:t>national governments and regulatory authorities have systematically implemented remedial measures to try to slow and curb the spread of COVID-19, including business closures and operating restrictions, travel bans, shelter in place, stay home, and similar directives and orders. In response to the COVID-19 pandemic and in adherence with state and local guidelines, the Company has implemented the business continuity plan and other measures and activities to protect the Company’s employees and, at the same time, to assist the Company’s clients and the communities of which the Company is a part, including remote working for the majority of the Company’s employees, increased mobile banking and electronic transaction options for clients, payment deferral assistance to commercial and consumer borrowers, and participation in the SBA’s Paycheck Protection Program (“PPP”) for loans to qualifying small businesses.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 March 22, 2020, the 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(“FASB”) staff that the federal banking agencies concluded that short-term modifications (e.g., six months) made on a good faith basis to borrowers who were current as of the implementation date of a relief program are not troubled debt restructurings (“TDRs”).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Coronavirus Aid, Relief and Economic Security (“CARES”) Act was passed by Congress on March 27, 2020. The CARES Act also addressed COVID-19 related modifications and specified that COVID-19 related modifications on loans that were current as of December 31, 2019 are not TDRs. The Bank has applied this guidance related to payment deferrals and other COVID-19 related loan modifications.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CARES Act also included a total allocation of $659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1.00%. PPP loans originated prior to June 5, 2020 have a term of two years, while PPP loans originated on or after June 5, 2020 have a term of five years. Payments are deferred for at least the first six months of the loan and the loans are 100% guaranteed by the SBA. The SBA pays the originating bank a processing fee ranging from 1% to 5%, based on the size of the loan. During the year ended December 31, 2020, the Company originated 700</w:t>
      </w:r>
    </w:p>
    <w:p>
      <w:pPr>
        <w:spacing w:after="0" w:line="5" w:lineRule="exact"/>
        <w:rPr>
          <w:sz w:val="20"/>
          <w:szCs w:val="20"/>
          <w:color w:val="auto"/>
        </w:rPr>
      </w:pPr>
    </w:p>
    <w:p>
      <w:pPr>
        <w:jc w:val="both"/>
        <w:ind w:firstLine="8"/>
        <w:spacing w:after="0" w:line="243" w:lineRule="auto"/>
        <w:tabs>
          <w:tab w:leader="none" w:pos="439" w:val="left"/>
        </w:tabs>
        <w:numPr>
          <w:ilvl w:val="0"/>
          <w:numId w:val="31"/>
        </w:numPr>
        <w:rPr>
          <w:rFonts w:ascii="Arial" w:cs="Arial" w:eastAsia="Arial" w:hAnsi="Arial"/>
          <w:sz w:val="21"/>
          <w:szCs w:val="21"/>
          <w:color w:val="auto"/>
        </w:rPr>
      </w:pPr>
      <w:r>
        <w:rPr>
          <w:rFonts w:ascii="Arial" w:cs="Arial" w:eastAsia="Arial" w:hAnsi="Arial"/>
          <w:sz w:val="21"/>
          <w:szCs w:val="21"/>
          <w:color w:val="auto"/>
        </w:rPr>
        <w:t>loans for a total principal amount of $126.6 million. At December 31, 2020, net deferred loan fees related to PPP loans totaled $1.9 million, which will be recognized over the life of the loans and as borrowers are granted forgiveness. Participation in the PPP will likely have a positive impact on the Company’s financial position and results of operations as this fee income is recognized over the term of the PPP loans. As of December 31, 2020, PPP borrowers have applied for and received forgiveness from the SBA for $19.3 million of PPP loan principal and have made $0.2 million of principal payments leaving $107.1 million of PPP loan principal outstanding. The loan forgiveness resulted in an acceleration of deferred loan fees of $0.4 million for the year ended December 31, 2020. As of December 31, 2021, PPP borrowers have applied for and received forgiveness from the SBA for $125.2 million of PPP loan principal and have made $0.3 million of principal payments leaving $1.1 million of PPP loan principal outstanding. The loan forgiveness resulted in an acceleration of deferred loan fees of $1.5 million for the year ended December 31, 2021.</w:t>
      </w:r>
    </w:p>
    <w:p>
      <w:pPr>
        <w:spacing w:after="0" w:line="20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b w:val="1"/>
          <w:bCs w:val="1"/>
          <w:color w:val="auto"/>
        </w:rPr>
        <w:t xml:space="preserve">Principles of consolidation </w:t>
      </w:r>
      <w:r>
        <w:rPr>
          <w:rFonts w:ascii="Arial" w:cs="Arial" w:eastAsia="Arial" w:hAnsi="Arial"/>
          <w:sz w:val="19"/>
          <w:szCs w:val="19"/>
          <w:color w:val="auto"/>
        </w:rPr>
        <w:t>– The consolidated financial statements include the accounts of FinWise Bancorp and its wholly-owned subsidiary, FinWise Bank. All significant inter-company balances and transactions have been eliminated in consolidation.</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Significant concentrations of credit risk </w:t>
      </w:r>
      <w:r>
        <w:rPr>
          <w:rFonts w:ascii="Arial" w:cs="Arial" w:eastAsia="Arial" w:hAnsi="Arial"/>
          <w:sz w:val="22"/>
          <w:szCs w:val="22"/>
          <w:color w:val="auto"/>
        </w:rPr>
        <w:t>– All of the Company’s activities are with customers located throughout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The Company has concentrations in SBA loans, Strategic Program loans, and residential real estate loans. Accordingly, their ultimate collectability is particularly susceptible to changes in market conditions.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2021 and 2020, the Company analyzed its exposure to credit risks and concluded that no significant exposure exists from such concentrations of credit risks.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Use of estimates </w:t>
      </w:r>
      <w:r>
        <w:rPr>
          <w:rFonts w:ascii="Arial" w:cs="Arial" w:eastAsia="Arial" w:hAnsi="Arial"/>
          <w:sz w:val="21"/>
          <w:szCs w:val="21"/>
          <w:color w:val="auto"/>
        </w:rPr>
        <w:t>– In preparing the consolidated financial statements in accordance with Generally Accepted Accounting</w:t>
      </w:r>
      <w:r>
        <w:rPr>
          <w:rFonts w:ascii="Arial" w:cs="Arial" w:eastAsia="Arial" w:hAnsi="Arial"/>
          <w:sz w:val="21"/>
          <w:szCs w:val="21"/>
          <w:b w:val="1"/>
          <w:bCs w:val="1"/>
          <w:color w:val="auto"/>
        </w:rPr>
        <w:t xml:space="preserve"> </w:t>
      </w:r>
      <w:r>
        <w:rPr>
          <w:rFonts w:ascii="Arial" w:cs="Arial" w:eastAsia="Arial" w:hAnsi="Arial"/>
          <w:sz w:val="21"/>
          <w:szCs w:val="21"/>
          <w:color w:val="auto"/>
        </w:rPr>
        <w:t>Principles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sectPr>
          <w:pgSz w:w="11900" w:h="16838" w:orient="portrait"/>
          <w:cols w:equalWidth="0" w:num="1">
            <w:col w:w="11240"/>
          </w:cols>
          <w:pgMar w:left="320" w:top="121"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Material estimates that are particularly susceptible to significant changes in the near term relate to the determination of the allowance for loan losses (ALL), the determination of the fair value of certain financial instruments, deferred income tax assets and stock-based compensation.</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Management believes the ALL is adequate. While management uses currently available information to recognize losses on loans, future additions to the allowance may be necessary based on economic conditions and individual credit deterioration.</w:t>
      </w:r>
    </w:p>
    <w:p>
      <w:pPr>
        <w:spacing w:after="0" w:line="12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Reclassifications </w:t>
      </w:r>
      <w:r>
        <w:rPr>
          <w:rFonts w:ascii="Arial" w:cs="Arial" w:eastAsia="Arial" w:hAnsi="Arial"/>
          <w:sz w:val="22"/>
          <w:szCs w:val="22"/>
          <w:color w:val="auto"/>
        </w:rPr>
        <w:t>– Certain amounts in the prior years’ financial statements have been reclassified to conform to the current</w:t>
      </w:r>
      <w:r>
        <w:rPr>
          <w:rFonts w:ascii="Arial" w:cs="Arial" w:eastAsia="Arial" w:hAnsi="Arial"/>
          <w:sz w:val="22"/>
          <w:szCs w:val="22"/>
          <w:b w:val="1"/>
          <w:bCs w:val="1"/>
          <w:color w:val="auto"/>
        </w:rPr>
        <w:t xml:space="preserve"> </w:t>
      </w:r>
      <w:r>
        <w:rPr>
          <w:rFonts w:ascii="Arial" w:cs="Arial" w:eastAsia="Arial" w:hAnsi="Arial"/>
          <w:sz w:val="22"/>
          <w:szCs w:val="22"/>
          <w:color w:val="auto"/>
        </w:rPr>
        <w:t>year’s presentation.</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Cash and cash equivalents </w:t>
      </w:r>
      <w:r>
        <w:rPr>
          <w:rFonts w:ascii="Arial" w:cs="Arial" w:eastAsia="Arial" w:hAnsi="Arial"/>
          <w:sz w:val="22"/>
          <w:szCs w:val="22"/>
          <w:color w:val="auto"/>
        </w:rPr>
        <w:t>– The Company considers all highly liquid debt instruments with an original maturity of three</w:t>
      </w:r>
      <w:r>
        <w:rPr>
          <w:rFonts w:ascii="Arial" w:cs="Arial" w:eastAsia="Arial" w:hAnsi="Arial"/>
          <w:sz w:val="22"/>
          <w:szCs w:val="22"/>
          <w:b w:val="1"/>
          <w:bCs w:val="1"/>
          <w:color w:val="auto"/>
        </w:rPr>
        <w:t xml:space="preserve"> </w:t>
      </w:r>
      <w:r>
        <w:rPr>
          <w:rFonts w:ascii="Arial" w:cs="Arial" w:eastAsia="Arial" w:hAnsi="Arial"/>
          <w:sz w:val="22"/>
          <w:szCs w:val="22"/>
          <w:color w:val="auto"/>
        </w:rPr>
        <w:t>months or less (including cash, amounts due from depository institutions, interest-bearing deposits in other banks, and federal funds sold) to be cash equivalents.</w:t>
      </w:r>
    </w:p>
    <w:p>
      <w:pPr>
        <w:spacing w:after="0" w:line="21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maintains its cash in deposit accounts that, at times, may exceed federally insured limits. The Company has not experienced any losses in such accounts and believes it is not exposed to any significant credit risk on cash and 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 xml:space="preserve">Investment securities </w:t>
      </w:r>
      <w:r>
        <w:rPr>
          <w:rFonts w:ascii="Arial" w:cs="Arial" w:eastAsia="Arial" w:hAnsi="Arial"/>
          <w:sz w:val="19"/>
          <w:szCs w:val="19"/>
          <w:color w:val="auto"/>
        </w:rPr>
        <w:t>– Debt securities that management has the positive intent and ability to hold to maturity are classified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“held-to-maturity” and recorded at amortized cost. Securities not classified as held-to-maturity are classified as “available for sale” and recorded at fair value, with unrealized gains and losses excluded from earnings and reported in other comprehensive income. The Company did not hold any available for sale securities at December 31, 2021 or 2020.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When the estimated fair value of a security is lower than the book value, a security is considered temporarily impaired. On a quarterly basis, the Company evaluates any securities in a loss position to determine whether the impairment is other-than-temporary. If there is intent to sell the security, or if the Company will be required to sell the security, or if the Company believes it will not recover the entire cost basis of the security, the security is other-than-temporarily impaired (“OTTI”) and impairment is recognized. The amount of impairment resulting from credit loss is recognized in earnings and impairment related to all other factors, such as general market conditions, is recognized in AOCI in the case of securities classified as available for sale.</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Management considers a number of factors in its analysis of whether a decline in a security’s estimated fair value is OTTI. Certain factors considered include, but are not limited to: (a) the length of time and the extent to which the security has been in an unrealized loss position, (b) changes in the financial condition of the issuer, (c) the payment structure of debt securities, (d) adverse changes in ratings issued by rating agencies, (e) and the intent and ability of the Company to hold the security for a period of time sufficient to allow for any anticipated recovery in fair value.</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Purchased premiums and discounts on debt securities are amortized or accreted over the terms of the securities using the effective-yield method. Gains and losses on the sale of securities are recorded on the trade date and are determined using the specific identification method.</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i w:val="1"/>
          <w:iCs w:val="1"/>
          <w:color w:val="auto"/>
        </w:rPr>
        <w:t xml:space="preserve">Equity method investments – </w:t>
      </w:r>
      <w:r>
        <w:rPr>
          <w:rFonts w:ascii="Arial" w:cs="Arial" w:eastAsia="Arial" w:hAnsi="Arial"/>
          <w:sz w:val="21"/>
          <w:szCs w:val="21"/>
          <w:color w:val="auto"/>
        </w:rPr>
        <w:t>Ownership interests in entities for which the Company has significant influence that are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9, Investments, for a discussion about the Company’s investment in BFG.</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Investment in Federal Home Loan Banks (“FHLB”) stock </w:t>
      </w:r>
      <w:r>
        <w:rPr>
          <w:rFonts w:ascii="Arial" w:cs="Arial" w:eastAsia="Arial" w:hAnsi="Arial"/>
          <w:sz w:val="21"/>
          <w:szCs w:val="21"/>
          <w:color w:val="auto"/>
        </w:rPr>
        <w:t>– FHLB stock are required investments based on the level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sectPr>
          <w:pgSz w:w="11900" w:h="16838" w:orient="portrait"/>
          <w:cols w:equalWidth="0" w:num="1">
            <w:col w:w="11240"/>
          </w:cols>
          <w:pgMar w:left="320" w:top="121" w:right="339" w:bottom="193"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3"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Loans held-for-sale </w:t>
      </w:r>
      <w:r>
        <w:rPr>
          <w:rFonts w:ascii="Arial" w:cs="Arial" w:eastAsia="Arial" w:hAnsi="Arial"/>
          <w:sz w:val="21"/>
          <w:szCs w:val="21"/>
          <w:color w:val="auto"/>
        </w:rPr>
        <w:t>– While the Company sells the vast majority of the loans funded in its Strategic Programs shortly after</w:t>
      </w:r>
      <w:r>
        <w:rPr>
          <w:rFonts w:ascii="Arial" w:cs="Arial" w:eastAsia="Arial" w:hAnsi="Arial"/>
          <w:sz w:val="21"/>
          <w:szCs w:val="21"/>
          <w:b w:val="1"/>
          <w:bCs w:val="1"/>
          <w:color w:val="auto"/>
        </w:rPr>
        <w:t xml:space="preserve"> </w:t>
      </w:r>
      <w:r>
        <w:rPr>
          <w:rFonts w:ascii="Arial" w:cs="Arial" w:eastAsia="Arial" w:hAnsi="Arial"/>
          <w:sz w:val="21"/>
          <w:szCs w:val="21"/>
          <w:color w:val="auto"/>
        </w:rPr>
        <w:t>origination, the Company may choose to retain a portion of the funded loans and/or receivables. The loans and/or receivables the Company intends to sell are carried at lower of cost or estimated fair value in the aggregate. Net unrealized losses are recognized in a valuation allowance by charges to income. Origination fees, net of certain direct costs associated with originating these loans, are recognized in other income when the loans are sold.</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Loans receivable </w:t>
      </w:r>
      <w:r>
        <w:rPr>
          <w:rFonts w:ascii="Arial" w:cs="Arial" w:eastAsia="Arial" w:hAnsi="Arial"/>
          <w:sz w:val="21"/>
          <w:szCs w:val="21"/>
          <w:color w:val="auto"/>
        </w:rPr>
        <w:t>– Loans receivable are reported at their outstanding principal adjusted for any charge-offs, the ALL, and</w:t>
      </w:r>
      <w:r>
        <w:rPr>
          <w:rFonts w:ascii="Arial" w:cs="Arial" w:eastAsia="Arial" w:hAnsi="Arial"/>
          <w:sz w:val="21"/>
          <w:szCs w:val="21"/>
          <w:b w:val="1"/>
          <w:bCs w:val="1"/>
          <w:color w:val="auto"/>
        </w:rPr>
        <w:t xml:space="preserve"> </w:t>
      </w:r>
      <w:r>
        <w:rPr>
          <w:rFonts w:ascii="Arial" w:cs="Arial" w:eastAsia="Arial" w:hAnsi="Arial"/>
          <w:sz w:val="21"/>
          <w:szCs w:val="21"/>
          <w:color w:val="auto"/>
        </w:rPr>
        <w:t>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requires most loans to be substantially collateralized by real estate, equipment, vehicles, accounts receivable, inventories or other tangible or intangible assets. Real estate collateral is in the form of first and second mortgages on various types of property. The Company also originates unsecured loans to consumers and businesses.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may change intent from holding loans for investment and reclassify them as held-for-sale. Loans held-for-sale are carried at the lower of aggregate cost and fair value. Gains and losses are recorded in non-interest income based on the difference between sales proceeds and carrying value.</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Allowance for loan losses </w:t>
      </w:r>
      <w:r>
        <w:rPr>
          <w:rFonts w:ascii="Arial" w:cs="Arial" w:eastAsia="Arial" w:hAnsi="Arial"/>
          <w:sz w:val="21"/>
          <w:szCs w:val="21"/>
          <w:color w:val="auto"/>
        </w:rPr>
        <w:t>– The ALL consists of specific and general components. The specific component relates to impaired</w:t>
      </w:r>
      <w:r>
        <w:rPr>
          <w:rFonts w:ascii="Arial" w:cs="Arial" w:eastAsia="Arial" w:hAnsi="Arial"/>
          <w:sz w:val="21"/>
          <w:szCs w:val="21"/>
          <w:b w:val="1"/>
          <w:bCs w:val="1"/>
          <w:color w:val="auto"/>
        </w:rPr>
        <w:t xml:space="preserve"> </w:t>
      </w:r>
      <w:r>
        <w:rPr>
          <w:rFonts w:ascii="Arial" w:cs="Arial" w:eastAsia="Arial" w:hAnsi="Arial"/>
          <w:sz w:val="21"/>
          <w:szCs w:val="21"/>
          <w:color w:val="auto"/>
        </w:rPr>
        <w:t>loans as defined by GAAP. For such loans that are classified as impaired, an allowance is established when the discounted cash flows, or the fair value of the collateral if the loan is collateral dependent, of the impaired loan is lower than the carrying value of that loan. The general component covers all loans not classified as impaired and is based on historical loss experience and general economic factors, adjusted for qualitative risk factors, both internal and external to the Company. The general component is calculated separately for each risk category.</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ALL represents the Company’s estimate of probable and estimable losses inherent to the loan portfolio as of the balance sheet date. Losses are charged to the ALL when recognized. Generally, loans are charged off or charged down at the point at which they are determined to be uncollectible in whole or in part unless the loan is well secured and in the process of collection. The Company establishes the amount of the ALL by loan type, at least quarterly, and the Company adjusts the provision for loan losses so the ALL is at an appropriate level at the balance sheet date.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determines ALL as the best estimate within a range of estimated losses. The methodologies the Company uses to estimate the ALL depend upon the impairment status and risk category of the loan. After applying historic loss experience, as described above, the Company reviews the quantitatively derived level of ALL for each category using qualitative criteria. The Company tracks various risk factors that influence the judgment regarding the level of the ALL across the risk categories. Risk factors include changes in national, regional, and local economic conditions that affect the borrowers’ business, delinquency, and charge off trends, and data from peer groups, among others. The Company reviews changes in these factors to ensure that changes in the level of the ALL are directionally consistent with changes in these factors.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Nonaccrual loans </w:t>
      </w:r>
      <w:r>
        <w:rPr>
          <w:rFonts w:ascii="Arial" w:cs="Arial" w:eastAsia="Arial" w:hAnsi="Arial"/>
          <w:sz w:val="19"/>
          <w:szCs w:val="19"/>
          <w:color w:val="auto"/>
        </w:rPr>
        <w:t>– The Company’s policy is to place loans on a nonaccrual status when: 1) payment is in default for 90 days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Impaired loans </w:t>
      </w:r>
      <w:r>
        <w:rPr>
          <w:rFonts w:ascii="Arial" w:cs="Arial" w:eastAsia="Arial" w:hAnsi="Arial"/>
          <w:sz w:val="19"/>
          <w:szCs w:val="19"/>
          <w:color w:val="auto"/>
        </w:rPr>
        <w:t>– Loans are considered impaired when, based on current information and events; it is probable that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unable to collect all amounts due in accordance with the contractual terms of the loan agreement, including scheduled interest payments. When a loan is impaired, the Company estimates a specific reserve for the loan based on the fair value of the loan’s underlying collateral, less the cost to sell, or the projected present value of future cash flows. Payments received on impaired loans that are accruing are recognized in interest income, according to the contractual loan agreement. Payments received on impaired loans that are on nonaccrual status are not recognized in interest income but are applied as a reduction of the outstanding principal. Payments are recognized when cash is received.</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Troubled debt restructurings (TDR) </w:t>
      </w:r>
      <w:r>
        <w:rPr>
          <w:rFonts w:ascii="Arial" w:cs="Arial" w:eastAsia="Arial" w:hAnsi="Arial"/>
          <w:sz w:val="22"/>
          <w:szCs w:val="22"/>
          <w:color w:val="auto"/>
        </w:rPr>
        <w:t>– Loans may be modified in the normal course of business for competitive reasons or to</w:t>
      </w:r>
      <w:r>
        <w:rPr>
          <w:rFonts w:ascii="Arial" w:cs="Arial" w:eastAsia="Arial" w:hAnsi="Arial"/>
          <w:sz w:val="22"/>
          <w:szCs w:val="22"/>
          <w:b w:val="1"/>
          <w:bCs w:val="1"/>
          <w:color w:val="auto"/>
        </w:rPr>
        <w:t xml:space="preserve"> </w:t>
      </w:r>
      <w:r>
        <w:rPr>
          <w:rFonts w:ascii="Arial" w:cs="Arial" w:eastAsia="Arial" w:hAnsi="Arial"/>
          <w:sz w:val="22"/>
          <w:szCs w:val="22"/>
          <w:color w:val="auto"/>
        </w:rPr>
        <w:t>strengthen the Company’s position. Loan modifications and restructurings may also occur when the borrower experiences financial difficulty and needs temporary or permanent relief from the original contractual terms of the loan. These modifications are structured on a loan-by-loan basis and, depending on the circumstances, may include extended payment terms, a modified interest rate, forgiveness of principal, or other concessions. Loans that have been modified to accommodate a borrower who is experiencing financial difficulties, and for which the Company has granted a concession that it would not otherwise consider, are considered a TDR.</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considers many factors in determining whether to agree to a loan modification involving concessions, and seeks a solution that will both minimize potential loss to the Company and attempt to help the borrower. The Company evaluates borrowers’ current and forecasted future cash flows, their ability and willingness to make current contractual or proposed modified payments, the value of the underlying collateral, the possibility of obtaining additional security or guarantees, and the potential costs related to a repossession or foreclosure and the subsequent sale of the collateral.</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TDRs may be classified as either accrual or nonaccrual loans. A loan on nonaccrual status and restructured as a TDR will remain on nonaccrual status until the borrower has proven the ability to perform under the modified structure for a minimum of six months, and there is evidence that such payments can and are likely to continue as agreed.</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Performance prior to the restructuring, or significant events that coincide with the restructuring, are included in assessing whether the borrower can meet the new terms and may result in the loan being returned to accrual status at the time of restructuring or after a shorter performance period. If the borrower’s ability to meet the revised payment schedule is uncertain, the loan remains classified as a nonaccrual loan.</w:t>
      </w:r>
    </w:p>
    <w:p>
      <w:pPr>
        <w:spacing w:after="0" w:line="20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Premises and equipment, net </w:t>
      </w:r>
      <w:r>
        <w:rPr>
          <w:rFonts w:ascii="Arial" w:cs="Arial" w:eastAsia="Arial" w:hAnsi="Arial"/>
          <w:sz w:val="19"/>
          <w:szCs w:val="19"/>
          <w:color w:val="auto"/>
        </w:rPr>
        <w:t>– Premises and equipment are stated at cost less accumulated depreciation. Depreciation included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operating expense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Income taxes </w:t>
      </w:r>
      <w:r>
        <w:rPr>
          <w:rFonts w:ascii="Arial" w:cs="Arial" w:eastAsia="Arial" w:hAnsi="Arial"/>
          <w:sz w:val="22"/>
          <w:szCs w:val="22"/>
          <w:color w:val="auto"/>
        </w:rPr>
        <w:t>– Deferred income tax assets and deferred income tax liabilities represent the tax effect of temporary differences</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 xml:space="preserve">Transfer of financial assets </w:t>
      </w:r>
      <w:r>
        <w:rPr>
          <w:rFonts w:ascii="Arial" w:cs="Arial" w:eastAsia="Arial" w:hAnsi="Arial"/>
          <w:sz w:val="21"/>
          <w:szCs w:val="21"/>
          <w:color w:val="auto"/>
        </w:rPr>
        <w:t>– Transfers of financial assets are accounted for as sales, when control over the assets has been</w:t>
      </w:r>
      <w:r>
        <w:rPr>
          <w:rFonts w:ascii="Arial" w:cs="Arial" w:eastAsia="Arial" w:hAnsi="Arial"/>
          <w:sz w:val="21"/>
          <w:szCs w:val="21"/>
          <w:b w:val="1"/>
          <w:bCs w:val="1"/>
          <w:color w:val="auto"/>
        </w:rPr>
        <w:t xml:space="preserve"> </w:t>
      </w:r>
      <w:r>
        <w:rPr>
          <w:rFonts w:ascii="Arial" w:cs="Arial" w:eastAsia="Arial" w:hAnsi="Arial"/>
          <w:sz w:val="21"/>
          <w:szCs w:val="21"/>
          <w:color w:val="auto"/>
        </w:rPr>
        <w:t>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SBA servicing asset, net </w:t>
      </w:r>
      <w:r>
        <w:rPr>
          <w:rFonts w:ascii="Arial" w:cs="Arial" w:eastAsia="Arial" w:hAnsi="Arial"/>
          <w:sz w:val="21"/>
          <w:szCs w:val="21"/>
          <w:color w:val="auto"/>
        </w:rPr>
        <w:t>– Servicing assets are recognized as separate assets when servicing rights are acquired through sale of</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sectPr>
          <w:pgSz w:w="11900" w:h="16838" w:orient="portrait"/>
          <w:cols w:equalWidth="0" w:num="1">
            <w:col w:w="11240"/>
          </w:cols>
          <w:pgMar w:left="320" w:top="121" w:right="339" w:bottom="436"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6"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 xml:space="preserve">Revenue from contracts with customers </w:t>
      </w:r>
      <w:r>
        <w:rPr>
          <w:rFonts w:ascii="Arial" w:cs="Arial" w:eastAsia="Arial" w:hAnsi="Arial"/>
          <w:sz w:val="19"/>
          <w:szCs w:val="19"/>
          <w:color w:val="auto"/>
        </w:rPr>
        <w:t>– The Company applies the provisions of ASC 606,</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Revenue from Contracts with</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Customers </w:t>
      </w:r>
      <w:r>
        <w:rPr>
          <w:rFonts w:ascii="Arial" w:cs="Arial" w:eastAsia="Arial" w:hAnsi="Arial"/>
          <w:sz w:val="19"/>
          <w:szCs w:val="19"/>
          <w:color w:val="auto"/>
        </w:rPr>
        <w:t>(“ASC 606”). The core principle of this standard is that a company should recognize revenue to depict the transfer of</w:t>
      </w:r>
      <w:r>
        <w:rPr>
          <w:rFonts w:ascii="Arial" w:cs="Arial" w:eastAsia="Arial" w:hAnsi="Arial"/>
          <w:sz w:val="19"/>
          <w:szCs w:val="19"/>
          <w:i w:val="1"/>
          <w:iCs w:val="1"/>
          <w:color w:val="auto"/>
        </w:rPr>
        <w:t xml:space="preserve"> </w:t>
      </w:r>
      <w:r>
        <w:rPr>
          <w:rFonts w:ascii="Arial" w:cs="Arial" w:eastAsia="Arial" w:hAnsi="Arial"/>
          <w:sz w:val="19"/>
          <w:szCs w:val="19"/>
          <w:color w:val="auto"/>
        </w:rPr>
        <w:t>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Stock-based compensation </w:t>
      </w:r>
      <w:r>
        <w:rPr>
          <w:rFonts w:ascii="Arial" w:cs="Arial" w:eastAsia="Arial" w:hAnsi="Arial"/>
          <w:sz w:val="19"/>
          <w:szCs w:val="19"/>
          <w:color w:val="auto"/>
        </w:rPr>
        <w:t>– The Company accounts for all stock-based awards to employees and non-employees,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grants of stock options and restricted stock awards, based on their respective grant date fair values. The Company estimates the fair value of stock option grants using the Black-Scholes option pricing model. Restricted stock awards are valued based on the fair value of the Company’s common stock on the date of grant. The assumptions used in calculating the fair value of stock-based awards represent management’s best estimates and involve inherent uncertainties and the application of management’s judgment. The Company expenses stock-based compensation related to stock options and restricted stock over the requisite service period. The Company accounts for forfeitures of stock–based awards as they occur. Stock-based compensation expense pertaining to employees is included in salaries and employee benefits on the income statement. Stock-based compensation expense related to directors and consultants is included in other operating expenses on the income statement.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Earnings per share (“EPS”) </w:t>
      </w:r>
      <w:r>
        <w:rPr>
          <w:rFonts w:ascii="Arial" w:cs="Arial" w:eastAsia="Arial" w:hAnsi="Arial"/>
          <w:sz w:val="22"/>
          <w:szCs w:val="22"/>
          <w:color w:val="auto"/>
        </w:rPr>
        <w:t>– Basic EPS is computed by dividing net earnings allocated to common shareholders by the</w:t>
      </w:r>
      <w:r>
        <w:rPr>
          <w:rFonts w:ascii="Arial" w:cs="Arial" w:eastAsia="Arial" w:hAnsi="Arial"/>
          <w:sz w:val="22"/>
          <w:szCs w:val="22"/>
          <w:b w:val="1"/>
          <w:bCs w:val="1"/>
          <w:color w:val="auto"/>
        </w:rPr>
        <w:t xml:space="preserve"> </w:t>
      </w:r>
      <w:r>
        <w:rPr>
          <w:rFonts w:ascii="Arial" w:cs="Arial" w:eastAsia="Arial" w:hAnsi="Arial"/>
          <w:sz w:val="22"/>
          <w:szCs w:val="22"/>
          <w:color w:val="auto"/>
        </w:rPr>
        <w:t>weighted average number of common shares outstanding. Diluted EPS is computed by dividing net earnings allocated to common shareholders by the weighted 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two-class method is used to determine earnings per share based on participation rights of participating securities in any undistributed earnings. Each unvested restricted share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 xml:space="preserve">Off-balance sheet instruments </w:t>
      </w:r>
      <w:r>
        <w:rPr>
          <w:rFonts w:ascii="Arial" w:cs="Arial" w:eastAsia="Arial" w:hAnsi="Arial"/>
          <w:sz w:val="19"/>
          <w:szCs w:val="19"/>
          <w:color w:val="auto"/>
        </w:rPr>
        <w:t>– In the ordinary course of business, the Company has entered into off-balance sheet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management’s credit evaluation of the party. The commitments are collateralized by the same types of assets used as loan collateral.</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Segment reporting </w:t>
      </w:r>
      <w:r>
        <w:rPr>
          <w:rFonts w:ascii="Arial" w:cs="Arial" w:eastAsia="Arial" w:hAnsi="Arial"/>
          <w:sz w:val="19"/>
          <w:szCs w:val="19"/>
          <w:color w:val="auto"/>
        </w:rPr>
        <w:t>– The Company operates as one operating segment. Operating segments are defined as components of an</w:t>
      </w:r>
      <w:r>
        <w:rPr>
          <w:rFonts w:ascii="Arial" w:cs="Arial" w:eastAsia="Arial" w:hAnsi="Arial"/>
          <w:sz w:val="19"/>
          <w:szCs w:val="19"/>
          <w:b w:val="1"/>
          <w:bCs w:val="1"/>
          <w:color w:val="auto"/>
        </w:rPr>
        <w:t xml:space="preserve"> </w:t>
      </w:r>
      <w:r>
        <w:rPr>
          <w:rFonts w:ascii="Arial" w:cs="Arial" w:eastAsia="Arial" w:hAnsi="Arial"/>
          <w:sz w:val="19"/>
          <w:szCs w:val="19"/>
          <w:color w:val="auto"/>
        </w:rPr>
        <w:t>enterprise for which separate financial information is evaluated regularly by the chief operating decision maker (“CODM”), consisting of the Company’s chief executive officer, in deciding how to allocate resources and assess the Company’s financial and operational performance. In addition, the Company’s CODM evaluates the Company’s financial information and resources and assesses the performance of these resources on a consolidated basis. As a result, management has determined that the Company’s business operates in a single operating segment. Since the Company operates as one operating segment, all required financial segment information can be found in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pronouncements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In August 2018, the FASB issued ASU 2018-13, </w:t>
      </w:r>
      <w:r>
        <w:rPr>
          <w:rFonts w:ascii="Arial" w:cs="Arial" w:eastAsia="Arial" w:hAnsi="Arial"/>
          <w:sz w:val="22"/>
          <w:szCs w:val="22"/>
          <w:i w:val="1"/>
          <w:iCs w:val="1"/>
          <w:color w:val="auto"/>
        </w:rPr>
        <w:t>Fair Value Measurement (Topic 820), - Disclosure Framework - Changes to the</w:t>
      </w:r>
      <w:r>
        <w:rPr>
          <w:rFonts w:ascii="Arial" w:cs="Arial" w:eastAsia="Arial" w:hAnsi="Arial"/>
          <w:sz w:val="22"/>
          <w:szCs w:val="22"/>
          <w:color w:val="auto"/>
        </w:rPr>
        <w:t xml:space="preserve"> </w:t>
      </w:r>
      <w:r>
        <w:rPr>
          <w:rFonts w:ascii="Arial" w:cs="Arial" w:eastAsia="Arial" w:hAnsi="Arial"/>
          <w:sz w:val="22"/>
          <w:szCs w:val="22"/>
          <w:i w:val="1"/>
          <w:iCs w:val="1"/>
          <w:color w:val="auto"/>
        </w:rPr>
        <w:t>Disclosure Requirements for Fair Value Measurement</w:t>
      </w:r>
      <w:r>
        <w:rPr>
          <w:rFonts w:ascii="Arial" w:cs="Arial" w:eastAsia="Arial" w:hAnsi="Arial"/>
          <w:sz w:val="22"/>
          <w:szCs w:val="22"/>
          <w:color w:val="auto"/>
        </w:rPr>
        <w:t>, which makes a number of changes meant to add, modify or remove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 requirements associated with the movement amongst or hierarchy associated with Level 1, Level 2 and Level 3 fair value measurements. On January 1, 2020, the Company adopted this guidance, which did not have a material impact on the Company’s consolidated financial statements.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pronouncements to be adopted</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In February 2016, the FASB issued ASU 2016-02, </w:t>
      </w:r>
      <w:r>
        <w:rPr>
          <w:rFonts w:ascii="Arial" w:cs="Arial" w:eastAsia="Arial" w:hAnsi="Arial"/>
          <w:sz w:val="19"/>
          <w:szCs w:val="19"/>
          <w:i w:val="1"/>
          <w:iCs w:val="1"/>
          <w:color w:val="auto"/>
        </w:rPr>
        <w:t>Leases (Topic 842)</w:t>
      </w:r>
      <w:r>
        <w:rPr>
          <w:rFonts w:ascii="Arial" w:cs="Arial" w:eastAsia="Arial" w:hAnsi="Arial"/>
          <w:sz w:val="19"/>
          <w:szCs w:val="19"/>
          <w:color w:val="auto"/>
        </w:rPr>
        <w:t xml:space="preserve">, to increase transparency and comparability among organizations by, among other provisions, recognizing lease assets and lease liabilities on the balance sheet for those leases classified as operating leases under previous GAAP.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guidance was initially effective for fiscal years beginning after December 15, 2020, and interim periods within fiscal years beginning after December 15, 2021. However, the FASB issued ASU 2020-05, </w:t>
      </w:r>
      <w:r>
        <w:rPr>
          <w:rFonts w:ascii="Arial" w:cs="Arial" w:eastAsia="Arial" w:hAnsi="Arial"/>
          <w:sz w:val="19"/>
          <w:szCs w:val="19"/>
          <w:i w:val="1"/>
          <w:iCs w:val="1"/>
          <w:color w:val="auto"/>
        </w:rPr>
        <w:t>Revenue from</w:t>
      </w:r>
      <w:r>
        <w:rPr>
          <w:rFonts w:ascii="Arial" w:cs="Arial" w:eastAsia="Arial" w:hAnsi="Arial"/>
          <w:sz w:val="19"/>
          <w:szCs w:val="19"/>
          <w:color w:val="auto"/>
        </w:rPr>
        <w:t xml:space="preserve"> </w:t>
      </w:r>
      <w:r>
        <w:rPr>
          <w:rFonts w:ascii="Arial" w:cs="Arial" w:eastAsia="Arial" w:hAnsi="Arial"/>
          <w:sz w:val="19"/>
          <w:szCs w:val="19"/>
          <w:i w:val="1"/>
          <w:iCs w:val="1"/>
          <w:color w:val="auto"/>
        </w:rPr>
        <w:t>Contracts with Customers (Topic 606) and Leases (Topic 842): Effective Dates for Certain Entities</w:t>
      </w:r>
      <w:r>
        <w:rPr>
          <w:rFonts w:ascii="Arial" w:cs="Arial" w:eastAsia="Arial" w:hAnsi="Arial"/>
          <w:sz w:val="19"/>
          <w:szCs w:val="19"/>
          <w:color w:val="auto"/>
        </w:rPr>
        <w:t>, delaying the effective date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fiscal years beginning after December 15, 2021, and interim periods within fiscal years beginning after December 15, 2022.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w:t>
      </w:r>
      <w:r>
        <w:rPr>
          <w:rFonts w:ascii="Arial" w:cs="Arial" w:eastAsia="Arial" w:hAnsi="Arial"/>
          <w:sz w:val="19"/>
          <w:szCs w:val="19"/>
          <w:i w:val="1"/>
          <w:iCs w:val="1"/>
          <w:color w:val="auto"/>
        </w:rPr>
        <w:t>Leases (Topic 842): Targeted</w:t>
      </w:r>
      <w:r>
        <w:rPr>
          <w:rFonts w:ascii="Arial" w:cs="Arial" w:eastAsia="Arial" w:hAnsi="Arial"/>
          <w:sz w:val="19"/>
          <w:szCs w:val="19"/>
          <w:color w:val="auto"/>
        </w:rPr>
        <w:t xml:space="preserve"> </w:t>
      </w:r>
      <w:r>
        <w:rPr>
          <w:rFonts w:ascii="Arial" w:cs="Arial" w:eastAsia="Arial" w:hAnsi="Arial"/>
          <w:sz w:val="19"/>
          <w:szCs w:val="19"/>
          <w:i w:val="1"/>
          <w:iCs w:val="1"/>
          <w:color w:val="auto"/>
        </w:rPr>
        <w:t>Improvements</w:t>
      </w:r>
      <w:r>
        <w:rPr>
          <w:rFonts w:ascii="Arial" w:cs="Arial" w:eastAsia="Arial" w:hAnsi="Arial"/>
          <w:sz w:val="19"/>
          <w:szCs w:val="19"/>
          <w:color w:val="auto"/>
        </w:rPr>
        <w:t>, which provides entities an optional transition method to apply the guidance under ASC Topic 842 as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adoption date, rather than as of the earliest period presented. The Company is currently assessing the impact of the adoption of this ASU on its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 – Credit Losses (Topic 326)</w:t>
      </w:r>
      <w:r>
        <w:rPr>
          <w:rFonts w:ascii="Arial" w:cs="Arial" w:eastAsia="Arial" w:hAnsi="Arial"/>
          <w:sz w:val="19"/>
          <w:szCs w:val="19"/>
          <w:color w:val="auto"/>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for smaller reporting companies to calendar year 2023. The Company is currently assessing the impact of the adoption of this ASU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Investments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 securities held-to-maturity, at cost</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amortized cost, unrealized gains and losses, and estimated fair values of the Company’s held-to-maturity securities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and 2020,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The Company had nine securities in an unrealized loss position at December 31, 2021, none in an unrealized loss at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 2021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5"/>
          </w:tcPr>
          <w:p>
            <w:pPr>
              <w:ind w:left="80"/>
              <w:spacing w:after="0"/>
              <w:rPr>
                <w:sz w:val="20"/>
                <w:szCs w:val="20"/>
                <w:color w:val="auto"/>
              </w:rPr>
            </w:pPr>
            <w:r>
              <w:rPr>
                <w:rFonts w:ascii="Arial" w:cs="Arial" w:eastAsia="Arial" w:hAnsi="Arial"/>
                <w:sz w:val="18"/>
                <w:szCs w:val="18"/>
                <w:b w:val="1"/>
                <w:bCs w:val="1"/>
                <w:color w:val="auto"/>
              </w:rPr>
              <w:t>Less than 12 months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12 Months or More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8"/>
        </w:trPr>
        <w:tc>
          <w:tcPr>
            <w:tcW w:w="2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w w:val="98"/>
              </w:rPr>
              <w:t>Unrealized</w:t>
            </w:r>
          </w:p>
        </w:tc>
        <w:tc>
          <w:tcPr>
            <w:tcW w:w="180" w:type="dxa"/>
            <w:vAlign w:val="bottom"/>
          </w:tcPr>
          <w:p>
            <w:pPr>
              <w:spacing w:after="0"/>
              <w:rPr>
                <w:sz w:val="17"/>
                <w:szCs w:val="17"/>
                <w:color w:val="auto"/>
              </w:rPr>
            </w:pPr>
          </w:p>
        </w:tc>
        <w:tc>
          <w:tcPr>
            <w:tcW w:w="110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Fair Value</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estimated market value of debt securities at December 31, 2021, by contractual maturity are shown below. Actual maturities may differ from contractual maturities because borrowers may have the right to call or prepay obligations with or without call or prepayment penalties.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Amortized</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Estimated</w:t>
            </w:r>
          </w:p>
        </w:tc>
      </w:tr>
      <w:tr>
        <w:trPr>
          <w:trHeight w:val="241"/>
        </w:trPr>
        <w:tc>
          <w:tcPr>
            <w:tcW w:w="5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Securities held-to-maturity</w:t>
            </w:r>
          </w:p>
        </w:tc>
        <w:tc>
          <w:tcPr>
            <w:tcW w:w="2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in one year or less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9,882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9,783</w:t>
            </w:r>
          </w:p>
        </w:tc>
      </w:tr>
      <w:tr>
        <w:trPr>
          <w:trHeight w:val="216"/>
        </w:trPr>
        <w:tc>
          <w:tcPr>
            <w:tcW w:w="52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At December 31, 2021, all held-to-maturity securities were pledged as collateral for a credit line held by the Bank. There were no sales of investment securities during the year ended December 31, 2021 or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FHLB stock</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Bank is a member of the FHLB system. Members are required to own FHLB stock of at least the greater of 1% of FHLB membership asset value or 2.7% of outstanding FHLB advances. At December 31, 2021 and 2020, the Bank owned $0.4 million and $0.2 million, respectively, of FHLB stock, which is carried at cost. The Company evaluated the carrying value of its FHLB stock investment at December 31, 2021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Loans and Allowance for Loan Losses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Loans are summarized as follows according to major risk category as of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203,317</w:t>
            </w:r>
          </w:p>
        </w:tc>
        <w:tc>
          <w:tcPr>
            <w:tcW w:w="11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c>
          <w:tcPr>
            <w:tcW w:w="11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11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Consumer</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5,543</w:t>
            </w: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265,788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261,777</w:t>
            </w:r>
          </w:p>
        </w:tc>
        <w:tc>
          <w:tcPr>
            <w:tcW w:w="11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Loans held-for-sale</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(60,748)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(20,948)</w:t>
            </w: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3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240,829</w:t>
            </w:r>
          </w:p>
        </w:tc>
        <w:tc>
          <w:tcPr>
            <w:tcW w:w="114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 loan costs (fees), net</w:t>
            </w: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(2,556)</w:t>
            </w:r>
          </w:p>
        </w:tc>
        <w:tc>
          <w:tcPr>
            <w:tcW w:w="114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(6,199)</w:t>
            </w:r>
          </w:p>
        </w:tc>
        <w:tc>
          <w:tcPr>
            <w:tcW w:w="1140" w:type="dxa"/>
            <w:vAlign w:val="bottom"/>
          </w:tcPr>
          <w:p>
            <w:pPr>
              <w:spacing w:after="0"/>
              <w:rPr>
                <w:sz w:val="18"/>
                <w:szCs w:val="18"/>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Net loans</w:t>
            </w:r>
          </w:p>
        </w:tc>
        <w:tc>
          <w:tcPr>
            <w:tcW w:w="3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232,074</w:t>
            </w:r>
          </w:p>
        </w:tc>
        <w:tc>
          <w:tcPr>
            <w:tcW w:w="1140" w:type="dxa"/>
            <w:vAlign w:val="bottom"/>
          </w:tcPr>
          <w:p>
            <w:pPr>
              <w:spacing w:after="0"/>
              <w:rPr>
                <w:sz w:val="20"/>
                <w:szCs w:val="20"/>
                <w:color w:val="auto"/>
              </w:rPr>
            </w:pPr>
          </w:p>
        </w:tc>
      </w:tr>
      <w:tr>
        <w:trPr>
          <w:trHeight w:val="581"/>
        </w:trPr>
        <w:tc>
          <w:tcPr>
            <w:tcW w:w="3980" w:type="dxa"/>
            <w:vAlign w:val="bottom"/>
          </w:tcPr>
          <w:p>
            <w:pPr>
              <w:spacing w:after="0"/>
              <w:rPr>
                <w:sz w:val="24"/>
                <w:szCs w:val="24"/>
                <w:color w:val="auto"/>
              </w:rPr>
            </w:pPr>
          </w:p>
        </w:tc>
        <w:tc>
          <w:tcPr>
            <w:tcW w:w="3540" w:type="dxa"/>
            <w:vAlign w:val="bottom"/>
          </w:tcPr>
          <w:p>
            <w:pPr>
              <w:jc w:val="right"/>
              <w:ind w:right="1734"/>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Strategic Program Loans </w:t>
      </w:r>
      <w:r>
        <w:rPr>
          <w:rFonts w:ascii="Arial" w:cs="Arial" w:eastAsia="Arial" w:hAnsi="Arial"/>
          <w:sz w:val="19"/>
          <w:szCs w:val="19"/>
          <w:color w:val="auto"/>
        </w:rPr>
        <w:t>– In 2016, the Company began originating loans with various third-party loan origination platforms</w:t>
      </w:r>
      <w:r>
        <w:rPr>
          <w:rFonts w:ascii="Arial" w:cs="Arial" w:eastAsia="Arial" w:hAnsi="Arial"/>
          <w:sz w:val="19"/>
          <w:szCs w:val="19"/>
          <w:b w:val="1"/>
          <w:bCs w:val="1"/>
          <w:color w:val="auto"/>
        </w:rPr>
        <w:t xml:space="preserve"> </w:t>
      </w:r>
      <w:r>
        <w:rPr>
          <w:rFonts w:ascii="Arial" w:cs="Arial" w:eastAsia="Arial" w:hAnsi="Arial"/>
          <w:sz w:val="19"/>
          <w:szCs w:val="19"/>
          <w:color w:val="auto"/>
        </w:rPr>
        <w:t>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Each Strategic Program establishes a “reserve” deposit account with the Company. The agreements generally require that the deposit reserve account balance does not fall below the dollar amount of the total loans outstanding currently held by the Company for the specific Strategic Program. If necessary, the Company has the right to withdraw amounts from the reserve account to fulfill loan purchaser obligations created under the program agreements. Total cash held in reserve by Strategic Programs at the Company at December 31, 2021 and 2020, was $39.6 million and $18.6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Strategic Program loans retained and held-for-sale as of December 31, 2021 and 2020, are summarized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Retained Strategic Program loans</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25,102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w:t>
            </w: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rPr>
              <w:t>Strategic Program loans held-for-sale</w:t>
            </w: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60,748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20,948</w:t>
            </w:r>
          </w:p>
        </w:tc>
      </w:tr>
      <w:tr>
        <w:trPr>
          <w:trHeight w:val="227"/>
        </w:trPr>
        <w:tc>
          <w:tcPr>
            <w:tcW w:w="5120" w:type="dxa"/>
            <w:vAlign w:val="bottom"/>
          </w:tcPr>
          <w:p>
            <w:pPr>
              <w:spacing w:after="0"/>
              <w:rPr>
                <w:sz w:val="20"/>
                <w:szCs w:val="20"/>
                <w:color w:val="auto"/>
              </w:rPr>
            </w:pPr>
            <w:r>
              <w:rPr>
                <w:rFonts w:ascii="Arial" w:cs="Arial" w:eastAsia="Arial" w:hAnsi="Arial"/>
                <w:sz w:val="18"/>
                <w:szCs w:val="18"/>
                <w:color w:val="auto"/>
              </w:rPr>
              <w:t>Total Strategic Program loans</w:t>
            </w:r>
          </w:p>
        </w:tc>
        <w:tc>
          <w:tcPr>
            <w:tcW w:w="2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41223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Changes in the ALL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Strategic</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Non-Real</w:t>
            </w:r>
          </w:p>
        </w:tc>
        <w:tc>
          <w:tcPr>
            <w:tcW w:w="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Residential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Program</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SBA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Estate</w:t>
            </w:r>
          </w:p>
        </w:tc>
        <w:tc>
          <w:tcPr>
            <w:tcW w:w="6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Real Estate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Loans</w:t>
            </w: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Real Estate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Consumer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(4,684)</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Provision</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6,750</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6,549</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Ending balance individually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 collectively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6,549</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Loans receivable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142,392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3,428</w:t>
            </w:r>
          </w:p>
        </w:tc>
        <w:tc>
          <w:tcPr>
            <w:tcW w:w="3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25,102</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4,574</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205,040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 individually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auto"/>
              </w:rPr>
              <w:t>Ending balance collectively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141,420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3,428</w:t>
            </w:r>
          </w:p>
        </w:tc>
        <w:tc>
          <w:tcPr>
            <w:tcW w:w="3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27,108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25,102</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4,574</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204,068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76"/>
              </w:rPr>
              <w:t>90</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Strategic</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Non-Real</w:t>
            </w:r>
          </w:p>
        </w:tc>
        <w:tc>
          <w:tcPr>
            <w:tcW w:w="6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Residential</w:t>
            </w:r>
          </w:p>
        </w:tc>
        <w:tc>
          <w:tcPr>
            <w:tcW w:w="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Program</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SBA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Estate</w:t>
            </w:r>
          </w:p>
        </w:tc>
        <w:tc>
          <w:tcPr>
            <w:tcW w:w="6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Real Estate</w:t>
            </w:r>
          </w:p>
        </w:tc>
        <w:tc>
          <w:tcPr>
            <w:tcW w:w="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Loans</w:t>
            </w: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Real Estate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Consumer</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(3,262)</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Provision (recapture)</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3,707</w:t>
            </w:r>
          </w:p>
        </w:tc>
        <w:tc>
          <w:tcPr>
            <w:tcW w:w="3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4,111</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 individually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 collectively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32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4,111</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203,317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4,020</w:t>
            </w:r>
          </w:p>
        </w:tc>
        <w:tc>
          <w:tcPr>
            <w:tcW w:w="3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17,740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7,317</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5,543</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240,829</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 individually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 collectively</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evaluated for impairment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202,400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4,020</w:t>
            </w:r>
          </w:p>
        </w:tc>
        <w:tc>
          <w:tcPr>
            <w:tcW w:w="32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16,984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7,317</w:t>
            </w: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5,543</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239,156</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summarize impaired loans as of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20"/>
                <w:szCs w:val="2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0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4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304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Commercial, non-real estate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Strategic Program loans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the years ending December 31, 2021 and 2020, there were no impaired loans with an allowance recorded.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Nonaccrual and past due loans are summarized below as of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90+ Days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Past Due &amp;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30-59 Days</w:t>
            </w:r>
          </w:p>
        </w:tc>
        <w:tc>
          <w:tcPr>
            <w:tcW w:w="12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60-89 Days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Still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Accruing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Accrual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6"/>
              </w:rPr>
              <w:t>Commercial, non-real estate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84,065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2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9"/>
              </w:rPr>
              <w:t>90+ Days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Past Due &amp;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30-59 Days</w:t>
            </w:r>
          </w:p>
        </w:tc>
        <w:tc>
          <w:tcPr>
            <w:tcW w:w="12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60-89 Days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Still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Current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Past Due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Past Due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Accruing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Past Due</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Accrual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202,501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w w:val="96"/>
              </w:rPr>
              <w:t>Commercial, non-real estate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27,886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9"/>
              </w:rPr>
              <w:t>92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amount of interest income for the years ended December 31, 2021 and 2020, that was not recorded on nonaccrual loans was approximately $0.1 million and $0.1 million, respectively.</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Pass (Loan Grades 1-4) </w:t>
      </w:r>
      <w:r>
        <w:rPr>
          <w:rFonts w:ascii="Arial" w:cs="Arial" w:eastAsia="Arial" w:hAnsi="Arial"/>
          <w:sz w:val="22"/>
          <w:szCs w:val="22"/>
          <w:color w:val="auto"/>
        </w:rPr>
        <w:t>– A Pass asset is higher quality and does not fit any of the other categories described below. The</w:t>
      </w:r>
      <w:r>
        <w:rPr>
          <w:rFonts w:ascii="Arial" w:cs="Arial" w:eastAsia="Arial" w:hAnsi="Arial"/>
          <w:sz w:val="22"/>
          <w:szCs w:val="22"/>
          <w:i w:val="1"/>
          <w:iCs w:val="1"/>
          <w:color w:val="auto"/>
        </w:rPr>
        <w:t xml:space="preserve"> </w:t>
      </w:r>
      <w:r>
        <w:rPr>
          <w:rFonts w:ascii="Arial" w:cs="Arial" w:eastAsia="Arial" w:hAnsi="Arial"/>
          <w:sz w:val="22"/>
          <w:szCs w:val="22"/>
          <w:color w:val="auto"/>
        </w:rPr>
        <w:t>likelihood of loss is considered remote.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i w:val="1"/>
          <w:iCs w:val="1"/>
          <w:color w:val="auto"/>
        </w:rPr>
        <w:t xml:space="preserve">Special Mention </w:t>
      </w:r>
      <w:r>
        <w:rPr>
          <w:rFonts w:ascii="Arial" w:cs="Arial" w:eastAsia="Arial" w:hAnsi="Arial"/>
          <w:sz w:val="22"/>
          <w:szCs w:val="22"/>
          <w:color w:val="auto"/>
        </w:rPr>
        <w:t>(Loan Grade 5) – A Special Mention asset has potential weaknesses that may be temporary or, if left</w:t>
      </w:r>
      <w:r>
        <w:rPr>
          <w:rFonts w:ascii="Arial" w:cs="Arial" w:eastAsia="Arial" w:hAnsi="Arial"/>
          <w:sz w:val="22"/>
          <w:szCs w:val="22"/>
          <w:i w:val="1"/>
          <w:iCs w:val="1"/>
          <w:color w:val="auto"/>
        </w:rPr>
        <w:t xml:space="preserve"> </w:t>
      </w:r>
      <w:r>
        <w:rPr>
          <w:rFonts w:ascii="Arial" w:cs="Arial" w:eastAsia="Arial" w:hAnsi="Arial"/>
          <w:sz w:val="22"/>
          <w:szCs w:val="22"/>
          <w:color w:val="auto"/>
        </w:rPr>
        <w:t>uncorrected, may result in a loss. While concerns exist, the Company is currently protected and loss is considered unlikely and not imminent.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 xml:space="preserve">Classified Substandard </w:t>
      </w:r>
      <w:r>
        <w:rPr>
          <w:rFonts w:ascii="Arial" w:cs="Arial" w:eastAsia="Arial" w:hAnsi="Arial"/>
          <w:sz w:val="21"/>
          <w:szCs w:val="21"/>
          <w:color w:val="auto"/>
        </w:rPr>
        <w:t>(Loan Grade 6) – A Substandard asset is inadequately protected by the current sound worth and paying</w:t>
      </w:r>
      <w:r>
        <w:rPr>
          <w:rFonts w:ascii="Arial" w:cs="Arial" w:eastAsia="Arial" w:hAnsi="Arial"/>
          <w:sz w:val="21"/>
          <w:szCs w:val="21"/>
          <w:i w:val="1"/>
          <w:iCs w:val="1"/>
          <w:color w:val="auto"/>
        </w:rPr>
        <w:t xml:space="preserve"> </w:t>
      </w:r>
      <w:r>
        <w:rPr>
          <w:rFonts w:ascii="Arial" w:cs="Arial" w:eastAsia="Arial" w:hAnsi="Arial"/>
          <w:sz w:val="21"/>
          <w:szCs w:val="21"/>
          <w:color w:val="auto"/>
        </w:rPr>
        <w:t>capacity of the obligor or of the collateral pledged, if any. Assets so classified have well defined weaknesses and are characterized by the distinct possibility that the Company may sustain some loss if deficiencies are not corrected.</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Classified Doubtful </w:t>
      </w:r>
      <w:r>
        <w:rPr>
          <w:rFonts w:ascii="Arial" w:cs="Arial" w:eastAsia="Arial" w:hAnsi="Arial"/>
          <w:sz w:val="22"/>
          <w:szCs w:val="22"/>
          <w:color w:val="auto"/>
        </w:rPr>
        <w:t>(Loan Grade 7) – A Doubtful asset has all the weaknesses inherent in a Substandard asset with the added</w:t>
      </w:r>
      <w:r>
        <w:rPr>
          <w:rFonts w:ascii="Arial" w:cs="Arial" w:eastAsia="Arial" w:hAnsi="Arial"/>
          <w:sz w:val="22"/>
          <w:szCs w:val="22"/>
          <w:i w:val="1"/>
          <w:iCs w:val="1"/>
          <w:color w:val="auto"/>
        </w:rPr>
        <w:t xml:space="preserve"> </w:t>
      </w:r>
      <w:r>
        <w:rPr>
          <w:rFonts w:ascii="Arial" w:cs="Arial" w:eastAsia="Arial" w:hAnsi="Arial"/>
          <w:sz w:val="22"/>
          <w:szCs w:val="22"/>
          <w:color w:val="auto"/>
        </w:rPr>
        <w:t>characteristics that the weaknesses make collection or liquidation in full highly questionable.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color w:val="auto"/>
        </w:rPr>
        <w:t xml:space="preserve">Classified Loss (Loan Grade 8) – </w:t>
      </w:r>
      <w:r>
        <w:rPr>
          <w:rFonts w:ascii="Arial" w:cs="Arial" w:eastAsia="Arial" w:hAnsi="Arial"/>
          <w:sz w:val="21"/>
          <w:szCs w:val="21"/>
          <w:color w:val="auto"/>
        </w:rPr>
        <w:t>A loss loan has an existing weakness or weaknesses that render the loan uncollectible and of</w:t>
      </w:r>
      <w:r>
        <w:rPr>
          <w:rFonts w:ascii="Arial" w:cs="Arial" w:eastAsia="Arial" w:hAnsi="Arial"/>
          <w:sz w:val="21"/>
          <w:szCs w:val="21"/>
          <w:i w:val="1"/>
          <w:iCs w:val="1"/>
          <w:color w:val="auto"/>
        </w:rPr>
        <w:t xml:space="preserve"> </w:t>
      </w:r>
      <w:r>
        <w:rPr>
          <w:rFonts w:ascii="Arial" w:cs="Arial" w:eastAsia="Arial" w:hAnsi="Arial"/>
          <w:sz w:val="21"/>
          <w:szCs w:val="21"/>
          <w:color w:val="auto"/>
        </w:rPr>
        <w:t>such little value that 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does not currently grade retained Strategic Program loans due to their small balances and homogenous nature. Credit quality for Strategic Program loans is highly correlated with delinquency levels. The Strategic Program loans are evaluated collectively for impairment.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Outstanding loan balances categorized by these credit quality indicators are summarized as follows at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40" w:type="dxa"/>
            <w:vAlign w:val="bottom"/>
          </w:tcPr>
          <w:p>
            <w:pPr>
              <w:spacing w:after="0"/>
              <w:rPr>
                <w:sz w:val="20"/>
                <w:szCs w:val="20"/>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Classified/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Doubtful/Loss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Grade 1-4</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Grade 5</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Grade 6-8</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3,382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Not Risk Graded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Total at December 31, 2021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177,485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color w:val="auto"/>
              </w:rPr>
              <w:t>93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40" w:type="dxa"/>
            <w:vAlign w:val="bottom"/>
          </w:tcPr>
          <w:p>
            <w:pPr>
              <w:spacing w:after="0"/>
              <w:rPr>
                <w:sz w:val="24"/>
                <w:szCs w:val="2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Classified/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Doubtful/Loss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Grade 1-4</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Grade 5</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Grade 6-8</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200,360</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2,892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Not Risk Graded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Total at December 31, 2020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229,739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261,777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Loans modified and recorded as TDR’s during the years ended December 31, 2021 and 2020,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Post-</w:t>
            </w:r>
          </w:p>
        </w:tc>
      </w:tr>
      <w:tr>
        <w:trPr>
          <w:trHeight w:val="216"/>
        </w:trPr>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r>
      <w:tr>
        <w:trPr>
          <w:trHeight w:val="216"/>
        </w:trPr>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6200" w:type="dxa"/>
            <w:vAlign w:val="bottom"/>
          </w:tcPr>
          <w:p>
            <w:pPr>
              <w:spacing w:after="0"/>
              <w:rPr>
                <w:sz w:val="18"/>
                <w:szCs w:val="18"/>
                <w:color w:val="auto"/>
              </w:rPr>
            </w:pP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62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Total at December 31, 2021</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6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Non-Accrual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at December 31, 2020</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r>
      <w:tr>
        <w:trPr>
          <w:trHeight w:val="216"/>
        </w:trPr>
        <w:tc>
          <w:tcPr>
            <w:tcW w:w="6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Non-Accrual</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SBA</w:t>
            </w:r>
          </w:p>
        </w:tc>
        <w:tc>
          <w:tcPr>
            <w:tcW w:w="9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bl>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December 31, 2021 and 2020, there were no commitments to lend additional funds to debtors whose loan terms have been modified in a TDR. Loans modified and recorded as TDR’s during the years ended December 31, 2021 and 2020 included modifications to rate and term. There were no principal charge-offs recorded related to TDRs during the years ended December 31, 2021 and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During the year ended December 31, 2021, there was one new loan modification representing $0.01 million in principal and two previously reported TDRs representing $0.02 million in principal were paid in full with interest. Separately, one restructured loan incurred a default within 12 months of the restructure date during the year ended December 31, 2021. This same loan was paid in full with interest on May 28, 2021. The Company had a payment default (defined as the loan becoming more than 90 days past due, being moved to nonaccrual status, or the collateral being foreclosed upon) for a TDR modified within the previous 12 months pertaining to $0.1 million in principal for a SBA loan during the year ended December 31, 2020. The Company evaluated the restructuring for possible impairment but concluded that no impairment existed because payments were being received in arrears and adequate collateral existed. As a result, the Company did not recognize any provisions for loan losses or net charge-offs as a result of defaulted TDRs for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COVID-Related Loan Deferments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discussed in Note 1, the federal banking agencies issued guidance in March 2020 that short -term modifications (for example, six months) made to a borrower affected by the COVID -19 pandemic does not need to be identified as a TDR if the loan was current at the time of modification. This relief applies to loan modifications executed between March 1, 2020 and January 1, 2022. The CARES Act also addressed COVID-19 related modifications and specified that such modifications made on loans that were current as of December 31, 2019 are not TDRs. None of these modifications were on deferment status as of December 31, 2021. The dollar amount of other short-term modifications of loans held-for-investment not classified as troubled debt restructurings as of December 31, 2021 and December 31, 2020 was $0.5 million and $1.2 million.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Premises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Premises and equipment at December 31, 2021 and 2020,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0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premises and equipment</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1,264</w:t>
            </w:r>
          </w:p>
        </w:tc>
      </w:tr>
    </w:tbl>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Depreciation expense was approximately $0.3 million and $0.3 million for the years ended December 31, 2021 and 2020, respectively.</w:t>
      </w:r>
    </w:p>
    <w:p>
      <w:pPr>
        <w:spacing w:after="0" w:line="20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Company leases its facilities under noncancelable operating leases. Rent expense for 2021 and 2020 was $0.5 million and $0.4 million, respectively. Future minimum annual rental payments for these leases are as follows ($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53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1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53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5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11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53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1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5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11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53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3,355</w:t>
            </w:r>
          </w:p>
        </w:tc>
        <w:tc>
          <w:tcPr>
            <w:tcW w:w="1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8,717</w:t>
            </w:r>
          </w:p>
        </w:tc>
        <w:tc>
          <w:tcPr>
            <w:tcW w:w="1140" w:type="dxa"/>
            <w:vAlign w:val="bottom"/>
          </w:tcPr>
          <w:p>
            <w:pPr>
              <w:spacing w:after="0"/>
              <w:rPr>
                <w:sz w:val="18"/>
                <w:szCs w:val="18"/>
                <w:color w:val="auto"/>
              </w:rPr>
            </w:pPr>
          </w:p>
        </w:tc>
      </w:tr>
      <w:tr>
        <w:trPr>
          <w:trHeight w:val="595"/>
        </w:trPr>
        <w:tc>
          <w:tcPr>
            <w:tcW w:w="3920" w:type="dxa"/>
            <w:vAlign w:val="bottom"/>
          </w:tcPr>
          <w:p>
            <w:pPr>
              <w:spacing w:after="0"/>
              <w:rPr>
                <w:sz w:val="24"/>
                <w:szCs w:val="24"/>
                <w:color w:val="auto"/>
              </w:rPr>
            </w:pPr>
          </w:p>
        </w:tc>
        <w:tc>
          <w:tcPr>
            <w:tcW w:w="5360" w:type="dxa"/>
            <w:vAlign w:val="bottom"/>
          </w:tcPr>
          <w:p>
            <w:pPr>
              <w:jc w:val="right"/>
              <w:ind w:right="3496"/>
              <w:spacing w:after="0"/>
              <w:rPr>
                <w:sz w:val="20"/>
                <w:szCs w:val="20"/>
                <w:color w:val="auto"/>
              </w:rPr>
            </w:pPr>
            <w:r>
              <w:rPr>
                <w:rFonts w:ascii="Arial" w:cs="Arial" w:eastAsia="Arial" w:hAnsi="Arial"/>
                <w:sz w:val="14"/>
                <w:szCs w:val="14"/>
                <w:color w:val="auto"/>
              </w:rPr>
              <w:t>95</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Deposits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Major classes of deposits at December 31, 2021 and 2020,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94,162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Savings</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31,076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Time certificates of deposit</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98,184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45,312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2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164,476</w:t>
            </w:r>
          </w:p>
        </w:tc>
      </w:tr>
      <w:tr>
        <w:trPr>
          <w:trHeight w:val="496"/>
        </w:trPr>
        <w:tc>
          <w:tcPr>
            <w:tcW w:w="8860" w:type="dxa"/>
            <w:vAlign w:val="bottom"/>
            <w:gridSpan w:val="5"/>
          </w:tcPr>
          <w:p>
            <w:pPr>
              <w:spacing w:after="0"/>
              <w:rPr>
                <w:sz w:val="20"/>
                <w:szCs w:val="20"/>
                <w:color w:val="auto"/>
              </w:rPr>
            </w:pPr>
            <w:r>
              <w:rPr>
                <w:rFonts w:ascii="Arial" w:cs="Arial" w:eastAsia="Arial" w:hAnsi="Arial"/>
                <w:sz w:val="22"/>
                <w:szCs w:val="22"/>
                <w:color w:val="auto"/>
                <w:w w:val="93"/>
              </w:rPr>
              <w:t>At December 31, 2021, the scheduled maturities of time deposits are as follows ($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4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41,567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20,721</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10,070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98,184</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Time deposits with balances equal or greater than $250,000 totaled $3.7 million and $3.1 million at December 31, 2021 and 2020,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SBA Servicing Asset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periodically sells portions of SBA loans and retains rights to service the loans. Loans serviced for others are not included in the accompanying balance sheet. The unpaid principal balances of SBA loans serviced for others was $210.2 million and $140.1 million at December 31, 2021 and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SBA servicing asset activity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92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1"/>
              </w:rPr>
              <w:t>For the Years Ended December 31,</w:t>
            </w:r>
          </w:p>
        </w:tc>
      </w:tr>
      <w:tr>
        <w:trPr>
          <w:trHeight w:val="223"/>
        </w:trPr>
        <w:tc>
          <w:tcPr>
            <w:tcW w:w="4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Additions to servicing asset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SBA servicing asset</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Amortization of servicing asset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8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3,938</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fair market value of the SBA servicing asset as of December 31, 2021 and 2020, was $3.94 million and $2.53 million,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 The SBA servicing asset recognized an impairment in the year ending December 31, 2021. The Company believes future recovery of the amortized carrying value is likely.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assumed a weighted average prepayment rate of 14.37%, weighted average term of 4.02 years, and a weighted average discount rate of 11.38% at December 31, 2021.</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assumed a weighted average prepayment rate of 16.42%, weighted average term of 3.64 years, and a weighted average discount rate of 10.00% at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Capital Requirements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2020 and December 31, 2021, that the Bank meets all capital adequacy requirements to which it is subject.</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2021 and 2020,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Bank's actual capital amounts and ratios are presented in the following table: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Well-Capitalized</w:t>
            </w: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ind w:left="760"/>
              <w:spacing w:after="0"/>
              <w:rPr>
                <w:sz w:val="20"/>
                <w:szCs w:val="20"/>
                <w:color w:val="auto"/>
              </w:rPr>
            </w:pPr>
            <w:r>
              <w:rPr>
                <w:rFonts w:ascii="Arial" w:cs="Arial" w:eastAsia="Arial" w:hAnsi="Arial"/>
                <w:sz w:val="18"/>
                <w:szCs w:val="18"/>
                <w:b w:val="1"/>
                <w:bCs w:val="1"/>
                <w:color w:val="auto"/>
              </w:rPr>
              <w:t>Actual</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Requirement</w:t>
            </w:r>
          </w:p>
        </w:tc>
      </w:tr>
      <w:tr>
        <w:trPr>
          <w:trHeight w:val="223"/>
        </w:trPr>
        <w:tc>
          <w:tcPr>
            <w:tcW w:w="2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200" w:type="dxa"/>
            <w:vAlign w:val="bottom"/>
          </w:tcPr>
          <w:p>
            <w:pPr>
              <w:spacing w:after="0"/>
              <w:rPr>
                <w:sz w:val="19"/>
                <w:szCs w:val="19"/>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7"/>
              </w:rPr>
              <w:t>Leverage ratio (CBLR election)</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65,503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31,442*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7"/>
        </w:trPr>
        <w:tc>
          <w:tcPr>
            <w:tcW w:w="2420" w:type="dxa"/>
            <w:vAlign w:val="bottom"/>
          </w:tcPr>
          <w:p>
            <w:pPr>
              <w:spacing w:after="0"/>
              <w:rPr>
                <w:sz w:val="20"/>
                <w:szCs w:val="20"/>
                <w:color w:val="auto"/>
              </w:rPr>
            </w:pPr>
            <w:r>
              <w:rPr>
                <w:rFonts w:ascii="Arial" w:cs="Arial" w:eastAsia="Arial" w:hAnsi="Arial"/>
                <w:sz w:val="18"/>
                <w:szCs w:val="18"/>
                <w:color w:val="auto"/>
                <w:w w:val="97"/>
              </w:rPr>
              <w:t>Leverage ratio (CBLR election)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37,806</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18,212*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498919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right="120" w:firstLine="8"/>
        <w:spacing w:after="0" w:line="234" w:lineRule="auto"/>
        <w:tabs>
          <w:tab w:leader="none" w:pos="162" w:val="left"/>
        </w:tabs>
        <w:numPr>
          <w:ilvl w:val="0"/>
          <w:numId w:val="32"/>
        </w:numPr>
        <w:rPr>
          <w:rFonts w:ascii="Arial" w:cs="Arial" w:eastAsia="Arial" w:hAnsi="Arial"/>
          <w:sz w:val="22"/>
          <w:szCs w:val="22"/>
          <w:color w:val="auto"/>
        </w:rPr>
      </w:pPr>
      <w:r>
        <w:rPr>
          <w:rFonts w:ascii="Arial" w:cs="Arial" w:eastAsia="Arial" w:hAnsi="Arial"/>
          <w:sz w:val="22"/>
          <w:szCs w:val="22"/>
          <w:color w:val="auto"/>
        </w:rPr>
        <w:t>On March 27, 2020 the CARES Act became law. Section 4012 of the CARES Act directs the agencies to issue an interim final rule reducing the CBLR ratio requirement from 9% to 8% for the last two quarters of the year 2020, 8.5% for the calendar year 2021, and 9% thereafter.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Federal Reserve Board Regulations require maintenance of certain minimum reserve balances based on certain average deposits.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Bank had reserve requirements of $0.0 million as of December 31, 2021 and 2020, respectively.</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Commitments and Contingent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Federal Home Loan Bank Secured Line of Credit</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2021 and 2020, the Bank’s available line of credit with the FHLB to borrow in overnight funds was $4.1 million and $4.4 million, respectively. All borrowings are short-term and the interest rate is equal to the correspondent bank's daily federal funds purchase rate. As of December 31, 2021, no amounts were outstanding under the line of credit. Loans totaling $5.4 million and $6.1 million were pledged to secure the FHLB line of credit as of December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Line of Credit</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At December 31, 2021, we had the ability to access $10.9 million from the Federal Reserve Bank’s Discount Window on a collateralized basis. Through Zions Bank, the Bank had an available unsecured line available of $1.0 million. The Bank had an available line of credit with Bankers’ Bank of the West to borrow up to $1.05 million in overnight funds. We had no outstanding balances on the unsecured or secured lines of credit as of 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Paycheck Protection Program Liquidity Facility</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$101.0 million of PPP loans as eligible collateral under the PPPLF borrowing arrangement at December 31, 2020. The Bank pledged $1.0 million of PPP loans as eligible collateral under the PPPLF borrowing arrangement at December 31, 2021. The average outstanding borrowings were $49.0 million during the year ended December 31, 2020 and $36.4 million during the year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Commitments to Extend Credit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2021 and 2020, financial instruments with off-balance-sheet risk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0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1,259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14,468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r>
      <w:tr>
        <w:trPr>
          <w:trHeight w:val="230"/>
        </w:trPr>
        <w:tc>
          <w:tcPr>
            <w:tcW w:w="5040" w:type="dxa"/>
            <w:vAlign w:val="bottom"/>
          </w:tcPr>
          <w:p>
            <w:pPr>
              <w:spacing w:after="0"/>
              <w:rPr>
                <w:sz w:val="20"/>
                <w:szCs w:val="20"/>
                <w:color w:val="auto"/>
              </w:rPr>
            </w:pPr>
          </w:p>
        </w:tc>
        <w:tc>
          <w:tcPr>
            <w:tcW w:w="2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16,153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Investment in Business Funding Group, LLC</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$0.9 million and $0.5 million for the years ended December 31, 2021 and 2020, respectively. These distributions were recorded in the Consolidated Balance Sheets as decreases in the investment in BFG.</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For further discussion on the Company’s investment in BFG, see Note 15 Related Parties.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 plans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The 2019 Plan authorizes the issuance of 780,000 common shares. The 2019 Plan will terminate as to future awards 10 years from the later of the effective date or the earlier of the most recent Board or stockholder approval of an increase in the number of shares reserved for issuance under the 2019 Plan. At December 31, 2021, 296,226 shares are available for future issuance.</w:t>
      </w:r>
    </w:p>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December 31, 2021, 24,612 shares under 2016 Plan are available for future issuance.</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ectPr>
          <w:pgSz w:w="11900" w:h="16838" w:orient="portrait"/>
          <w:cols w:equalWidth="0" w:num="1">
            <w:col w:w="11240"/>
          </w:cols>
          <w:pgMar w:left="320" w:top="121" w:right="339" w:bottom="922"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2" w:gutter="0" w:footer="0" w:header="0"/>
          <w:type w:val="continuous"/>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stock-based compensation</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December 24, 2019, the Board approved a restricted stock discretionary grant of 1,072,746 shares to certain employees. Pursuant to the awards agreement, 351,852 shares vested on the grant date and were repurchased by the Company on December 31, 2019 to pay for employee withholding taxes. Pursuant to the awards agreement, 73,770 shares subsequently vested and were repurchased by the Company on April 6, 2020 to pay for employee income taxes. Granted shares vest based on the accelerated attribution method on a schedule where all shares would be fully vested on December 1, 2023. On November 18, 2021, pursuant to the awards agreement, the 424,458 remaining unvested shares became vested because the Company’s registration statement was declared effective.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options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grant date fair value is determined using the Black-Scholes option valuation model.</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30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7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- 1.8%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- 7.5</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- 7.5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45.7% - 47.6%</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41.3% - 43.7%</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summarizes stock option activity for the years ended December 31, 2021 and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8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Stock Options</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Life (in years)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507,840</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9.3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243,061</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390,600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70,626</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(34,776)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68,863</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(225,000)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22,235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638,664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653,991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906,600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511,339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Options 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(596,100)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1,460,581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862,488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8,088,660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Options vested and exercisable at December 31, 2021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492,756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4,712,963</w:t>
            </w:r>
          </w:p>
        </w:tc>
      </w:tr>
    </w:tbl>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weighted average grant-date fair value of options per share granted was $1.55 and $1.37 during 2021 and 2020, respectively. The aggregate intrinsic value of options exercised during the years ended December 31, 2021 and 2020 were $0.51 million and $0.07 million, respectively. During 2021, the Company received proceeds of approximately $0.3 million from the exercise of stock options and recognized a tax benefit of $0 million from the exercise of stock options. Upon exercise of the stock options, the Company will issue new authorized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Restricted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awards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5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w:t>
            </w:r>
          </w:p>
        </w:tc>
      </w:tr>
      <w:tr>
        <w:trPr>
          <w:trHeight w:val="241"/>
        </w:trPr>
        <w:tc>
          <w:tcPr>
            <w:tcW w:w="752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as of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720,870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(99,204)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621,666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(621,666)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aggregate fair value of restricted stock that vested was approximately $2.3 million and $0.4 million for the year ended December 31,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Stock-based compensation expense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present pre-tax and after-tax stock-based compensation expense recognized: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For the Years Ended December</w:t>
            </w:r>
          </w:p>
        </w:tc>
      </w:tr>
      <w:tr>
        <w:trPr>
          <w:trHeight w:val="241"/>
        </w:trPr>
        <w:tc>
          <w:tcPr>
            <w:tcW w:w="4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Pre-tax</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Restricted shares</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After-tax</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Restricted shares</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2020, the Company had unrecognized stock-based compensation expense related to stock options of approximately $0.3 million, respectively, which is expected to be recognized over the remaining weighted average recognition period of 2.3 years.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Employee stock-based compensation expense is recorded within Salaries and employee benefits and was $1.6 million and $1.7 million for the years ending December 31, 2021 and 2020, respectively. Stock-based compensation for all others is recorded within Other operating expenses and was $0.5 million and $0.1 million for the years ending December 31, 2021 and 2020,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Fair Value of Financial Instruments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Quoted prices in active markets for identical instruments. An active market is a market in which transactions occur</w:t>
      </w:r>
      <w:r>
        <w:rPr>
          <w:rFonts w:ascii="Arial" w:cs="Arial" w:eastAsia="Arial" w:hAnsi="Arial"/>
          <w:sz w:val="19"/>
          <w:szCs w:val="19"/>
          <w:b w:val="1"/>
          <w:bCs w:val="1"/>
          <w:color w:val="auto"/>
        </w:rPr>
        <w:t xml:space="preserve"> </w:t>
      </w:r>
      <w:r>
        <w:rPr>
          <w:rFonts w:ascii="Arial" w:cs="Arial" w:eastAsia="Arial" w:hAnsi="Arial"/>
          <w:sz w:val="19"/>
          <w:szCs w:val="19"/>
          <w:color w:val="auto"/>
        </w:rPr>
        <w:t>with sufficient frequency and volume to provide pricing information on an ongoing basis. A quoted price in an active market provides the most reliable evidence of fair value and shall be used to measure fair value whenever available.</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 Observable inputs other than Level 1 including quoted prices in active markets for similar instruments,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less active markets for identical or similar instruments, or other observable inputs that can be corroborated by observable market data.</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Unobservable inputs supported by little or no market activity for financial instruments whose value is determined using</w:t>
      </w:r>
      <w:r>
        <w:rPr>
          <w:rFonts w:ascii="Arial" w:cs="Arial" w:eastAsia="Arial" w:hAnsi="Arial"/>
          <w:sz w:val="19"/>
          <w:szCs w:val="19"/>
          <w:b w:val="1"/>
          <w:bCs w:val="1"/>
          <w:color w:val="auto"/>
        </w:rPr>
        <w:t xml:space="preserve"> </w:t>
      </w:r>
      <w:r>
        <w:rPr>
          <w:rFonts w:ascii="Arial" w:cs="Arial" w:eastAsia="Arial" w:hAnsi="Arial"/>
          <w:sz w:val="19"/>
          <w:szCs w:val="19"/>
          <w:color w:val="auto"/>
        </w:rPr>
        <w:t>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methods were used to estimate the fair value of each class of financial instruments: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r>
        <w:rPr>
          <w:rFonts w:ascii="Arial" w:cs="Arial" w:eastAsia="Arial" w:hAnsi="Arial"/>
          <w:sz w:val="22"/>
          <w:szCs w:val="22"/>
          <w:color w:val="auto"/>
        </w:rPr>
        <w:t>: The carrying amount of these items is a reasonable estimate of their fair value.</w:t>
      </w:r>
    </w:p>
    <w:p>
      <w:pPr>
        <w:spacing w:after="0" w:line="23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Investment securities held-to-maturity</w:t>
      </w:r>
      <w:r>
        <w:rPr>
          <w:rFonts w:ascii="Arial" w:cs="Arial" w:eastAsia="Arial" w:hAnsi="Arial"/>
          <w:sz w:val="22"/>
          <w:szCs w:val="22"/>
          <w:color w:val="auto"/>
        </w:rPr>
        <w:t>: The estimated fair values of investment securities are priced using current active</w:t>
      </w:r>
      <w:r>
        <w:rPr>
          <w:rFonts w:ascii="Arial" w:cs="Arial" w:eastAsia="Arial" w:hAnsi="Arial"/>
          <w:sz w:val="22"/>
          <w:szCs w:val="22"/>
          <w:b w:val="1"/>
          <w:bCs w:val="1"/>
          <w:color w:val="auto"/>
        </w:rPr>
        <w:t xml:space="preserve"> </w:t>
      </w:r>
      <w:r>
        <w:rPr>
          <w:rFonts w:ascii="Arial" w:cs="Arial" w:eastAsia="Arial" w:hAnsi="Arial"/>
          <w:sz w:val="22"/>
          <w:szCs w:val="22"/>
          <w:color w:val="auto"/>
        </w:rPr>
        <w:t>market quotes, if available, which are considered Level 1 measurements. For most of the portfolio, matrix pricing based on the securities’ relationship to other benchmark quoted prices is used to establish the fair value. These measurements are considered Level 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Investment in Federal Home Loan Bank stock</w:t>
      </w:r>
      <w:r>
        <w:rPr>
          <w:rFonts w:ascii="Arial" w:cs="Arial" w:eastAsia="Arial" w:hAnsi="Arial"/>
          <w:sz w:val="22"/>
          <w:szCs w:val="22"/>
          <w:color w:val="auto"/>
        </w:rPr>
        <w:t>: The fair value is based upon the redemption value of the stock, which equates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Strategic Program loans held-for-sale</w:t>
      </w:r>
      <w:r>
        <w:rPr>
          <w:rFonts w:ascii="Arial" w:cs="Arial" w:eastAsia="Arial" w:hAnsi="Arial"/>
          <w:sz w:val="21"/>
          <w:szCs w:val="21"/>
          <w:color w:val="auto"/>
        </w:rPr>
        <w:t>: The carrying amount of these items is a reasonable estimate of their fair value.</w:t>
      </w:r>
    </w:p>
    <w:p>
      <w:pPr>
        <w:spacing w:after="0" w:line="24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Loans held for investment</w:t>
      </w:r>
      <w:r>
        <w:rPr>
          <w:rFonts w:ascii="Arial" w:cs="Arial" w:eastAsia="Arial" w:hAnsi="Arial"/>
          <w:sz w:val="19"/>
          <w:szCs w:val="19"/>
          <w:color w:val="auto"/>
        </w:rPr>
        <w:t>: The fair value is estimated by discounting the future cash flows and estimated prepayments using</w:t>
      </w:r>
      <w:r>
        <w:rPr>
          <w:rFonts w:ascii="Arial" w:cs="Arial" w:eastAsia="Arial" w:hAnsi="Arial"/>
          <w:sz w:val="19"/>
          <w:szCs w:val="19"/>
          <w:b w:val="1"/>
          <w:bCs w:val="1"/>
          <w:color w:val="auto"/>
        </w:rPr>
        <w:t xml:space="preserve"> </w:t>
      </w:r>
      <w:r>
        <w:rPr>
          <w:rFonts w:ascii="Arial" w:cs="Arial" w:eastAsia="Arial" w:hAnsi="Arial"/>
          <w:sz w:val="19"/>
          <w:szCs w:val="19"/>
          <w:color w:val="auto"/>
        </w:rPr>
        <w:t>the current rates at which similar loans would be made to borrowers with similar credit ratings and for the same remaining term. Some loan types’ fair value approximated carrying value because of their floating rate or expected maturity characteristics.</w:t>
      </w:r>
    </w:p>
    <w:p>
      <w:pPr>
        <w:spacing w:after="0" w:line="153"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SBA servicing asset</w:t>
      </w:r>
      <w:r>
        <w:rPr>
          <w:rFonts w:ascii="Arial" w:cs="Arial" w:eastAsia="Arial" w:hAnsi="Arial"/>
          <w:sz w:val="19"/>
          <w:szCs w:val="19"/>
          <w:color w:val="auto"/>
        </w:rPr>
        <w:t>: The fair value of servicing assets is based on, in part, third -party valuations that project estimated future</w:t>
      </w:r>
      <w:r>
        <w:rPr>
          <w:rFonts w:ascii="Arial" w:cs="Arial" w:eastAsia="Arial" w:hAnsi="Arial"/>
          <w:sz w:val="19"/>
          <w:szCs w:val="19"/>
          <w:b w:val="1"/>
          <w:bCs w:val="1"/>
          <w:color w:val="auto"/>
        </w:rPr>
        <w:t xml:space="preserve"> </w:t>
      </w:r>
      <w:r>
        <w:rPr>
          <w:rFonts w:ascii="Arial" w:cs="Arial" w:eastAsia="Arial" w:hAnsi="Arial"/>
          <w:sz w:val="19"/>
          <w:szCs w:val="19"/>
          <w:color w:val="auto"/>
        </w:rPr>
        <w:t>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Investment in BFG</w:t>
      </w:r>
      <w:r>
        <w:rPr>
          <w:rFonts w:ascii="Arial" w:cs="Arial" w:eastAsia="Arial" w:hAnsi="Arial"/>
          <w:sz w:val="19"/>
          <w:szCs w:val="19"/>
          <w:color w:val="auto"/>
        </w:rPr>
        <w:t>: The Company purchased its ownership interest in BFG on December 31, 2019. The Company’s valuation</w:t>
      </w:r>
      <w:r>
        <w:rPr>
          <w:rFonts w:ascii="Arial" w:cs="Arial" w:eastAsia="Arial" w:hAnsi="Arial"/>
          <w:sz w:val="19"/>
          <w:szCs w:val="19"/>
          <w:b w:val="1"/>
          <w:bCs w:val="1"/>
          <w:color w:val="auto"/>
        </w:rPr>
        <w:t xml:space="preserve"> </w:t>
      </w:r>
      <w:r>
        <w:rPr>
          <w:rFonts w:ascii="Arial" w:cs="Arial" w:eastAsia="Arial" w:hAnsi="Arial"/>
          <w:sz w:val="19"/>
          <w:szCs w:val="19"/>
          <w:color w:val="auto"/>
        </w:rPr>
        <w:t>utilized the average of the discounted cash flow method and the Guideline Public Company method. A 20% lack of marketability discount was applied to the valuation as well as a 4.50% discount to non-voting shares to arrive at fair value.</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Deposits</w:t>
      </w:r>
      <w:r>
        <w:rPr>
          <w:rFonts w:ascii="Arial" w:cs="Arial" w:eastAsia="Arial" w:hAnsi="Arial"/>
          <w:sz w:val="21"/>
          <w:szCs w:val="21"/>
          <w:color w:val="auto"/>
        </w:rPr>
        <w:t>: The carrying amount of deposits with no stated maturity, such as savings and checking accounts, is a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estimate of their fair value. The market value of certificates of deposit is based upon the discounted value of contractual cash flows. The discount rate is determined using the rates currently offered on comparable instruments.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Accrued interest receivable and payable</w:t>
      </w:r>
      <w:r>
        <w:rPr>
          <w:rFonts w:ascii="Arial" w:cs="Arial" w:eastAsia="Arial" w:hAnsi="Arial"/>
          <w:sz w:val="22"/>
          <w:szCs w:val="22"/>
          <w:color w:val="auto"/>
        </w:rPr>
        <w:t>: The fair value of accrued interest receivable and payable approximates their carrying</w:t>
      </w:r>
      <w:r>
        <w:rPr>
          <w:rFonts w:ascii="Arial" w:cs="Arial" w:eastAsia="Arial" w:hAnsi="Arial"/>
          <w:sz w:val="22"/>
          <w:szCs w:val="22"/>
          <w:b w:val="1"/>
          <w:bCs w:val="1"/>
          <w:color w:val="auto"/>
        </w:rPr>
        <w:t xml:space="preserve"> </w:t>
      </w:r>
      <w:r>
        <w:rPr>
          <w:rFonts w:ascii="Arial" w:cs="Arial" w:eastAsia="Arial" w:hAnsi="Arial"/>
          <w:sz w:val="22"/>
          <w:szCs w:val="22"/>
          <w:color w:val="auto"/>
        </w:rPr>
        <w:t>amount.</w:t>
      </w:r>
    </w:p>
    <w:p>
      <w:pPr>
        <w:sectPr>
          <w:pgSz w:w="11900" w:h="16838" w:orient="portrait"/>
          <w:cols w:equalWidth="0" w:num="1">
            <w:col w:w="11240"/>
          </w:cols>
          <w:pgMar w:left="320" w:top="121" w:right="339" w:bottom="91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10"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ind w:firstLine="8"/>
        <w:spacing w:after="0" w:line="244" w:lineRule="auto"/>
        <w:tabs>
          <w:tab w:leader="none" w:pos="457"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Liquidity Facility</w:t>
      </w:r>
      <w:r>
        <w:rPr>
          <w:rFonts w:ascii="Arial" w:cs="Arial" w:eastAsia="Arial" w:hAnsi="Arial"/>
          <w:sz w:val="22"/>
          <w:szCs w:val="22"/>
          <w:color w:val="auto"/>
        </w:rPr>
        <w:t>: The fair value of PPPLF is estimated using a discounted cash flow based on the remaining contractual</w:t>
      </w:r>
      <w:r>
        <w:rPr>
          <w:rFonts w:ascii="Arial" w:cs="Arial" w:eastAsia="Arial" w:hAnsi="Arial"/>
          <w:sz w:val="22"/>
          <w:szCs w:val="22"/>
          <w:b w:val="1"/>
          <w:bCs w:val="1"/>
          <w:color w:val="auto"/>
        </w:rPr>
        <w:t xml:space="preserve"> </w:t>
      </w:r>
      <w:r>
        <w:rPr>
          <w:rFonts w:ascii="Arial" w:cs="Arial" w:eastAsia="Arial" w:hAnsi="Arial"/>
          <w:sz w:val="22"/>
          <w:szCs w:val="22"/>
          <w:color w:val="auto"/>
        </w:rPr>
        <w:t>term and current borrowing rates for similar terms.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19"/>
                <w:szCs w:val="19"/>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2020</w:t>
            </w:r>
          </w:p>
        </w:tc>
      </w:tr>
      <w:tr>
        <w:trPr>
          <w:trHeight w:val="198"/>
        </w:trPr>
        <w:tc>
          <w:tcPr>
            <w:tcW w:w="3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r>
      <w:tr>
        <w:trPr>
          <w:trHeight w:val="241"/>
        </w:trPr>
        <w:tc>
          <w:tcPr>
            <w:tcW w:w="3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32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Financial assets:</w:t>
            </w: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Investment securities held-to-maturity</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11,332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FHLB stock</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197,412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232,074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211,299</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20,948</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SBA servicing asset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Investment in BFG</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3,770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Total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251,892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249,488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164,476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164,845</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PPP Liquidity Facility</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101,007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105,886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Assets measured at fair value on a nonrecurring basis are summarized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4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Measurements Using</w:t>
            </w: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Description of Financial Instrument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Nonrecurring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Nonrecurring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Impaired loans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1,673</w:t>
            </w: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Impaired loans </w:t>
      </w:r>
      <w:r>
        <w:rPr>
          <w:rFonts w:ascii="Arial" w:cs="Arial" w:eastAsia="Arial" w:hAnsi="Arial"/>
          <w:sz w:val="19"/>
          <w:szCs w:val="19"/>
          <w:color w:val="auto"/>
        </w:rPr>
        <w:t>– The loan amount above represents loans impaired as of year-end that have been adjusted to fair value. When</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dependent loans 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Quantitative information for Level 3 fair value measurements </w:t>
      </w:r>
      <w:r>
        <w:rPr>
          <w:rFonts w:ascii="Arial" w:cs="Arial" w:eastAsia="Arial" w:hAnsi="Arial"/>
          <w:sz w:val="22"/>
          <w:szCs w:val="22"/>
          <w:color w:val="auto"/>
        </w:rPr>
        <w:t>– The range and weighted average of the significant</w:t>
      </w:r>
      <w:r>
        <w:rPr>
          <w:rFonts w:ascii="Arial" w:cs="Arial" w:eastAsia="Arial" w:hAnsi="Arial"/>
          <w:sz w:val="22"/>
          <w:szCs w:val="22"/>
          <w:b w:val="1"/>
          <w:bCs w:val="1"/>
          <w:color w:val="auto"/>
        </w:rPr>
        <w:t xml:space="preserve"> </w:t>
      </w:r>
      <w:r>
        <w:rPr>
          <w:rFonts w:ascii="Arial" w:cs="Arial" w:eastAsia="Arial" w:hAnsi="Arial"/>
          <w:sz w:val="22"/>
          <w:szCs w:val="22"/>
          <w:color w:val="auto"/>
        </w:rPr>
        <w:t>unobservable inputs used to fair value Level 3 nonrecurring assets during the years ended December 31, 2021 and 2020, along with the valuation techniques used, are shown in the following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Range</w:t>
            </w:r>
          </w:p>
        </w:tc>
      </w:tr>
      <w:tr>
        <w:trPr>
          <w:trHeight w:val="216"/>
        </w:trPr>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41"/>
        </w:trPr>
        <w:tc>
          <w:tcPr>
            <w:tcW w:w="2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comparable</w:t>
            </w:r>
          </w:p>
        </w:tc>
        <w:tc>
          <w:tcPr>
            <w:tcW w:w="8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appraisal value</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r>
      <w:tr>
        <w:trPr>
          <w:trHeight w:val="216"/>
        </w:trPr>
        <w:tc>
          <w:tcPr>
            <w:tcW w:w="2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0" w:type="dxa"/>
            <w:vAlign w:val="bottom"/>
          </w:tcPr>
          <w:p>
            <w:pPr>
              <w:spacing w:after="0"/>
              <w:rPr>
                <w:sz w:val="17"/>
                <w:szCs w:val="17"/>
                <w:color w:val="auto"/>
              </w:rPr>
            </w:pPr>
          </w:p>
        </w:tc>
        <w:tc>
          <w:tcPr>
            <w:tcW w:w="2160" w:type="dxa"/>
            <w:vAlign w:val="bottom"/>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Impaired loans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comparable</w:t>
            </w:r>
          </w:p>
        </w:tc>
        <w:tc>
          <w:tcPr>
            <w:tcW w:w="8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appraisal value</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0.73%</w:t>
            </w:r>
          </w:p>
        </w:tc>
      </w:tr>
      <w:tr>
        <w:trPr>
          <w:trHeight w:val="496"/>
        </w:trPr>
        <w:tc>
          <w:tcPr>
            <w:tcW w:w="2880" w:type="dxa"/>
            <w:vAlign w:val="bottom"/>
          </w:tcPr>
          <w:p>
            <w:pPr>
              <w:spacing w:after="0"/>
              <w:rPr>
                <w:sz w:val="20"/>
                <w:szCs w:val="20"/>
                <w:color w:val="auto"/>
              </w:rPr>
            </w:pPr>
            <w:r>
              <w:rPr>
                <w:rFonts w:ascii="Arial" w:cs="Arial" w:eastAsia="Arial" w:hAnsi="Arial"/>
                <w:sz w:val="22"/>
                <w:szCs w:val="22"/>
                <w:b w:val="1"/>
                <w:bCs w:val="1"/>
                <w:color w:val="auto"/>
              </w:rPr>
              <w:t>Note 12 – Income Taxes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6"/>
        </w:trPr>
        <w:tc>
          <w:tcPr>
            <w:tcW w:w="6440" w:type="dxa"/>
            <w:vAlign w:val="bottom"/>
            <w:gridSpan w:val="6"/>
          </w:tcPr>
          <w:p>
            <w:pPr>
              <w:spacing w:after="0"/>
              <w:rPr>
                <w:sz w:val="20"/>
                <w:szCs w:val="20"/>
                <w:color w:val="auto"/>
              </w:rPr>
            </w:pPr>
            <w:r>
              <w:rPr>
                <w:rFonts w:ascii="Arial" w:cs="Arial" w:eastAsia="Arial" w:hAnsi="Arial"/>
                <w:sz w:val="22"/>
                <w:szCs w:val="22"/>
                <w:color w:val="auto"/>
              </w:rPr>
              <w:t>The components of income tax expense consist of the following:</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5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0"/>
              </w:rPr>
              <w:t>For the Years Ended December</w:t>
            </w:r>
          </w:p>
        </w:tc>
      </w:tr>
      <w:tr>
        <w:trPr>
          <w:trHeight w:val="241"/>
        </w:trPr>
        <w:tc>
          <w:tcPr>
            <w:tcW w:w="4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Current tax expense</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2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State</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expense (benefit)</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Federal</w:t>
            </w: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3,942</w:t>
            </w:r>
          </w:p>
        </w:tc>
      </w:tr>
    </w:tbl>
    <w:p>
      <w:pPr>
        <w:spacing w:after="0" w:line="20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components of net deferred income tax assets and liabilities on the balance sheet at December 31, 2021 and 2020,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0"/>
                <w:szCs w:val="20"/>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tax assets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Reserve for loan loss</w:t>
            </w:r>
          </w:p>
        </w:tc>
        <w:tc>
          <w:tcPr>
            <w:tcW w:w="3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bonuses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Nonqualified stock options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Intangibles</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fixed assets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11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1140" w:type="dxa"/>
            <w:vAlign w:val="bottom"/>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140" w:type="dxa"/>
            <w:vAlign w:val="bottom"/>
          </w:tcPr>
          <w:p>
            <w:pPr>
              <w:spacing w:after="0"/>
              <w:rPr>
                <w:sz w:val="20"/>
                <w:szCs w:val="20"/>
                <w:color w:val="auto"/>
              </w:rPr>
            </w:pPr>
          </w:p>
        </w:tc>
      </w:tr>
      <w:tr>
        <w:trPr>
          <w:trHeight w:val="581"/>
        </w:trPr>
        <w:tc>
          <w:tcPr>
            <w:tcW w:w="3840" w:type="dxa"/>
            <w:vAlign w:val="bottom"/>
          </w:tcPr>
          <w:p>
            <w:pPr>
              <w:spacing w:after="0"/>
              <w:rPr>
                <w:sz w:val="24"/>
                <w:szCs w:val="24"/>
                <w:color w:val="auto"/>
              </w:rPr>
            </w:pPr>
          </w:p>
        </w:tc>
        <w:tc>
          <w:tcPr>
            <w:tcW w:w="3680" w:type="dxa"/>
            <w:vAlign w:val="bottom"/>
          </w:tcPr>
          <w:p>
            <w:pPr>
              <w:jc w:val="right"/>
              <w:ind w:right="1696"/>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384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income tax expense recorded differs from the expected income tax expense and the reconciliation of these differences is as follows at December 31,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For the Years Ended December</w:t>
            </w:r>
          </w:p>
        </w:tc>
      </w:tr>
      <w:tr>
        <w:trPr>
          <w:trHeight w:val="241"/>
        </w:trPr>
        <w:tc>
          <w:tcPr>
            <w:tcW w:w="5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7"/>
              </w:rPr>
              <w:t>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rates</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Effect of permanent differences</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expense, net</w:t>
            </w:r>
          </w:p>
        </w:tc>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3,942</w:t>
            </w: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recognizes interest accrued and penalties related to unrecognized tax benefits in tax expense. During the years ended December 31, 2021 and 2020, the Company recognized approximately $0 million of interest or penalties. The Company files a United States federal income tax return and state income tax returns in Utah, Florida, and New York. Open tax years that are potentially subject to examination related to the U.S. federal jurisdiction are 2018 and subsequent years.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Company had no unrecognized tax benefits at December 31, 2021.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Shareholders’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Repurchases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During 2020, the Company repurchased 84,198 shares of its common stock at an average price of $3.68 and a total cost of $0.3 million. The repurchase of shares by the Company are considered authorized but unissued shares upon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Retirement Plan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has established an employee directed 401(k) plan (Plan). The Plan requires the Company to annually contribute a “Safe Harbor” profit sharing contribution for all eligible participants.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$0.4 million and $0.3 million for the years ended December 31,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Related Parties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the ordinary course of business, the Company may grant loans to certain executive officers and directors and the companies with which they are associated. The Company had loans outstanding to related parties of $0.0 million as of December 31, 2021 and 2020, respectively. Total deposits from certain executive officers and directors and the companies with which they are associated were $0.5 million and $0.7 million as of December 31, 2021 and 2020, respectively.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Earnings per Share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table is a reconciliation of the components used to derive basic and diluted EPS for the years ended December 31, 2021 and 2020 ($ in thousands, except share and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2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w w:val="91"/>
              </w:rPr>
              <w:t>For the Years Ended December 31,</w:t>
            </w:r>
          </w:p>
        </w:tc>
      </w:tr>
      <w:tr>
        <w:trPr>
          <w:trHeight w:val="223"/>
        </w:trPr>
        <w:tc>
          <w:tcPr>
            <w:tcW w:w="5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6"/>
                <w:szCs w:val="16"/>
                <w:color w:val="auto"/>
              </w:rPr>
              <w:t>Amount allocated to participating common shareholders</w:t>
            </w:r>
            <w:r>
              <w:rPr>
                <w:rFonts w:ascii="Arial" w:cs="Arial" w:eastAsia="Arial" w:hAnsi="Arial"/>
                <w:sz w:val="25"/>
                <w:szCs w:val="25"/>
                <w:color w:val="auto"/>
                <w:vertAlign w:val="superscript"/>
              </w:rPr>
              <w:t>(1)</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 to common shareholders</w:t>
            </w:r>
          </w:p>
        </w:tc>
        <w:tc>
          <w:tcPr>
            <w:tcW w:w="1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10,361</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8,669,724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8,025,390</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44,244</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Warrants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9,108,163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8,069,634</w:t>
            </w: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Earnings per share, basic</w:t>
            </w: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0"/>
              <w:spacing w:after="0"/>
              <w:rPr>
                <w:sz w:val="20"/>
                <w:szCs w:val="20"/>
                <w:color w:val="auto"/>
              </w:rPr>
            </w:pPr>
            <w:r>
              <w:rPr>
                <w:rFonts w:ascii="Arial" w:cs="Arial" w:eastAsia="Arial" w:hAnsi="Arial"/>
                <w:sz w:val="18"/>
                <w:szCs w:val="18"/>
                <w:color w:val="auto"/>
                <w:w w:val="85"/>
              </w:rPr>
              <w:t>1.29</w:t>
            </w:r>
          </w:p>
        </w:tc>
        <w:tc>
          <w:tcPr>
            <w:tcW w:w="10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diluted</w:t>
            </w:r>
          </w:p>
        </w:tc>
        <w:tc>
          <w:tcPr>
            <w:tcW w:w="1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85"/>
              </w:rPr>
              <w:t>1.28</w:t>
            </w:r>
          </w:p>
        </w:tc>
        <w:tc>
          <w:tcPr>
            <w:tcW w:w="10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(1) Represents earnings attributable to holders of unvested restricted stock issued outside of the Plan to the Company's employees.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There were no anti-dilutive options for the periods reported in the table above.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Revenue Recognition</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is a summary of the Company’s revenue disaggregated by contracts with customers and revenue outside the scope of ASC 606: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920" w:type="dxa"/>
            <w:vAlign w:val="bottom"/>
            <w:gridSpan w:val="7"/>
          </w:tcPr>
          <w:p>
            <w:pPr>
              <w:ind w:left="60"/>
              <w:spacing w:after="0"/>
              <w:rPr>
                <w:sz w:val="20"/>
                <w:szCs w:val="20"/>
                <w:color w:val="auto"/>
              </w:rPr>
            </w:pPr>
            <w:r>
              <w:rPr>
                <w:rFonts w:ascii="Arial" w:cs="Arial" w:eastAsia="Arial" w:hAnsi="Arial"/>
                <w:sz w:val="18"/>
                <w:szCs w:val="18"/>
                <w:b w:val="1"/>
                <w:bCs w:val="1"/>
                <w:color w:val="auto"/>
                <w:w w:val="95"/>
              </w:rPr>
              <w:t>For the Years Ended December 31,</w:t>
            </w:r>
          </w:p>
        </w:tc>
        <w:tc>
          <w:tcPr>
            <w:tcW w:w="1140" w:type="dxa"/>
            <w:vAlign w:val="bottom"/>
          </w:tcPr>
          <w:p>
            <w:pPr>
              <w:spacing w:after="0"/>
              <w:rPr>
                <w:sz w:val="20"/>
                <w:szCs w:val="20"/>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0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income</w:t>
            </w:r>
          </w:p>
        </w:tc>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Interest income, not-in-scope</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loans</w:t>
            </w:r>
          </w:p>
        </w:tc>
        <w:tc>
          <w:tcPr>
            <w:tcW w:w="3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49,135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29,271</w:t>
            </w: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on securities</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interest income</w:t>
            </w:r>
          </w:p>
        </w:tc>
        <w:tc>
          <w:tcPr>
            <w:tcW w:w="3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49,243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29,506</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Non-interest income, in-scope</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3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Strategic Program set up fees</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not in-scope</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Strategic Program fees</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8,992</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loans</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SBA loan servicing fees</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in BFG</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11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miscellaneous income</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service charges</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14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3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31,844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14,373</w:t>
            </w:r>
          </w:p>
        </w:tc>
        <w:tc>
          <w:tcPr>
            <w:tcW w:w="1140" w:type="dxa"/>
            <w:vAlign w:val="bottom"/>
          </w:tcPr>
          <w:p>
            <w:pPr>
              <w:spacing w:after="0"/>
              <w:rPr>
                <w:sz w:val="20"/>
                <w:szCs w:val="20"/>
                <w:color w:val="auto"/>
              </w:rPr>
            </w:pPr>
          </w:p>
        </w:tc>
      </w:tr>
      <w:tr>
        <w:trPr>
          <w:trHeight w:val="581"/>
        </w:trPr>
        <w:tc>
          <w:tcPr>
            <w:tcW w:w="4160" w:type="dxa"/>
            <w:vAlign w:val="bottom"/>
          </w:tcPr>
          <w:p>
            <w:pPr>
              <w:spacing w:after="0"/>
              <w:rPr>
                <w:sz w:val="24"/>
                <w:szCs w:val="24"/>
                <w:color w:val="auto"/>
              </w:rPr>
            </w:pPr>
          </w:p>
        </w:tc>
        <w:tc>
          <w:tcPr>
            <w:tcW w:w="3020" w:type="dxa"/>
            <w:vAlign w:val="bottom"/>
          </w:tcPr>
          <w:p>
            <w:pPr>
              <w:jc w:val="right"/>
              <w:ind w:right="1354"/>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416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Condensed Financial Statements of Parent</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Financial information pertaining only to FinWise Bancorp, on a parent-only basis, is as follows as of and for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and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9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7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 in subsidiary bank</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71,186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40,717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Business Funding Group (BFG), at fair value</w:t>
            </w: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 in FinWise Investments, LLC</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net</w:t>
            </w: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assets</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46,809</w:t>
            </w: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net</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taxes payable</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Shareholders' equity</w:t>
            </w: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115,442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45,872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46,809</w:t>
            </w:r>
          </w:p>
        </w:tc>
      </w:tr>
      <w:tr>
        <w:trPr>
          <w:trHeight w:val="595"/>
        </w:trPr>
        <w:tc>
          <w:tcPr>
            <w:tcW w:w="4900" w:type="dxa"/>
            <w:vAlign w:val="bottom"/>
          </w:tcPr>
          <w:p>
            <w:pPr>
              <w:spacing w:after="0"/>
              <w:rPr>
                <w:sz w:val="24"/>
                <w:szCs w:val="24"/>
                <w:color w:val="auto"/>
              </w:rPr>
            </w:pPr>
          </w:p>
        </w:tc>
        <w:tc>
          <w:tcPr>
            <w:tcW w:w="3780" w:type="dxa"/>
            <w:vAlign w:val="bottom"/>
          </w:tcPr>
          <w:p>
            <w:pPr>
              <w:jc w:val="right"/>
              <w:ind w:right="2854"/>
              <w:spacing w:after="0"/>
              <w:rPr>
                <w:sz w:val="20"/>
                <w:szCs w:val="20"/>
                <w:color w:val="auto"/>
              </w:rPr>
            </w:pPr>
            <w:r>
              <w:rPr>
                <w:rFonts w:ascii="Arial" w:cs="Arial" w:eastAsia="Arial" w:hAnsi="Arial"/>
                <w:sz w:val="14"/>
                <w:szCs w:val="14"/>
                <w:color w:val="auto"/>
              </w:rPr>
              <w:t>107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9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52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investment in BFG</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Equity in undistributed earnings of subsidiary</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30,469</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33,460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12,246</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Loss on investment in BFG</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1,422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32,038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455</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31,583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11,198</w:t>
            </w:r>
          </w:p>
        </w:tc>
      </w:tr>
      <w:tr>
        <w:trPr>
          <w:trHeight w:val="496"/>
        </w:trPr>
        <w:tc>
          <w:tcPr>
            <w:tcW w:w="5260" w:type="dxa"/>
            <w:vAlign w:val="bottom"/>
          </w:tcPr>
          <w:p>
            <w:pPr>
              <w:spacing w:after="0"/>
              <w:rPr>
                <w:sz w:val="20"/>
                <w:szCs w:val="20"/>
                <w:color w:val="auto"/>
              </w:rPr>
            </w:pPr>
            <w:r>
              <w:rPr>
                <w:rFonts w:ascii="Arial" w:cs="Arial" w:eastAsia="Arial" w:hAnsi="Arial"/>
                <w:sz w:val="22"/>
                <w:szCs w:val="22"/>
                <w:b w:val="1"/>
                <w:bCs w:val="1"/>
                <w:color w:val="auto"/>
              </w:rPr>
              <w:t>Statements of Cash Flows</w:t>
            </w:r>
          </w:p>
        </w:tc>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5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23"/>
        </w:trPr>
        <w:tc>
          <w:tcPr>
            <w:tcW w:w="52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31,583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fair value of BFG</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(2,991)</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on investment in BFG</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changes in:</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assets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30,281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12,930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Investment in subsidiary bank</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(30,469)</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(11,390)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FinWise Investments, LLC</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Distributions of BFG</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(10,845)</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Proceeds from initial public offering, net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35,576</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5"/>
              </w:rPr>
              <w:t>Repurchase of restricted stock to pay for employee withholding taxes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35,887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r>
      <w:tr>
        <w:trPr>
          <w:trHeight w:val="216"/>
        </w:trPr>
        <w:tc>
          <w:tcPr>
            <w:tcW w:w="526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36,480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1,858</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4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38,697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investing activities:</w:t>
            </w: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Issuance of common stock for investment in BFG</w:t>
            </w:r>
          </w:p>
        </w:tc>
        <w:tc>
          <w:tcPr>
            <w:tcW w:w="34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lieu of cash bonus</w:t>
            </w:r>
          </w:p>
        </w:tc>
        <w:tc>
          <w:tcPr>
            <w:tcW w:w="34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595"/>
        </w:trPr>
        <w:tc>
          <w:tcPr>
            <w:tcW w:w="5260" w:type="dxa"/>
            <w:vAlign w:val="bottom"/>
          </w:tcPr>
          <w:p>
            <w:pPr>
              <w:spacing w:after="0"/>
              <w:rPr>
                <w:sz w:val="24"/>
                <w:szCs w:val="24"/>
                <w:color w:val="auto"/>
              </w:rPr>
            </w:pPr>
          </w:p>
        </w:tc>
        <w:tc>
          <w:tcPr>
            <w:tcW w:w="3200" w:type="dxa"/>
            <w:vAlign w:val="bottom"/>
          </w:tcPr>
          <w:p>
            <w:pPr>
              <w:ind w:left="260"/>
              <w:spacing w:after="0"/>
              <w:rPr>
                <w:sz w:val="20"/>
                <w:szCs w:val="20"/>
                <w:color w:val="auto"/>
              </w:rPr>
            </w:pPr>
            <w:r>
              <w:rPr>
                <w:rFonts w:ascii="Arial" w:cs="Arial" w:eastAsia="Arial" w:hAnsi="Arial"/>
                <w:sz w:val="14"/>
                <w:szCs w:val="14"/>
                <w:color w:val="auto"/>
              </w:rPr>
              <w:t>108</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26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 Subsequent Events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has evaluated subsequent events through March 30, 2022, which is the date the consolidated financial statements are available to be issued.</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w:t>
      </w:r>
      <w:r>
        <w:rPr>
          <w:rFonts w:ascii="Arial" w:cs="Arial" w:eastAsia="Arial" w:hAnsi="Arial"/>
          <w:sz w:val="22"/>
          <w:szCs w:val="22"/>
          <w:color w:val="auto"/>
        </w:rPr>
        <w:t>’</w:t>
      </w:r>
      <w:r>
        <w:rPr>
          <w:rFonts w:ascii="Arial" w:cs="Arial" w:eastAsia="Arial" w:hAnsi="Arial"/>
          <w:sz w:val="22"/>
          <w:szCs w:val="22"/>
          <w:b w:val="1"/>
          <w:bCs w:val="1"/>
          <w:color w:val="auto"/>
        </w:rPr>
        <w:t>s Annual Report on Internal Control Over Financial Reporting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annual report does not include a report of management’s assessment regarding internal control over financial reporting or an attestation report of the Company’s independent registered public accounting firm due to a transition period established by rules of the SEC for newly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There were no changes in the Company’s internal controls over financial reporting (as such term is defined in Rules 13a-15(f) and 15d-15(f) under the Exchange Act) during the fourth fiscal quarter of 2021 that have materially affected, or are reasonably likely to materially affect, the Company’s internal controls over financial reporting.</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required by Items 401, 405, 406 and 407 (c)(3); (d)(4) and (d)(5) of Regulation S-K is incorporated into this Form 10-K by reference to the Company’s definitive proxy statement for its 2022 Annual Meeting of Shareholders (the “Definitive Proxy Statement”) to be filed within 120 days following December 31, 2021.</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information required by Item 402 of Regulation S-K is incorporated into this Form 10-K by reference to the Definitive Proxy Statement to be filed within 120 days following December 31, 2021.</w:t>
      </w:r>
    </w:p>
    <w:p>
      <w:pPr>
        <w:sectPr>
          <w:pgSz w:w="11900" w:h="16838" w:orient="portrait"/>
          <w:cols w:equalWidth="0" w:num="1">
            <w:col w:w="11240"/>
          </w:cols>
          <w:pgMar w:left="320" w:top="121" w:right="339" w:bottom="829"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9" w:gutter="0" w:footer="0" w:header="0"/>
          <w:type w:val="continuous"/>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information required by Item 201(d) and Item 403 of Regulation S-K is incorporated into this Form 10-K by reference to the Definitive Proxy Statement, to be filed within 120 days following December 31, 2021.</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information required by Items 404 and 407(a) of Regulation S-K is incorporated into this Form 10-K by reference to the Definitive Proxy Statement to be filed within 120 days following December 31, 2021.</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information required by Item 9(e) of Schedule 14A is incorporated into this Form 10-K by reference to the Definitive Proxy Statement to be filed within 120 days following December 31,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Financial Statements</w:t>
      </w:r>
    </w:p>
    <w:p>
      <w:pPr>
        <w:spacing w:after="0" w:line="233"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The following consolidated financial statements of FinWise Bancorp are filed as part of this Report under Item 8. Financial Statements and Supplementary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120" w:type="dxa"/>
            <w:vAlign w:val="bottom"/>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(PCAOB ID 173)</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Consolidated Balance Sheet</w:t>
            </w:r>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3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31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(b) Exhibits.</w:t>
      </w:r>
    </w:p>
    <w:p>
      <w:pPr>
        <w:spacing w:after="0" w:line="250"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ind w:left="1120" w:hanging="759"/>
        <w:spacing w:after="0" w:line="274"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r:id="rId108">
        <w:r>
          <w:rPr>
            <w:rFonts w:ascii="Arial" w:cs="Arial" w:eastAsia="Arial" w:hAnsi="Arial"/>
            <w:sz w:val="17"/>
            <w:szCs w:val="17"/>
            <w:u w:val="single" w:color="auto"/>
            <w:color w:val="0000EE"/>
          </w:rPr>
          <w:t>Fourth Amended and Restated Articles of Incorporation (incorporated by reference to Exhibit 3.1 of the Registrant’s Registration Statement</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on Form S-1 filed with the Securities and Exchange Commission on July 30, 2021 (File No. 333-257929)).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75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10">
        <w:r>
          <w:rPr>
            <w:rFonts w:ascii="Arial" w:cs="Arial" w:eastAsia="Arial" w:hAnsi="Arial"/>
            <w:sz w:val="18"/>
            <w:szCs w:val="18"/>
            <w:u w:val="single" w:color="auto"/>
            <w:color w:val="0000EE"/>
          </w:rPr>
          <w:t>Amended and Restated Bylaws (incorporated by reference to Exhibit 3.2 of the Registrant’s Registration Statement on Form S-1 filed with</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the Securities and Exchange Commission on July 30, 2021 (File No. 333-257929)).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right="20" w:hanging="75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12">
        <w:r>
          <w:rPr>
            <w:rFonts w:ascii="Arial" w:cs="Arial" w:eastAsia="Arial" w:hAnsi="Arial"/>
            <w:sz w:val="18"/>
            <w:szCs w:val="18"/>
            <w:u w:val="single" w:color="auto"/>
            <w:color w:val="0000EE"/>
          </w:rPr>
          <w:t>Specimen common stock certificate (incorporated by reference to Exhibit 4.1 of the Registrant’s Registration Statement on Form S-1 filed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with the Securities and Exchange Commission on July 15, 2021 (File No. 333-257929)).</w:t>
        </w:r>
      </w:hyperlink>
    </w:p>
    <w:p>
      <w:pPr>
        <w:spacing w:after="0" w:line="1" w:lineRule="exact"/>
        <w:rPr>
          <w:sz w:val="20"/>
          <w:szCs w:val="20"/>
          <w:color w:val="auto"/>
        </w:rPr>
      </w:pPr>
    </w:p>
    <w:p>
      <w:pPr>
        <w:jc w:val="both"/>
        <w:ind w:left="1120" w:hanging="75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13">
        <w:r>
          <w:rPr>
            <w:rFonts w:ascii="Arial" w:cs="Arial" w:eastAsia="Arial" w:hAnsi="Arial"/>
            <w:sz w:val="18"/>
            <w:szCs w:val="18"/>
            <w:u w:val="single" w:color="auto"/>
            <w:color w:val="0000EE"/>
          </w:rPr>
          <w:t>Form of Warrant to BFG Members to Purchase Common Stock of FinWise Bancorp (incorporated by reference to Exhibit 4.2 of the</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Registrant’s Registration Statement on Form S-1 filed with the Securities and Exchange Commission on July 15, 2021 (File No. 333-</w:t>
        </w:r>
      </w:hyperlink>
      <w:hyperlink r:id="rId113">
        <w:r>
          <w:rPr>
            <w:rFonts w:ascii="Arial" w:cs="Arial" w:eastAsia="Arial" w:hAnsi="Arial"/>
            <w:sz w:val="18"/>
            <w:szCs w:val="18"/>
            <w:u w:val="single" w:color="auto"/>
            <w:color w:val="0000EE"/>
          </w:rPr>
          <w:t>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5">
        <w:r>
          <w:rPr>
            <w:rFonts w:ascii="Arial" w:cs="Arial" w:eastAsia="Arial" w:hAnsi="Arial"/>
            <w:sz w:val="18"/>
            <w:szCs w:val="18"/>
            <w:u w:val="single" w:color="auto"/>
            <w:color w:val="0000EE"/>
          </w:rPr>
          <w:t>FinWise Bancorp 2019 Stock Option Plan (incorporated by reference to Exhibit 10.1 of the Registrant’s Registration Statement on Form S-1</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filed with the Securities and Exchange Commission on July 30, 2021 (File No. 333-257929)).</w:t>
        </w:r>
      </w:hyperlink>
    </w:p>
    <w:p>
      <w:pPr>
        <w:spacing w:after="0" w:line="1" w:lineRule="exact"/>
        <w:rPr>
          <w:sz w:val="20"/>
          <w:szCs w:val="20"/>
          <w:color w:val="auto"/>
        </w:rPr>
      </w:pPr>
    </w:p>
    <w:p>
      <w:pPr>
        <w:jc w:val="both"/>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16">
        <w:r>
          <w:rPr>
            <w:rFonts w:ascii="Arial" w:cs="Arial" w:eastAsia="Arial" w:hAnsi="Arial"/>
            <w:sz w:val="18"/>
            <w:szCs w:val="18"/>
            <w:u w:val="single" w:color="auto"/>
            <w:color w:val="0000EE"/>
          </w:rPr>
          <w:t>Form of Stock Option Agreement under the FinWise Bancorp 2019 Stock Option Plan (incorporated by reference to Exhibit 10.2 of the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Registrant’s Registration Statement on Form S-1 filed with the Securities and Exchange Commission on July 15, 2021 (File No. 333-</w:t>
        </w:r>
      </w:hyperlink>
      <w:hyperlink r:id="rId116">
        <w:r>
          <w:rPr>
            <w:rFonts w:ascii="Arial" w:cs="Arial" w:eastAsia="Arial" w:hAnsi="Arial"/>
            <w:sz w:val="18"/>
            <w:szCs w:val="18"/>
            <w:u w:val="single" w:color="auto"/>
            <w:color w:val="0000EE"/>
          </w:rPr>
          <w:t>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8">
        <w:r>
          <w:rPr>
            <w:rFonts w:ascii="Arial" w:cs="Arial" w:eastAsia="Arial" w:hAnsi="Arial"/>
            <w:sz w:val="18"/>
            <w:szCs w:val="18"/>
            <w:u w:val="single" w:color="auto"/>
            <w:color w:val="0000EE"/>
          </w:rPr>
          <w:t>FinWise Bancorp 2016 Stock Option Plan (incorporated by reference to Exhibit 10.3 of the Registrant’s Registration Statement on Form S-1</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filed with the Securities and Exchange Commission on July 30, 2021 (File No. 333-257929)).</w:t>
        </w:r>
      </w:hyperlink>
    </w:p>
    <w:p>
      <w:pPr>
        <w:spacing w:after="0" w:line="1" w:lineRule="exact"/>
        <w:rPr>
          <w:sz w:val="20"/>
          <w:szCs w:val="20"/>
          <w:color w:val="auto"/>
        </w:rPr>
      </w:pPr>
    </w:p>
    <w:p>
      <w:pPr>
        <w:jc w:val="both"/>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19">
        <w:r>
          <w:rPr>
            <w:rFonts w:ascii="Arial" w:cs="Arial" w:eastAsia="Arial" w:hAnsi="Arial"/>
            <w:sz w:val="18"/>
            <w:szCs w:val="18"/>
            <w:u w:val="single" w:color="auto"/>
            <w:color w:val="0000EE"/>
          </w:rPr>
          <w:t>Form of Stock Option Agreement under the FinWise Bancorp 2016 Stock Option Plan (incorporated by reference to Exhibit 10.4 of the</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Registrant’s Registration Statement on Form S-1 filed with the Securities and Exchange Commission on July 15, 2021 (File No. 333-</w:t>
        </w:r>
      </w:hyperlink>
      <w:hyperlink r:id="rId119">
        <w:r>
          <w:rPr>
            <w:rFonts w:ascii="Arial" w:cs="Arial" w:eastAsia="Arial" w:hAnsi="Arial"/>
            <w:sz w:val="18"/>
            <w:szCs w:val="18"/>
            <w:u w:val="single" w:color="auto"/>
            <w:color w:val="0000EE"/>
          </w:rPr>
          <w:t>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1">
        <w:r>
          <w:rPr>
            <w:rFonts w:ascii="Arial" w:cs="Arial" w:eastAsia="Arial" w:hAnsi="Arial"/>
            <w:sz w:val="18"/>
            <w:szCs w:val="18"/>
            <w:u w:val="single" w:color="auto"/>
            <w:color w:val="0000EE"/>
          </w:rPr>
          <w:t>Form of Restricted Stock Award Agreement (incorporated by reference to Exhibit 10.5 of the Registrant’s Registration Statement on Form</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S-1 filed with the Securities and Exchange Commission on July 15, 2021 (File No. 333-257929)).</w:t>
        </w:r>
      </w:hyperlink>
    </w:p>
    <w:p>
      <w:pPr>
        <w:spacing w:after="0" w:line="1" w:lineRule="exact"/>
        <w:rPr>
          <w:sz w:val="20"/>
          <w:szCs w:val="20"/>
          <w:color w:val="auto"/>
        </w:rPr>
      </w:pPr>
    </w:p>
    <w:p>
      <w:pPr>
        <w:jc w:val="both"/>
        <w:ind w:left="1120" w:hanging="804"/>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10.6</w:t>
      </w:r>
      <w:r>
        <w:rPr>
          <w:sz w:val="20"/>
          <w:szCs w:val="20"/>
          <w:color w:val="auto"/>
        </w:rPr>
        <w:tab/>
      </w:r>
      <w:hyperlink r:id="rId122">
        <w:r>
          <w:rPr>
            <w:rFonts w:ascii="Arial" w:cs="Arial" w:eastAsia="Arial" w:hAnsi="Arial"/>
            <w:sz w:val="17"/>
            <w:szCs w:val="17"/>
            <w:u w:val="single" w:color="auto"/>
            <w:color w:val="0000EE"/>
          </w:rPr>
          <w:t>Non-qualified Stock Option Agreement with Javvis Jacobson (incorporated by reference to Exhibit 4.6 of the Registrant’s Registration</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04"/>
        <w:spacing w:after="0" w:line="26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24">
        <w:r>
          <w:rPr>
            <w:rFonts w:ascii="Arial" w:cs="Arial" w:eastAsia="Arial" w:hAnsi="Arial"/>
            <w:sz w:val="18"/>
            <w:szCs w:val="18"/>
            <w:u w:val="single" w:color="auto"/>
            <w:color w:val="0000EE"/>
          </w:rPr>
          <w:t>Non-qualified Stock Option Agreement with Jim Noone (incorporated by reference to Exhibit 4.7 of the Registrant’s Registration Statement</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on Form S-8 filed with the Securities and Exchange Commission on February 4, 2022 (File No. 333-262531)).</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1120" w:right="20" w:hanging="804"/>
        <w:spacing w:after="0" w:line="274"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126">
        <w:r>
          <w:rPr>
            <w:rFonts w:ascii="Arial" w:cs="Arial" w:eastAsia="Arial" w:hAnsi="Arial"/>
            <w:sz w:val="17"/>
            <w:szCs w:val="17"/>
            <w:u w:val="single" w:color="auto"/>
            <w:color w:val="0000EE"/>
          </w:rPr>
          <w:t>Non-qualified Stock Option Agreement with Kent Landvatter (incorporated by reference to Exhibit 4.8 of the Registrant’s Registration</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right="20" w:hanging="804"/>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28">
        <w:r>
          <w:rPr>
            <w:rFonts w:ascii="Arial" w:cs="Arial" w:eastAsia="Arial" w:hAnsi="Arial"/>
            <w:sz w:val="17"/>
            <w:szCs w:val="17"/>
            <w:u w:val="single" w:color="auto"/>
            <w:color w:val="0000EE"/>
          </w:rPr>
          <w:t>Non-qualified Stock Option Agreement with Fred Healey for 2020 service (incorporated by reference to Exhibit 4.9 of the Registrant’s</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Registration 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49"/>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10.10</w:t>
      </w:r>
      <w:r>
        <w:rPr>
          <w:sz w:val="20"/>
          <w:szCs w:val="20"/>
          <w:color w:val="auto"/>
        </w:rPr>
        <w:tab/>
      </w:r>
      <w:hyperlink r:id="rId130">
        <w:r>
          <w:rPr>
            <w:rFonts w:ascii="Arial" w:cs="Arial" w:eastAsia="Arial" w:hAnsi="Arial"/>
            <w:sz w:val="17"/>
            <w:szCs w:val="17"/>
            <w:u w:val="single" w:color="auto"/>
            <w:color w:val="0000EE"/>
          </w:rPr>
          <w:t>Non-qualified Stock Option Agreement with Fred Healey for 2021 service (incorporated by reference to Exhibit 4.10 of the Registrant’s</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Registration Statement on Form S-8 filed with the Securities and Exchange Commission on February 4, 2022 (File No. 333-262531)).</w:t>
        </w:r>
      </w:hyperlink>
    </w:p>
    <w:p>
      <w:pPr>
        <w:jc w:val="both"/>
        <w:ind w:left="1120" w:hanging="846"/>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1">
        <w:r>
          <w:rPr>
            <w:rFonts w:ascii="Arial" w:cs="Arial" w:eastAsia="Arial" w:hAnsi="Arial"/>
            <w:sz w:val="18"/>
            <w:szCs w:val="18"/>
            <w:u w:val="single" w:color="auto"/>
            <w:color w:val="0000EE"/>
          </w:rPr>
          <w:t>Non-qualified Stock Option Agreement with Howard Reynolds for 2020 service (incorporated by reference to Exhibit 4.11 of the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Registrant’s Registration Statement on Form S-8 filed with the Securities and Exchange Commission on February 4, 2022 (File No. 333-</w:t>
        </w:r>
      </w:hyperlink>
      <w:hyperlink r:id="rId131">
        <w:r>
          <w:rPr>
            <w:rFonts w:ascii="Arial" w:cs="Arial" w:eastAsia="Arial" w:hAnsi="Arial"/>
            <w:sz w:val="18"/>
            <w:szCs w:val="18"/>
            <w:u w:val="single" w:color="auto"/>
            <w:color w:val="0000EE"/>
          </w:rPr>
          <w:t>262531)).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3">
        <w:r>
          <w:rPr>
            <w:rFonts w:ascii="Arial" w:cs="Arial" w:eastAsia="Arial" w:hAnsi="Arial"/>
            <w:sz w:val="18"/>
            <w:szCs w:val="18"/>
            <w:u w:val="single" w:color="auto"/>
            <w:color w:val="0000EE"/>
          </w:rPr>
          <w:t>Non-qualified Stock Option Agreement with Howard Reynolds for 2021 service (incorporated by reference to Exhibit 4.12 of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Registration Statement on Form S-8 filed with the Securities and Exchange Commission on February 4, 2022 (File No. 333-</w:t>
        </w:r>
      </w:hyperlink>
      <w:hyperlink r:id="rId133">
        <w:r>
          <w:rPr>
            <w:rFonts w:ascii="Arial" w:cs="Arial" w:eastAsia="Arial" w:hAnsi="Arial"/>
            <w:sz w:val="18"/>
            <w:szCs w:val="18"/>
            <w:u w:val="single" w:color="auto"/>
            <w:color w:val="0000EE"/>
          </w:rPr>
          <w:t>262531)).</w:t>
        </w:r>
      </w:hyperlink>
    </w:p>
    <w:p>
      <w:pPr>
        <w:spacing w:after="0" w:line="1" w:lineRule="exact"/>
        <w:rPr>
          <w:rFonts w:ascii="Arial" w:cs="Arial" w:eastAsia="Arial" w:hAnsi="Arial"/>
          <w:sz w:val="18"/>
          <w:szCs w:val="18"/>
          <w:u w:val="single" w:color="auto"/>
          <w:color w:val="0000EE"/>
        </w:rPr>
      </w:pP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34">
        <w:r>
          <w:rPr>
            <w:rFonts w:ascii="Arial" w:cs="Arial" w:eastAsia="Arial" w:hAnsi="Arial"/>
            <w:sz w:val="18"/>
            <w:szCs w:val="18"/>
            <w:u w:val="single" w:color="auto"/>
            <w:color w:val="0000EE"/>
          </w:rPr>
          <w:t>Non-qualified Stock Option Agreement with Jerry Cunningham for 2020 service (incorporated by reference to Exhibit 4.13 of the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Registrant’s Registration Statement on Form S-8 filed with the Securities and Exchange Commission on February 4, 2022 (File No. 333-</w:t>
        </w:r>
      </w:hyperlink>
      <w:hyperlink r:id="rId134">
        <w:r>
          <w:rPr>
            <w:rFonts w:ascii="Arial" w:cs="Arial" w:eastAsia="Arial" w:hAnsi="Arial"/>
            <w:sz w:val="18"/>
            <w:szCs w:val="18"/>
            <w:u w:val="single" w:color="auto"/>
            <w:color w:val="0000EE"/>
          </w:rPr>
          <w:t>262531)).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6">
        <w:r>
          <w:rPr>
            <w:rFonts w:ascii="Arial" w:cs="Arial" w:eastAsia="Arial" w:hAnsi="Arial"/>
            <w:sz w:val="18"/>
            <w:szCs w:val="18"/>
            <w:u w:val="single" w:color="auto"/>
            <w:color w:val="0000EE"/>
          </w:rPr>
          <w:t>Non-qualified Stock Option Agreement with Jerry Cunningham for 2021 service (incorporated by reference to Exhibit 4.14 of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Registrant’s Registration Statement on Form S-8 filed with the Securities and Exchange Commission on February 4, 2022 (File No. 333-</w:t>
        </w:r>
      </w:hyperlink>
      <w:hyperlink r:id="rId136">
        <w:r>
          <w:rPr>
            <w:rFonts w:ascii="Arial" w:cs="Arial" w:eastAsia="Arial" w:hAnsi="Arial"/>
            <w:sz w:val="18"/>
            <w:szCs w:val="18"/>
            <w:u w:val="single" w:color="auto"/>
            <w:color w:val="0000EE"/>
          </w:rPr>
          <w:t>262531)).</w:t>
        </w:r>
      </w:hyperlink>
    </w:p>
    <w:p>
      <w:pPr>
        <w:spacing w:after="0" w:line="1" w:lineRule="exact"/>
        <w:rPr>
          <w:rFonts w:ascii="Arial" w:cs="Arial" w:eastAsia="Arial" w:hAnsi="Arial"/>
          <w:sz w:val="18"/>
          <w:szCs w:val="18"/>
          <w:u w:val="single" w:color="auto"/>
          <w:color w:val="0000EE"/>
        </w:rPr>
      </w:pPr>
    </w:p>
    <w:p>
      <w:pPr>
        <w:jc w:val="both"/>
        <w:ind w:left="1120" w:hanging="849"/>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137">
        <w:r>
          <w:rPr>
            <w:rFonts w:ascii="Arial" w:cs="Arial" w:eastAsia="Arial" w:hAnsi="Arial"/>
            <w:sz w:val="17"/>
            <w:szCs w:val="17"/>
            <w:u w:val="single" w:color="auto"/>
            <w:color w:val="0000EE"/>
          </w:rPr>
          <w:t>Non-qualified Stock Option Agreement with Tom Gibson for 2020 service (incorporated by reference to Exhibit 4.15 of the Registrant’s</w:t>
        </w:r>
      </w:hyperlink>
      <w:r>
        <w:rPr>
          <w:rFonts w:ascii="Arial" w:cs="Arial" w:eastAsia="Arial" w:hAnsi="Arial"/>
          <w:sz w:val="17"/>
          <w:szCs w:val="17"/>
          <w:u w:val="single" w:color="auto"/>
          <w:color w:val="0000EE"/>
        </w:rPr>
        <w:t xml:space="preserve"> </w:t>
      </w:r>
      <w:hyperlink r:id="rId137">
        <w:r>
          <w:rPr>
            <w:rFonts w:ascii="Arial" w:cs="Arial" w:eastAsia="Arial" w:hAnsi="Arial"/>
            <w:sz w:val="17"/>
            <w:szCs w:val="17"/>
            <w:u w:val="single" w:color="auto"/>
            <w:color w:val="0000EE"/>
          </w:rPr>
          <w:t>Registration 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49"/>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10.16</w:t>
      </w:r>
      <w:r>
        <w:rPr>
          <w:sz w:val="20"/>
          <w:szCs w:val="20"/>
          <w:color w:val="auto"/>
        </w:rPr>
        <w:tab/>
      </w:r>
      <w:hyperlink r:id="rId139">
        <w:r>
          <w:rPr>
            <w:rFonts w:ascii="Arial" w:cs="Arial" w:eastAsia="Arial" w:hAnsi="Arial"/>
            <w:sz w:val="17"/>
            <w:szCs w:val="17"/>
            <w:u w:val="single" w:color="auto"/>
            <w:color w:val="0000EE"/>
          </w:rPr>
          <w:t>Non-qualified Stock Option Agreement with Tom Gibson for 2021 service (incorporated by reference to Exhibit 4.16 of the Registrant’s</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Registration Statement on Form S-8 filed with the Securities and Exchange Commission on February 4, 2022 (File No. 333-262531)).</w:t>
        </w:r>
      </w:hyperlink>
    </w:p>
    <w:p>
      <w:pPr>
        <w:jc w:val="both"/>
        <w:ind w:left="1120" w:right="20" w:hanging="849"/>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40">
        <w:r>
          <w:rPr>
            <w:rFonts w:ascii="Arial" w:cs="Arial" w:eastAsia="Arial" w:hAnsi="Arial"/>
            <w:sz w:val="16"/>
            <w:szCs w:val="16"/>
            <w:u w:val="single" w:color="auto"/>
            <w:color w:val="0000EE"/>
          </w:rPr>
          <w:t>Non-qualified Stock Option Agreement with Jim Giordano for 2020 service (incorporated by reference to Exhibit 4.17 of the Registrant’s</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right="20" w:hanging="849"/>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42">
        <w:r>
          <w:rPr>
            <w:rFonts w:ascii="Arial" w:cs="Arial" w:eastAsia="Arial" w:hAnsi="Arial"/>
            <w:sz w:val="16"/>
            <w:szCs w:val="16"/>
            <w:u w:val="single" w:color="auto"/>
            <w:color w:val="0000EE"/>
          </w:rPr>
          <w:t>Non-qualified Stock Option Agreement with Jim Giordano for 2021 service (incorporated by reference to Exhibit 4.18 of the Registrant’s</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1" w:lineRule="exact"/>
        <w:rPr>
          <w:sz w:val="20"/>
          <w:szCs w:val="20"/>
          <w:color w:val="auto"/>
        </w:rPr>
      </w:pPr>
    </w:p>
    <w:p>
      <w:pPr>
        <w:jc w:val="both"/>
        <w:ind w:left="1120" w:hanging="849"/>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43">
        <w:r>
          <w:rPr>
            <w:rFonts w:ascii="Arial" w:cs="Arial" w:eastAsia="Arial" w:hAnsi="Arial"/>
            <w:sz w:val="16"/>
            <w:szCs w:val="16"/>
            <w:u w:val="single" w:color="auto"/>
            <w:color w:val="0000EE"/>
          </w:rPr>
          <w:t>Non-qualified Stock Option Agreement with Jeana Hutchings for 2020 service (incorporated by reference to Exhibit 4.19 of the Registrant’s</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49"/>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45">
        <w:r>
          <w:rPr>
            <w:rFonts w:ascii="Arial" w:cs="Arial" w:eastAsia="Arial" w:hAnsi="Arial"/>
            <w:sz w:val="16"/>
            <w:szCs w:val="16"/>
            <w:u w:val="single" w:color="auto"/>
            <w:color w:val="0000EE"/>
          </w:rPr>
          <w:t>Non-qualified Stock Option Agreement with Jeana Hutchings for 2021 service (incorporated by reference to Exhibit 4.20 of the Registrant’s</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1" w:lineRule="exact"/>
        <w:rPr>
          <w:sz w:val="20"/>
          <w:szCs w:val="20"/>
          <w:color w:val="auto"/>
        </w:rPr>
      </w:pPr>
    </w:p>
    <w:p>
      <w:pPr>
        <w:jc w:val="both"/>
        <w:ind w:left="1120" w:hanging="849"/>
        <w:spacing w:after="0" w:line="281"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46">
        <w:r>
          <w:rPr>
            <w:rFonts w:ascii="Arial" w:cs="Arial" w:eastAsia="Arial" w:hAnsi="Arial"/>
            <w:sz w:val="16"/>
            <w:szCs w:val="16"/>
            <w:u w:val="single" w:color="auto"/>
            <w:color w:val="0000EE"/>
          </w:rPr>
          <w:t>Non-qualified Stock Option Agreement with Lisa Chapman for 2020 service (incorporated by reference to Exhibit 4.21 of the Registrant’s</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120" w:hanging="849"/>
        <w:spacing w:after="0" w:line="323"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48">
        <w:r>
          <w:rPr>
            <w:rFonts w:ascii="Arial" w:cs="Arial" w:eastAsia="Arial" w:hAnsi="Arial"/>
            <w:sz w:val="16"/>
            <w:szCs w:val="16"/>
            <w:u w:val="single" w:color="auto"/>
            <w:color w:val="0000EE"/>
          </w:rPr>
          <w:t>Non-qualified Stock Option Agreement with Lisa Chapman for 2021 service (incorporated by reference to Exhibit 4.22 of the Registrant’s</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Registration Statement on Form S-8 filed with the Securities and Exchange Commission on February 4, 2022 (File No. 333-262531)).</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left="1120" w:hanging="849"/>
        <w:spacing w:after="0" w:line="255"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50">
        <w:r>
          <w:rPr>
            <w:rFonts w:ascii="Arial" w:cs="Arial" w:eastAsia="Arial" w:hAnsi="Arial"/>
            <w:sz w:val="18"/>
            <w:szCs w:val="18"/>
            <w:u w:val="single" w:color="auto"/>
            <w:color w:val="0000EE"/>
          </w:rPr>
          <w:t>Employment Agreement dated January 1, 2018, by and among FinWise Bancorp, FinWise Bank and David Tilis (incorporated by reference</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to Exhibit 10.6 of the Registrant’s Registration Statement on Form S-1 filed with the Securities and Exchange Commission on July 15, 2021</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(File No. 333-257929)).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52">
        <w:r>
          <w:rPr>
            <w:rFonts w:ascii="Arial" w:cs="Arial" w:eastAsia="Arial" w:hAnsi="Arial"/>
            <w:sz w:val="18"/>
            <w:szCs w:val="18"/>
            <w:u w:val="single" w:color="auto"/>
            <w:color w:val="0000EE"/>
          </w:rPr>
          <w:t>Standstill Agreement dated January 19, 2016, by and between FinWise Bancorp and Business Funding Group (incorporated by reference to</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Exhibit 10.7 of the Registrant’s Registration Statement on Form S-1 filed with the Securities and Exchange Commission on July 15, 2021</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(File No. 333-257929)).</w:t>
        </w:r>
      </w:hyperlink>
    </w:p>
    <w:p>
      <w:pPr>
        <w:spacing w:after="0" w:line="1" w:lineRule="exact"/>
        <w:rPr>
          <w:rFonts w:ascii="Arial" w:cs="Arial" w:eastAsia="Arial" w:hAnsi="Arial"/>
          <w:sz w:val="18"/>
          <w:szCs w:val="18"/>
          <w:u w:val="single" w:color="auto"/>
          <w:color w:val="0000EE"/>
        </w:rPr>
      </w:pP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53">
        <w:r>
          <w:rPr>
            <w:rFonts w:ascii="Arial" w:cs="Arial" w:eastAsia="Arial" w:hAnsi="Arial"/>
            <w:sz w:val="18"/>
            <w:szCs w:val="18"/>
            <w:u w:val="single" w:color="auto"/>
            <w:color w:val="0000EE"/>
          </w:rPr>
          <w:t>Right of First Refusal and Option Agreement dated March 31, 2020, by and among FinWise Bancorp and the members of Business Funding</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Group (incorporated by reference to Exhibit 10.8 of the Registrant’s Registration Statement on Form S-1 filed with the Securities and</w:t>
        </w:r>
      </w:hyperlink>
      <w:r>
        <w:rPr>
          <w:rFonts w:ascii="Arial" w:cs="Arial" w:eastAsia="Arial" w:hAnsi="Arial"/>
          <w:sz w:val="18"/>
          <w:szCs w:val="18"/>
          <w:u w:val="single" w:color="auto"/>
          <w:color w:val="0000EE"/>
        </w:rPr>
        <w:t xml:space="preserve"> </w:t>
      </w:r>
      <w:hyperlink r:id="rId153">
        <w:r>
          <w:rPr>
            <w:rFonts w:ascii="Arial" w:cs="Arial" w:eastAsia="Arial" w:hAnsi="Arial"/>
            <w:sz w:val="18"/>
            <w:szCs w:val="18"/>
            <w:u w:val="single" w:color="auto"/>
            <w:color w:val="0000EE"/>
          </w:rPr>
          <w:t>Exchange Commission on July 15, 2021 (File No. 333-257929)).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1008380</wp:posOffset>
            </wp:positionH>
            <wp:positionV relativeFrom="paragraph">
              <wp:posOffset>-187325</wp:posOffset>
            </wp:positionV>
            <wp:extent cx="406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40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65"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56">
        <w:r>
          <w:rPr>
            <w:rFonts w:ascii="Arial" w:cs="Arial" w:eastAsia="Arial" w:hAnsi="Arial"/>
            <w:sz w:val="17"/>
            <w:szCs w:val="17"/>
            <w:u w:val="single" w:color="auto"/>
            <w:color w:val="0000EE"/>
          </w:rPr>
          <w:t>Membership Interest Purchase Agreement dated December 31, 2019 by and among FinWise Bancorp, Business Funding Group and certain</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members of Business Funding Group (incorporated by reference to Exhibit 10.9 of the Registrant’s Registration Statement on Form S-1</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filed with the Securities and Exchange Commission on July 15, 2021 (File No. 333-257929)).</w:t>
        </w:r>
      </w:hyperlink>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57">
        <w:r>
          <w:rPr>
            <w:rFonts w:ascii="Arial" w:cs="Arial" w:eastAsia="Arial" w:hAnsi="Arial"/>
            <w:sz w:val="18"/>
            <w:szCs w:val="18"/>
            <w:u w:val="single" w:color="auto"/>
            <w:color w:val="0000EE"/>
          </w:rPr>
          <w:t>Sublease dated December 7, 2018, between Motorola Solutions, Inc. and FinWise Bancorp (incorporated by reference to Exhibit 10.10 of</w:t>
        </w:r>
      </w:hyperlink>
      <w:r>
        <w:rPr>
          <w:rFonts w:ascii="Arial" w:cs="Arial" w:eastAsia="Arial" w:hAnsi="Arial"/>
          <w:sz w:val="18"/>
          <w:szCs w:val="18"/>
          <w:u w:val="single" w:color="auto"/>
          <w:color w:val="0000EE"/>
        </w:rPr>
        <w:t xml:space="preserve"> </w:t>
      </w:r>
      <w:hyperlink r:id="rId157">
        <w:r>
          <w:rPr>
            <w:rFonts w:ascii="Arial" w:cs="Arial" w:eastAsia="Arial" w:hAnsi="Arial"/>
            <w:sz w:val="18"/>
            <w:szCs w:val="18"/>
            <w:u w:val="single" w:color="auto"/>
            <w:color w:val="0000EE"/>
          </w:rPr>
          <w:t>the Registrant’s Registration Statement on Form S-1 filed with the Securities and Exchange Commission on July 15, 2021 (File No. 333-</w:t>
        </w:r>
      </w:hyperlink>
      <w:hyperlink r:id="rId157">
        <w:r>
          <w:rPr>
            <w:rFonts w:ascii="Arial" w:cs="Arial" w:eastAsia="Arial" w:hAnsi="Arial"/>
            <w:sz w:val="18"/>
            <w:szCs w:val="18"/>
            <w:u w:val="single" w:color="auto"/>
            <w:color w:val="0000EE"/>
          </w:rPr>
          <w:t>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4948555</wp:posOffset>
            </wp:positionH>
            <wp:positionV relativeFrom="paragraph">
              <wp:posOffset>-324485</wp:posOffset>
            </wp:positionV>
            <wp:extent cx="323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32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60">
        <w:r>
          <w:rPr>
            <w:rFonts w:ascii="Arial" w:cs="Arial" w:eastAsia="Arial" w:hAnsi="Arial"/>
            <w:sz w:val="18"/>
            <w:szCs w:val="18"/>
            <w:u w:val="single" w:color="auto"/>
            <w:color w:val="0000EE"/>
          </w:rPr>
          <w:t>Lease dated January 27, 1999, between FPA Sandy Mall Associates, LLC and FinWise Bancorp (incorporated by reference to Exhibit 10.11</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of the Registrant’s Registration Statement on Form S-1 filed with the Securities and Exchange Commission on July 15, 2021 (File No. 333-</w:t>
        </w:r>
      </w:hyperlink>
      <w:hyperlink r:id="rId160">
        <w:r>
          <w:rPr>
            <w:rFonts w:ascii="Arial" w:cs="Arial" w:eastAsia="Arial" w:hAnsi="Arial"/>
            <w:sz w:val="18"/>
            <w:szCs w:val="18"/>
            <w:u w:val="single" w:color="auto"/>
            <w:color w:val="0000EE"/>
          </w:rPr>
          <w:t>257929)).</w:t>
        </w:r>
      </w:hyperlink>
    </w:p>
    <w:p>
      <w:pPr>
        <w:spacing w:after="0" w:line="1" w:lineRule="exact"/>
        <w:rPr>
          <w:rFonts w:ascii="Arial" w:cs="Arial" w:eastAsia="Arial" w:hAnsi="Arial"/>
          <w:sz w:val="18"/>
          <w:szCs w:val="18"/>
          <w:u w:val="single" w:color="auto"/>
          <w:color w:val="0000EE"/>
        </w:rPr>
      </w:pP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61">
        <w:r>
          <w:rPr>
            <w:rFonts w:ascii="Arial" w:cs="Arial" w:eastAsia="Arial" w:hAnsi="Arial"/>
            <w:sz w:val="18"/>
            <w:szCs w:val="18"/>
            <w:u w:val="single" w:color="auto"/>
            <w:color w:val="0000EE"/>
          </w:rPr>
          <w:t>First Amendment to Lease dated June 3, 2009, between FPA Sandy Mall Associates, LLC and FinWise Bancorp (incorporated by reference</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to Exhibit 10.12 of the Registrant’s Registration Statement on Form S-1 filed with the Securities and Exchange Commission on July 15,</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2021 (File No. 333-257929)).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5885815</wp:posOffset>
            </wp:positionH>
            <wp:positionV relativeFrom="paragraph">
              <wp:posOffset>-324485</wp:posOffset>
            </wp:positionV>
            <wp:extent cx="23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234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64">
        <w:r>
          <w:rPr>
            <w:rFonts w:ascii="Arial" w:cs="Arial" w:eastAsia="Arial" w:hAnsi="Arial"/>
            <w:sz w:val="18"/>
            <w:szCs w:val="18"/>
            <w:u w:val="single" w:color="auto"/>
            <w:color w:val="0000EE"/>
          </w:rPr>
          <w:t>Second Amendment to Lease dated April 25, 2014, between FPA Sandy Mall Associates, LLC and FinWise Bancorp (incorporated by</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reference to Exhibit 10.13 of the Registrant’s Registration Statement on Form S-1 filed with the Securities and Exchange Commission on</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July 15, 2021 (File No. 333-257929)).</w:t>
        </w:r>
      </w:hyperlink>
    </w:p>
    <w:p>
      <w:pPr>
        <w:spacing w:after="0" w:line="1" w:lineRule="exact"/>
        <w:rPr>
          <w:rFonts w:ascii="Arial" w:cs="Arial" w:eastAsia="Arial" w:hAnsi="Arial"/>
          <w:sz w:val="18"/>
          <w:szCs w:val="18"/>
          <w:u w:val="single" w:color="auto"/>
          <w:color w:val="0000EE"/>
        </w:rPr>
      </w:pP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65">
        <w:r>
          <w:rPr>
            <w:rFonts w:ascii="Arial" w:cs="Arial" w:eastAsia="Arial" w:hAnsi="Arial"/>
            <w:sz w:val="18"/>
            <w:szCs w:val="18"/>
            <w:u w:val="single" w:color="auto"/>
            <w:color w:val="0000EE"/>
          </w:rPr>
          <w:t>Lease dated December 2017, between North Village Centre, Inc. and FinWise Bancorp (incorporated by reference to Exhibit 10.14 of the</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Registrant’s Registration Statement on Form S-1 filed with the Securities and Exchange Commission on July 15, 2021 (File No. 333-</w:t>
        </w:r>
      </w:hyperlink>
      <w:hyperlink r:id="rId165">
        <w:r>
          <w:rPr>
            <w:rFonts w:ascii="Arial" w:cs="Arial" w:eastAsia="Arial" w:hAnsi="Arial"/>
            <w:sz w:val="18"/>
            <w:szCs w:val="18"/>
            <w:u w:val="single" w:color="auto"/>
            <w:color w:val="0000EE"/>
          </w:rPr>
          <w:t>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-324485</wp:posOffset>
            </wp:positionV>
            <wp:extent cx="234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68">
        <w:r>
          <w:rPr>
            <w:rFonts w:ascii="Arial" w:cs="Arial" w:eastAsia="Arial" w:hAnsi="Arial"/>
            <w:sz w:val="18"/>
            <w:szCs w:val="18"/>
            <w:u w:val="single" w:color="auto"/>
            <w:color w:val="0000EE"/>
          </w:rPr>
          <w:t>Lease dated July 30, 2021, between Mountain View Business Center, LLC and FinWise Bancorp (incorporated by reference to Exhibit</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10.15 of the Registrant’s Registration Statement on Form S-1 filed with the Securities and Exchange Commission on August 4, 2021 (File</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No. 333-257929)).</w:t>
        </w:r>
      </w:hyperlink>
    </w:p>
    <w:p>
      <w:pPr>
        <w:spacing w:after="0" w:line="1" w:lineRule="exact"/>
        <w:rPr>
          <w:rFonts w:ascii="Arial" w:cs="Arial" w:eastAsia="Arial" w:hAnsi="Arial"/>
          <w:sz w:val="18"/>
          <w:szCs w:val="18"/>
          <w:u w:val="single" w:color="auto"/>
          <w:color w:val="0000EE"/>
        </w:rPr>
      </w:pPr>
    </w:p>
    <w:p>
      <w:pPr>
        <w:jc w:val="both"/>
        <w:ind w:left="1120" w:hanging="849"/>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69">
        <w:r>
          <w:rPr>
            <w:rFonts w:ascii="Arial" w:cs="Arial" w:eastAsia="Arial" w:hAnsi="Arial"/>
            <w:sz w:val="18"/>
            <w:szCs w:val="18"/>
            <w:u w:val="single" w:color="auto"/>
            <w:color w:val="0000EE"/>
          </w:rPr>
          <w:t>Consulting Agreement, dated October 15, 2021 by and between James N. Giordano and FinWise Bancorp (incorporated by reference to</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Exhibit 10.16 of the Registrant’s Registration Statement on Form S-1 filed with the Securities and Exchange Commission on November 1,</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2021 (File No. 333-257929)).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w:anchor="page128">
        <w:r>
          <w:rPr>
            <w:rFonts w:ascii="Arial" w:cs="Arial" w:eastAsia="Arial" w:hAnsi="Arial"/>
            <w:sz w:val="16"/>
            <w:szCs w:val="16"/>
            <w:u w:val="single" w:color="auto"/>
            <w:color w:val="0000EE"/>
          </w:rPr>
          <w:t>Amendment to Employment Agreement, dated March 14, 2022, by and between David Tilis and FinWise Bancorp</w:t>
        </w:r>
      </w:hyperlink>
    </w:p>
    <w:p>
      <w:pPr>
        <w:spacing w:after="0" w:line="9" w:lineRule="exact"/>
        <w:rPr>
          <w:rFonts w:ascii="Arial" w:cs="Arial" w:eastAsia="Arial" w:hAnsi="Arial"/>
          <w:sz w:val="18"/>
          <w:szCs w:val="18"/>
          <w:u w:val="single" w:color="auto"/>
          <w:color w:val="0000EE"/>
        </w:rPr>
      </w:pPr>
    </w:p>
    <w:p>
      <w:pPr>
        <w:ind w:left="1120" w:hanging="804"/>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21.1</w:t>
      </w:r>
      <w:r>
        <w:rPr>
          <w:sz w:val="20"/>
          <w:szCs w:val="20"/>
          <w:color w:val="auto"/>
        </w:rPr>
        <w:tab/>
      </w:r>
      <w:hyperlink r:id="rId171">
        <w:r>
          <w:rPr>
            <w:rFonts w:ascii="Arial" w:cs="Arial" w:eastAsia="Arial" w:hAnsi="Arial"/>
            <w:sz w:val="18"/>
            <w:szCs w:val="18"/>
            <w:u w:val="single" w:color="auto"/>
            <w:color w:val="0000EE"/>
          </w:rPr>
          <w:t>Subsidiaries of FinWise Bancorp (incorporated by reference to Exhibit 21.1 of the Registrant’s Registration Statement on Form S-1 filed</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with the Securities and Exchange Commission on July 15, 2021 (File No. 333-257929)).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30">
        <w:r>
          <w:rPr>
            <w:rFonts w:ascii="Arial" w:cs="Arial" w:eastAsia="Arial" w:hAnsi="Arial"/>
            <w:sz w:val="16"/>
            <w:szCs w:val="16"/>
            <w:u w:val="single" w:color="auto"/>
            <w:color w:val="0000EE"/>
          </w:rPr>
          <w:t>Consent of Moss Adams LLP</w:t>
        </w:r>
      </w:hyperlink>
    </w:p>
    <w:p>
      <w:pPr>
        <w:spacing w:after="0" w:line="9" w:lineRule="exact"/>
        <w:rPr>
          <w:sz w:val="20"/>
          <w:szCs w:val="20"/>
          <w:color w:val="auto"/>
        </w:rPr>
      </w:pPr>
    </w:p>
    <w:p>
      <w:pPr>
        <w:ind w:left="3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31">
        <w:r>
          <w:rPr>
            <w:rFonts w:ascii="Arial" w:cs="Arial" w:eastAsia="Arial" w:hAnsi="Arial"/>
            <w:sz w:val="16"/>
            <w:szCs w:val="16"/>
            <w:u w:val="single" w:color="auto"/>
            <w:color w:val="0000EE"/>
          </w:rPr>
          <w:t>Rule 13a-14(a) Certification of the Principal 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32">
        <w:r>
          <w:rPr>
            <w:rFonts w:ascii="Arial" w:cs="Arial" w:eastAsia="Arial" w:hAnsi="Arial"/>
            <w:sz w:val="16"/>
            <w:szCs w:val="16"/>
            <w:u w:val="single" w:color="auto"/>
            <w:color w:val="0000EE"/>
          </w:rPr>
          <w:t>Rule 13a-14(a) Certification of the Principal Financial Officer.</w:t>
        </w:r>
      </w:hyperlink>
    </w:p>
    <w:p>
      <w:pPr>
        <w:spacing w:after="0" w:line="9" w:lineRule="exact"/>
        <w:rPr>
          <w:sz w:val="20"/>
          <w:szCs w:val="20"/>
          <w:color w:val="auto"/>
        </w:rPr>
      </w:pPr>
    </w:p>
    <w:p>
      <w:pPr>
        <w:ind w:left="3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33">
        <w:r>
          <w:rPr>
            <w:rFonts w:ascii="Arial" w:cs="Arial" w:eastAsia="Arial" w:hAnsi="Arial"/>
            <w:sz w:val="16"/>
            <w:szCs w:val="16"/>
            <w:u w:val="single" w:color="auto"/>
            <w:color w:val="0000EE"/>
          </w:rPr>
          <w:t>Section 1350 Certification of Chief Executive Officer and Chief Financial Officer.</w:t>
        </w:r>
      </w:hyperlink>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0" w:firstLine="405"/>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FINWISE BANCORP</w:t>
      </w:r>
    </w:p>
    <w:p>
      <w:pPr>
        <w:spacing w:after="0" w:line="229" w:lineRule="exact"/>
        <w:rPr>
          <w:sz w:val="20"/>
          <w:szCs w:val="20"/>
          <w:color w:val="auto"/>
        </w:rPr>
      </w:pPr>
    </w:p>
    <w:p>
      <w:pPr>
        <w:spacing w:after="0"/>
        <w:tabs>
          <w:tab w:leader="none" w:pos="600" w:val="left"/>
          <w:tab w:leader="none" w:pos="5880" w:val="left"/>
          <w:tab w:leader="none" w:pos="6780" w:val="left"/>
        </w:tabs>
        <w:rPr>
          <w:sz w:val="20"/>
          <w:szCs w:val="20"/>
          <w:color w:val="auto"/>
        </w:rPr>
      </w:pPr>
      <w:r>
        <w:rPr>
          <w:rFonts w:ascii="Arial" w:cs="Arial" w:eastAsia="Arial" w:hAnsi="Arial"/>
          <w:sz w:val="18"/>
          <w:szCs w:val="18"/>
          <w:color w:val="auto"/>
        </w:rPr>
        <w:t>Date:</w:t>
        <w:tab/>
        <w:t>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23495</wp:posOffset>
            </wp:positionV>
            <wp:extent cx="28200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231" w:lineRule="exact"/>
        <w:rPr>
          <w:sz w:val="20"/>
          <w:szCs w:val="20"/>
          <w:color w:val="auto"/>
        </w:rPr>
      </w:pPr>
    </w:p>
    <w:p>
      <w:pPr>
        <w:ind w:right="20" w:firstLine="405"/>
        <w:spacing w:after="0" w:line="250" w:lineRule="auto"/>
        <w:rPr>
          <w:sz w:val="20"/>
          <w:szCs w:val="20"/>
          <w:color w:val="auto"/>
        </w:rPr>
      </w:pPr>
      <w:r>
        <w:rPr>
          <w:rFonts w:ascii="Arial" w:cs="Arial" w:eastAsia="Arial" w:hAnsi="Arial"/>
          <w:sz w:val="22"/>
          <w:szCs w:val="22"/>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820" w:type="dxa"/>
            <w:vAlign w:val="bottom"/>
          </w:tcPr>
          <w:p>
            <w:pPr>
              <w:ind w:left="780"/>
              <w:spacing w:after="0"/>
              <w:rPr>
                <w:sz w:val="20"/>
                <w:szCs w:val="20"/>
                <w:color w:val="auto"/>
              </w:rPr>
            </w:pPr>
            <w:r>
              <w:rPr>
                <w:rFonts w:ascii="Arial" w:cs="Arial" w:eastAsia="Arial" w:hAnsi="Arial"/>
                <w:sz w:val="18"/>
                <w:szCs w:val="18"/>
                <w:b w:val="1"/>
                <w:bCs w:val="1"/>
                <w:color w:val="auto"/>
              </w:rPr>
              <w:t>Signature</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Kent Landvatter</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Kent Landvatter</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Javvis Jacobson</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Javvis Jacobson</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Russell F. Healey, Jr.</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Russell F. Healey, Jr.</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Howard I. Reynolds</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Howard I. Reynolds</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James N. Giordano</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James N. Giordano</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Thomas E. Gibson, Jr.</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Thomas E. Gibson, Jr.</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Lisa Ann Nievaard</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Lisa Ann Nievaard</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Jeana Hutchings</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Jeana Hutchings</w:t>
            </w:r>
          </w:p>
        </w:tc>
      </w:tr>
      <w:tr>
        <w:trPr>
          <w:trHeight w:val="43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 Gerald E. Cunningham</w:t>
            </w:r>
          </w:p>
        </w:tc>
      </w:tr>
      <w:tr>
        <w:trPr>
          <w:trHeight w:val="230"/>
        </w:trPr>
        <w:tc>
          <w:tcPr>
            <w:tcW w:w="500" w:type="dxa"/>
            <w:vAlign w:val="bottom"/>
          </w:tcPr>
          <w:p>
            <w:pPr>
              <w:spacing w:after="0"/>
              <w:rPr>
                <w:sz w:val="20"/>
                <w:szCs w:val="20"/>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Gerald E. Cunningham</w:t>
            </w: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jc w:val="center"/>
              <w:ind w:right="730"/>
              <w:spacing w:after="0"/>
              <w:rPr>
                <w:sz w:val="20"/>
                <w:szCs w:val="20"/>
                <w:color w:val="auto"/>
              </w:rPr>
            </w:pPr>
            <w:r>
              <w:rPr>
                <w:rFonts w:ascii="Arial" w:cs="Arial" w:eastAsia="Arial" w:hAnsi="Arial"/>
                <w:sz w:val="18"/>
                <w:szCs w:val="18"/>
                <w:b w:val="1"/>
                <w:bCs w:val="1"/>
                <w:color w:val="auto"/>
                <w:w w:val="97"/>
              </w:rPr>
              <w:t>Title</w:t>
            </w:r>
          </w:p>
        </w:tc>
        <w:tc>
          <w:tcPr>
            <w:tcW w:w="2120" w:type="dxa"/>
            <w:vAlign w:val="bottom"/>
          </w:tcPr>
          <w:p>
            <w:pPr>
              <w:ind w:left="800"/>
              <w:spacing w:after="0"/>
              <w:rPr>
                <w:sz w:val="20"/>
                <w:szCs w:val="20"/>
                <w:color w:val="auto"/>
              </w:rPr>
            </w:pPr>
            <w:r>
              <w:rPr>
                <w:rFonts w:ascii="Arial" w:cs="Arial" w:eastAsia="Arial" w:hAnsi="Arial"/>
                <w:sz w:val="18"/>
                <w:szCs w:val="18"/>
                <w:b w:val="1"/>
                <w:bCs w:val="1"/>
                <w:color w:val="auto"/>
              </w:rPr>
              <w:t>Date</w:t>
            </w:r>
          </w:p>
        </w:tc>
      </w:tr>
      <w:tr>
        <w:trPr>
          <w:trHeight w:val="458"/>
        </w:trPr>
        <w:tc>
          <w:tcPr>
            <w:tcW w:w="4620" w:type="dxa"/>
            <w:vAlign w:val="bottom"/>
          </w:tcPr>
          <w:p>
            <w:pPr>
              <w:jc w:val="center"/>
              <w:ind w:right="710"/>
              <w:spacing w:after="0"/>
              <w:rPr>
                <w:sz w:val="20"/>
                <w:szCs w:val="20"/>
                <w:color w:val="auto"/>
              </w:rPr>
            </w:pPr>
            <w:r>
              <w:rPr>
                <w:rFonts w:ascii="Arial" w:cs="Arial" w:eastAsia="Arial" w:hAnsi="Arial"/>
                <w:sz w:val="18"/>
                <w:szCs w:val="18"/>
                <w:color w:val="auto"/>
                <w:w w:val="91"/>
              </w:rPr>
              <w:t>President, Chief Executive Officer and 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230"/>
        </w:trPr>
        <w:tc>
          <w:tcPr>
            <w:tcW w:w="4620" w:type="dxa"/>
            <w:vAlign w:val="bottom"/>
          </w:tcPr>
          <w:p>
            <w:pPr>
              <w:jc w:val="center"/>
              <w:ind w:right="710"/>
              <w:spacing w:after="0"/>
              <w:rPr>
                <w:sz w:val="20"/>
                <w:szCs w:val="20"/>
                <w:color w:val="auto"/>
              </w:rPr>
            </w:pPr>
            <w:r>
              <w:rPr>
                <w:rFonts w:ascii="Arial" w:cs="Arial" w:eastAsia="Arial" w:hAnsi="Arial"/>
                <w:sz w:val="18"/>
                <w:szCs w:val="18"/>
                <w:color w:val="auto"/>
                <w:w w:val="94"/>
              </w:rPr>
              <w:t>(Principal Executive Officer)</w:t>
            </w:r>
          </w:p>
        </w:tc>
        <w:tc>
          <w:tcPr>
            <w:tcW w:w="2120" w:type="dxa"/>
            <w:vAlign w:val="bottom"/>
          </w:tcPr>
          <w:p>
            <w:pPr>
              <w:spacing w:after="0"/>
              <w:rPr>
                <w:sz w:val="20"/>
                <w:szCs w:val="20"/>
                <w:color w:val="auto"/>
              </w:rPr>
            </w:pPr>
          </w:p>
        </w:tc>
      </w:tr>
      <w:tr>
        <w:trPr>
          <w:trHeight w:val="458"/>
        </w:trPr>
        <w:tc>
          <w:tcPr>
            <w:tcW w:w="4620" w:type="dxa"/>
            <w:vAlign w:val="bottom"/>
          </w:tcPr>
          <w:p>
            <w:pPr>
              <w:jc w:val="center"/>
              <w:ind w:right="710"/>
              <w:spacing w:after="0"/>
              <w:rPr>
                <w:sz w:val="20"/>
                <w:szCs w:val="20"/>
                <w:color w:val="auto"/>
              </w:rPr>
            </w:pPr>
            <w:r>
              <w:rPr>
                <w:rFonts w:ascii="Arial" w:cs="Arial" w:eastAsia="Arial" w:hAnsi="Arial"/>
                <w:sz w:val="18"/>
                <w:szCs w:val="18"/>
                <w:color w:val="auto"/>
                <w:w w:val="91"/>
              </w:rPr>
              <w:t>Executive Vice President and Chief Financial Officer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230"/>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3"/>
              </w:rPr>
              <w:t>(Principal Financial and Accounting Officer)</w:t>
            </w:r>
          </w:p>
        </w:tc>
        <w:tc>
          <w:tcPr>
            <w:tcW w:w="2120" w:type="dxa"/>
            <w:vAlign w:val="bottom"/>
          </w:tcPr>
          <w:p>
            <w:pPr>
              <w:spacing w:after="0"/>
              <w:rPr>
                <w:sz w:val="20"/>
                <w:szCs w:val="20"/>
                <w:color w:val="auto"/>
              </w:rPr>
            </w:pPr>
          </w:p>
        </w:tc>
      </w:tr>
      <w:tr>
        <w:trPr>
          <w:trHeight w:val="432"/>
        </w:trPr>
        <w:tc>
          <w:tcPr>
            <w:tcW w:w="4620" w:type="dxa"/>
            <w:vAlign w:val="bottom"/>
          </w:tcPr>
          <w:p>
            <w:pPr>
              <w:jc w:val="center"/>
              <w:ind w:right="710"/>
              <w:spacing w:after="0"/>
              <w:rPr>
                <w:sz w:val="20"/>
                <w:szCs w:val="20"/>
                <w:color w:val="auto"/>
              </w:rPr>
            </w:pPr>
            <w:r>
              <w:rPr>
                <w:rFonts w:ascii="Arial" w:cs="Arial" w:eastAsia="Arial" w:hAnsi="Arial"/>
                <w:sz w:val="18"/>
                <w:szCs w:val="18"/>
                <w:color w:val="auto"/>
                <w:w w:val="91"/>
              </w:rPr>
              <w:t>Chairman of the Board</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8"/>
        </w:trPr>
        <w:tc>
          <w:tcPr>
            <w:tcW w:w="4620" w:type="dxa"/>
            <w:vAlign w:val="bottom"/>
          </w:tcPr>
          <w:p>
            <w:pPr>
              <w:jc w:val="center"/>
              <w:ind w:right="710"/>
              <w:spacing w:after="0"/>
              <w:rPr>
                <w:sz w:val="20"/>
                <w:szCs w:val="20"/>
                <w:color w:val="auto"/>
              </w:rPr>
            </w:pPr>
            <w:r>
              <w:rPr>
                <w:rFonts w:ascii="Arial" w:cs="Arial" w:eastAsia="Arial" w:hAnsi="Arial"/>
                <w:sz w:val="18"/>
                <w:szCs w:val="18"/>
                <w:color w:val="auto"/>
                <w:w w:val="91"/>
              </w:rPr>
              <w:t>Vice Chairman of the Board</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8"/>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8"/>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8"/>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9"/>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r>
        <w:trPr>
          <w:trHeight w:val="688"/>
        </w:trPr>
        <w:tc>
          <w:tcPr>
            <w:tcW w:w="4620" w:type="dxa"/>
            <w:vAlign w:val="bottom"/>
          </w:tcPr>
          <w:p>
            <w:pPr>
              <w:jc w:val="center"/>
              <w:ind w:right="730"/>
              <w:spacing w:after="0"/>
              <w:rPr>
                <w:sz w:val="20"/>
                <w:szCs w:val="20"/>
                <w:color w:val="auto"/>
              </w:rPr>
            </w:pPr>
            <w:r>
              <w:rPr>
                <w:rFonts w:ascii="Arial" w:cs="Arial" w:eastAsia="Arial" w:hAnsi="Arial"/>
                <w:sz w:val="18"/>
                <w:szCs w:val="18"/>
                <w:color w:val="auto"/>
                <w:w w:val="95"/>
              </w:rPr>
              <w:t>Director</w:t>
            </w:r>
          </w:p>
        </w:tc>
        <w:tc>
          <w:tcPr>
            <w:tcW w:w="2120" w:type="dxa"/>
            <w:vAlign w:val="bottom"/>
          </w:tcPr>
          <w:p>
            <w:pPr>
              <w:ind w:left="980"/>
              <w:spacing w:after="0"/>
              <w:rPr>
                <w:sz w:val="20"/>
                <w:szCs w:val="20"/>
                <w:color w:val="auto"/>
              </w:rPr>
            </w:pPr>
            <w:r>
              <w:rPr>
                <w:rFonts w:ascii="Arial" w:cs="Arial" w:eastAsia="Arial" w:hAnsi="Arial"/>
                <w:sz w:val="18"/>
                <w:szCs w:val="18"/>
                <w:color w:val="auto"/>
                <w:w w:val="89"/>
              </w:rPr>
              <w:t>March 30, 2022</w:t>
            </w:r>
          </w:p>
        </w:tc>
      </w:tr>
    </w:tbl>
    <w:p>
      <w:pPr>
        <w:spacing w:after="0" w:line="470"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EMPLOYMENT AGREEMENT</w:t>
      </w:r>
    </w:p>
    <w:p>
      <w:pPr>
        <w:spacing w:after="0" w:line="23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color w:val="auto"/>
        </w:rPr>
        <w:t>THIS AMENDMENT TO EMPLOYMENT (the “Amendment”) is made and entered into this 14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March, 2022 (the “Effective Date”), by and among FinWise Bancorp, a Utah community bank holding company ("Holding Company"), its wholly-owned subsidiary, FinWise Bank f/k/a Utah Community Bank, a Utah corporation (the “Bank”) and David Tilis, and individual ("Executive”). Holding Company, Bank and Executive are sometimes individually referred to hereafter as a “Party” and collectively referred to as the “Parties.” Capitalized terms not defined in this Amendment shall have the meaning set forth in the Employment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Executive entered into an Employment Agreement, dated January 1, 2018 (the "Agreement"), whereby Executive would be employed under the terms and subject to the conditions set forth thereon.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Section 2 of the Agreement sets for the Term of Employment for Executive.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desire to amend Section 2 as set forth herein.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FOR AND IN CONSIDERATION of the mutual promises and covenants hereinafter set forth, this Amendment and for other good and valuable consideration, the receipt and adequacy of which is hereby acknowledged, the parties hereto agree to amend and confirm the Agreement as follows:</w:t>
      </w:r>
    </w:p>
    <w:p>
      <w:pPr>
        <w:spacing w:after="0" w:line="213" w:lineRule="exact"/>
        <w:rPr>
          <w:sz w:val="20"/>
          <w:szCs w:val="20"/>
          <w:color w:val="auto"/>
        </w:rPr>
      </w:pPr>
    </w:p>
    <w:p>
      <w:pPr>
        <w:ind w:left="1360" w:hanging="704"/>
        <w:spacing w:after="0"/>
        <w:tabs>
          <w:tab w:leader="none" w:pos="13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2 of the Agreement is hereby amended with the following:</w:t>
      </w:r>
    </w:p>
    <w:p>
      <w:pPr>
        <w:spacing w:after="0" w:line="233" w:lineRule="exact"/>
        <w:rPr>
          <w:sz w:val="20"/>
          <w:szCs w:val="20"/>
          <w:color w:val="auto"/>
        </w:rPr>
      </w:pPr>
    </w:p>
    <w:p>
      <w:pPr>
        <w:jc w:val="both"/>
        <w:ind w:left="1300" w:right="660" w:firstLine="648"/>
        <w:spacing w:after="0"/>
        <w:rPr>
          <w:sz w:val="20"/>
          <w:szCs w:val="20"/>
          <w:color w:val="auto"/>
        </w:rPr>
      </w:pPr>
      <w:r>
        <w:rPr>
          <w:rFonts w:ascii="Arial" w:cs="Arial" w:eastAsia="Arial" w:hAnsi="Arial"/>
          <w:sz w:val="22"/>
          <w:szCs w:val="22"/>
          <w:color w:val="auto"/>
        </w:rPr>
        <w:t>Subject to the terms hereof the term of this agreement, Executive’s employment under this Agreement shall commence on January 1, 2018 (the “Effective Date”) and shall continue until March 31, 2022 (the “Term”) unless earlier terminated pursuant to the provisions hereof..</w:t>
      </w:r>
    </w:p>
    <w:p>
      <w:pPr>
        <w:spacing w:after="0" w:line="213" w:lineRule="exact"/>
        <w:rPr>
          <w:sz w:val="20"/>
          <w:szCs w:val="20"/>
          <w:color w:val="auto"/>
        </w:rPr>
      </w:pPr>
    </w:p>
    <w:p>
      <w:pPr>
        <w:jc w:val="both"/>
        <w:ind w:firstLine="656"/>
        <w:spacing w:after="0" w:line="279" w:lineRule="auto"/>
        <w:tabs>
          <w:tab w:leader="none" w:pos="144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is incorporated in and supersedes all contrary terms of the Agreement with respect to the items addressed herein. Except as specifically modified by this Amendment, all other terms and provisions in the Agreement, shall remain in full force and effect. The Agreement and this Amendment contain the entire understanding and agreement of the Parties related to the subject matter hereof and thereof, and supersede all prior and contemporaneous oral and written agreements or understanding with respect to the subject matter hereof and thereof. In the event of any conflict between the provisions of this Amendment and the provisions of the Agreement, this Amendment will control.</w:t>
      </w:r>
    </w:p>
    <w:p>
      <w:pPr>
        <w:spacing w:after="0" w:line="177" w:lineRule="exact"/>
        <w:rPr>
          <w:rFonts w:ascii="Arial" w:cs="Arial" w:eastAsia="Arial" w:hAnsi="Arial"/>
          <w:sz w:val="19"/>
          <w:szCs w:val="19"/>
          <w:color w:val="auto"/>
        </w:rPr>
      </w:pPr>
    </w:p>
    <w:p>
      <w:pPr>
        <w:jc w:val="both"/>
        <w:ind w:firstLine="656"/>
        <w:spacing w:after="0"/>
        <w:tabs>
          <w:tab w:leader="none" w:pos="178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Each party represents and warrants that it has the power and authority to execute this Amendment. This Amendment may be signed in counterpart or duplicate copies, and any signed counterpart or duplicate copy shall be equivalent to a signed original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8" w:name="page129"/>
    <w:bookmarkEnd w:id="128"/>
    <w:p>
      <w:pPr>
        <w:ind w:right="20" w:firstLine="648"/>
        <w:spacing w:after="0" w:line="251" w:lineRule="auto"/>
        <w:rPr>
          <w:sz w:val="20"/>
          <w:szCs w:val="20"/>
          <w:color w:val="auto"/>
        </w:rPr>
      </w:pPr>
      <w:r>
        <w:rPr>
          <w:rFonts w:ascii="Arial" w:cs="Arial" w:eastAsia="Arial" w:hAnsi="Arial"/>
          <w:sz w:val="22"/>
          <w:szCs w:val="22"/>
          <w:color w:val="auto"/>
        </w:rPr>
        <w:t>IN WITNESS WHEREOF, Holding Company, Bank and Executive have hereto caused this Agreement to be executed on or as of the day and year above first written.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3700" w:type="dxa"/>
            <w:vAlign w:val="bottom"/>
          </w:tcPr>
          <w:p>
            <w:pPr>
              <w:spacing w:after="0"/>
              <w:rPr>
                <w:sz w:val="17"/>
                <w:szCs w:val="17"/>
                <w:color w:val="auto"/>
              </w:rPr>
            </w:pPr>
          </w:p>
        </w:tc>
        <w:tc>
          <w:tcPr>
            <w:tcW w:w="5840" w:type="dxa"/>
            <w:vAlign w:val="bottom"/>
            <w:gridSpan w:val="4"/>
          </w:tcPr>
          <w:p>
            <w:pPr>
              <w:ind w:left="340"/>
              <w:spacing w:after="0"/>
              <w:rPr>
                <w:sz w:val="20"/>
                <w:szCs w:val="20"/>
                <w:color w:val="auto"/>
              </w:rPr>
            </w:pPr>
            <w:r>
              <w:rPr>
                <w:rFonts w:ascii="Arial" w:cs="Arial" w:eastAsia="Arial" w:hAnsi="Arial"/>
                <w:sz w:val="18"/>
                <w:szCs w:val="18"/>
                <w:b w:val="1"/>
                <w:bCs w:val="1"/>
                <w:color w:val="auto"/>
              </w:rPr>
              <w:t>HOLDING COMPANY:</w:t>
            </w:r>
          </w:p>
        </w:tc>
        <w:tc>
          <w:tcPr>
            <w:tcW w:w="560" w:type="dxa"/>
            <w:vAlign w:val="bottom"/>
          </w:tcPr>
          <w:p>
            <w:pPr>
              <w:spacing w:after="0"/>
              <w:rPr>
                <w:sz w:val="17"/>
                <w:szCs w:val="17"/>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840" w:type="dxa"/>
            <w:vAlign w:val="bottom"/>
            <w:gridSpan w:val="4"/>
          </w:tcPr>
          <w:p>
            <w:pPr>
              <w:ind w:left="340"/>
              <w:spacing w:after="0"/>
              <w:rPr>
                <w:sz w:val="20"/>
                <w:szCs w:val="20"/>
                <w:color w:val="auto"/>
              </w:rPr>
            </w:pPr>
            <w:r>
              <w:rPr>
                <w:rFonts w:ascii="Arial" w:cs="Arial" w:eastAsia="Arial" w:hAnsi="Arial"/>
                <w:sz w:val="18"/>
                <w:szCs w:val="18"/>
                <w:b w:val="1"/>
                <w:bCs w:val="1"/>
                <w:color w:val="auto"/>
              </w:rPr>
              <w:t>FinWise Bancorp, a Utah bank holding company</w:t>
            </w:r>
          </w:p>
        </w:tc>
        <w:tc>
          <w:tcPr>
            <w:tcW w:w="560" w:type="dxa"/>
            <w:vAlign w:val="bottom"/>
          </w:tcPr>
          <w:p>
            <w:pPr>
              <w:spacing w:after="0"/>
              <w:rPr>
                <w:sz w:val="20"/>
                <w:szCs w:val="20"/>
                <w:color w:val="auto"/>
              </w:rPr>
            </w:pPr>
          </w:p>
        </w:tc>
      </w:tr>
      <w:tr>
        <w:trPr>
          <w:trHeight w:val="453"/>
        </w:trPr>
        <w:tc>
          <w:tcPr>
            <w:tcW w:w="4840" w:type="dxa"/>
            <w:vAlign w:val="bottom"/>
            <w:gridSpan w:val="4"/>
          </w:tcPr>
          <w:p>
            <w:pPr>
              <w:spacing w:after="0"/>
              <w:rPr>
                <w:sz w:val="20"/>
                <w:szCs w:val="20"/>
                <w:color w:val="auto"/>
              </w:rPr>
            </w:pPr>
            <w:r>
              <w:rPr>
                <w:rFonts w:ascii="Arial" w:cs="Arial" w:eastAsia="Arial" w:hAnsi="Arial"/>
                <w:sz w:val="18"/>
                <w:szCs w:val="18"/>
                <w:color w:val="auto"/>
              </w:rPr>
              <w:t>/s/ David Tilis</w:t>
            </w:r>
          </w:p>
        </w:tc>
        <w:tc>
          <w:tcPr>
            <w:tcW w:w="5840" w:type="dxa"/>
            <w:vAlign w:val="bottom"/>
            <w:gridSpan w:val="4"/>
          </w:tcPr>
          <w:p>
            <w:pPr>
              <w:ind w:left="340"/>
              <w:spacing w:after="0"/>
              <w:rPr>
                <w:sz w:val="20"/>
                <w:szCs w:val="20"/>
                <w:color w:val="auto"/>
              </w:rPr>
            </w:pPr>
            <w:r>
              <w:rPr>
                <w:rFonts w:ascii="Arial" w:cs="Arial" w:eastAsia="Arial" w:hAnsi="Arial"/>
                <w:sz w:val="18"/>
                <w:szCs w:val="18"/>
                <w:color w:val="auto"/>
              </w:rPr>
              <w:t>By: /s/ Kent Landvatter</w:t>
            </w:r>
          </w:p>
        </w:tc>
        <w:tc>
          <w:tcPr>
            <w:tcW w:w="560" w:type="dxa"/>
            <w:vAlign w:val="bottom"/>
          </w:tcPr>
          <w:p>
            <w:pPr>
              <w:spacing w:after="0"/>
              <w:rPr>
                <w:sz w:val="24"/>
                <w:szCs w:val="24"/>
                <w:color w:val="auto"/>
              </w:rPr>
            </w:pPr>
          </w:p>
        </w:tc>
      </w:tr>
      <w:tr>
        <w:trPr>
          <w:trHeight w:val="230"/>
        </w:trPr>
        <w:tc>
          <w:tcPr>
            <w:tcW w:w="48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Tilis</w:t>
            </w:r>
          </w:p>
        </w:tc>
        <w:tc>
          <w:tcPr>
            <w:tcW w:w="340" w:type="dxa"/>
            <w:vAlign w:val="bottom"/>
            <w:tcBorders>
              <w:top w:val="single" w:sz="8" w:color="auto"/>
            </w:tcBorders>
          </w:tcPr>
          <w:p>
            <w:pPr>
              <w:spacing w:after="0"/>
              <w:rPr>
                <w:sz w:val="20"/>
                <w:szCs w:val="20"/>
                <w:color w:val="auto"/>
              </w:rPr>
            </w:pPr>
          </w:p>
        </w:tc>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President</w:t>
            </w:r>
          </w:p>
        </w:tc>
        <w:tc>
          <w:tcPr>
            <w:tcW w:w="560" w:type="dxa"/>
            <w:vAlign w:val="bottom"/>
          </w:tcPr>
          <w:p>
            <w:pPr>
              <w:spacing w:after="0"/>
              <w:rPr>
                <w:sz w:val="20"/>
                <w:szCs w:val="20"/>
                <w:color w:val="auto"/>
              </w:rPr>
            </w:pPr>
          </w:p>
        </w:tc>
      </w:tr>
      <w:tr>
        <w:trPr>
          <w:trHeight w:val="377"/>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BANK:</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FinWise Bank, a Utah community bank</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3"/>
        </w:trPr>
        <w:tc>
          <w:tcPr>
            <w:tcW w:w="4840" w:type="dxa"/>
            <w:vAlign w:val="bottom"/>
            <w:gridSpan w:val="4"/>
          </w:tcPr>
          <w:p>
            <w:pPr>
              <w:spacing w:after="0"/>
              <w:rPr>
                <w:sz w:val="20"/>
                <w:szCs w:val="20"/>
                <w:color w:val="auto"/>
              </w:rPr>
            </w:pPr>
            <w:r>
              <w:rPr>
                <w:rFonts w:ascii="Arial" w:cs="Arial" w:eastAsia="Arial" w:hAnsi="Arial"/>
                <w:sz w:val="18"/>
                <w:szCs w:val="18"/>
                <w:color w:val="auto"/>
              </w:rPr>
              <w:t>By: /s/ Kent Landvatter</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45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President</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73"/>
        </w:trPr>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Consent of Independent Registered Public Accounting Firm</w:t>
      </w:r>
    </w:p>
    <w:p>
      <w:pPr>
        <w:spacing w:after="0" w:line="254"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We consent to the incorporation by reference in the Registration Statement on Form S-8 (No. 333-262531) of FinWise Bancorp (the “Company”), of our report dated March 30, 2022, relating to the consolidated financial statements of the Company, appearing in this Annual Report on Form 10-K of the Company for the year ended December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/s/ Moss Adams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Spokane, WA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Kent Landvatter, certify that:</w:t>
      </w:r>
    </w:p>
    <w:p>
      <w:pPr>
        <w:spacing w:after="0" w:line="25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FinWise Bancorp;</w:t>
      </w:r>
    </w:p>
    <w:p>
      <w:pPr>
        <w:spacing w:after="0" w:line="252"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60" w:hanging="320"/>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14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60" w:hanging="320"/>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0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FINWISE BANCORP</w:t>
      </w:r>
    </w:p>
    <w:p>
      <w:pPr>
        <w:spacing w:after="0" w:line="225" w:lineRule="exact"/>
        <w:rPr>
          <w:sz w:val="20"/>
          <w:szCs w:val="20"/>
          <w:color w:val="auto"/>
        </w:rPr>
      </w:pPr>
    </w:p>
    <w:p>
      <w:pPr>
        <w:spacing w:after="0"/>
        <w:tabs>
          <w:tab w:leader="none" w:pos="680" w:val="left"/>
          <w:tab w:leader="none" w:pos="6140" w:val="left"/>
          <w:tab w:leader="none" w:pos="6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23495</wp:posOffset>
            </wp:positionV>
            <wp:extent cx="28714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3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Javvis Jacobson, certify that:</w:t>
      </w:r>
    </w:p>
    <w:p>
      <w:pPr>
        <w:spacing w:after="0" w:line="24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FinWise Bancorp;</w:t>
      </w:r>
    </w:p>
    <w:p>
      <w:pPr>
        <w:spacing w:after="0" w:line="252"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6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14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6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00" w:hanging="320"/>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FINWISE BANCORP</w:t>
      </w:r>
    </w:p>
    <w:p>
      <w:pPr>
        <w:spacing w:after="0" w:line="225" w:lineRule="exact"/>
        <w:rPr>
          <w:sz w:val="20"/>
          <w:szCs w:val="20"/>
          <w:color w:val="auto"/>
        </w:rPr>
      </w:pPr>
    </w:p>
    <w:p>
      <w:pPr>
        <w:spacing w:after="0"/>
        <w:tabs>
          <w:tab w:leader="none" w:pos="660" w:val="left"/>
          <w:tab w:leader="none" w:pos="614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23495</wp:posOffset>
            </wp:positionV>
            <wp:extent cx="28803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2880360" cy="17145"/>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AND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In connection with the annual report of FinWise Bancorp (the "Company") on Form 10-K for the period ended December 31, 2021, as filed with the Securities and Exchange Commission (the “Report”), each of the undersigned, in his respective capacities indicated below, hereby certifies as of the date hereof, solely for purposes of Title 18, Chapter 63, Section 1350 of the United States Code, that to the undersigned's best knowledge and belief:</w:t>
      </w:r>
    </w:p>
    <w:p>
      <w:pPr>
        <w:spacing w:after="0" w:line="20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This Certification has not been, and shall not be deemed, “filed” with the Securities and Exchange Commission.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260" w:type="dxa"/>
            <w:vAlign w:val="bottom"/>
            <w:gridSpan w:val="2"/>
          </w:tcPr>
          <w:p>
            <w:pPr>
              <w:ind w:left="2180"/>
              <w:spacing w:after="0"/>
              <w:rPr>
                <w:sz w:val="20"/>
                <w:szCs w:val="20"/>
                <w:color w:val="auto"/>
              </w:rPr>
            </w:pPr>
            <w:r>
              <w:rPr>
                <w:rFonts w:ascii="Arial" w:cs="Arial" w:eastAsia="Arial" w:hAnsi="Arial"/>
                <w:sz w:val="18"/>
                <w:szCs w:val="18"/>
                <w:color w:val="auto"/>
              </w:rPr>
              <w:t>FINWISE BANCORP</w:t>
            </w:r>
          </w:p>
        </w:tc>
      </w:tr>
      <w:tr>
        <w:trPr>
          <w:trHeight w:val="45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40"/>
              <w:spacing w:after="0"/>
              <w:rPr>
                <w:sz w:val="20"/>
                <w:szCs w:val="20"/>
                <w:color w:val="auto"/>
              </w:rPr>
            </w:pPr>
            <w:r>
              <w:rPr>
                <w:rFonts w:ascii="Arial" w:cs="Arial" w:eastAsia="Arial" w:hAnsi="Arial"/>
                <w:sz w:val="18"/>
                <w:szCs w:val="18"/>
                <w:color w:val="auto"/>
              </w:rPr>
              <w:t>March 30, 2022</w:t>
            </w: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Landvatter</w:t>
            </w:r>
          </w:p>
        </w:tc>
      </w:tr>
      <w:tr>
        <w:trPr>
          <w:trHeight w:val="202"/>
        </w:trPr>
        <w:tc>
          <w:tcPr>
            <w:tcW w:w="5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Kent Landvatter</w:t>
            </w:r>
          </w:p>
        </w:tc>
      </w:tr>
      <w:tr>
        <w:trPr>
          <w:trHeight w:val="230"/>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440" w:type="dxa"/>
            <w:vAlign w:val="bottom"/>
          </w:tcPr>
          <w:p>
            <w:pPr>
              <w:ind w:left="140"/>
              <w:spacing w:after="0"/>
              <w:rPr>
                <w:sz w:val="20"/>
                <w:szCs w:val="20"/>
                <w:color w:val="auto"/>
              </w:rPr>
            </w:pPr>
            <w:r>
              <w:rPr>
                <w:rFonts w:ascii="Arial" w:cs="Arial" w:eastAsia="Arial" w:hAnsi="Arial"/>
                <w:sz w:val="18"/>
                <w:szCs w:val="18"/>
                <w:color w:val="auto"/>
              </w:rPr>
              <w:t>March 30, 2022</w:t>
            </w:r>
          </w:p>
        </w:tc>
        <w:tc>
          <w:tcPr>
            <w:tcW w:w="2720" w:type="dxa"/>
            <w:vAlign w:val="bottom"/>
          </w:tcPr>
          <w:p>
            <w:pPr>
              <w:ind w:left="21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Javvis Jacobson</w:t>
            </w:r>
          </w:p>
        </w:tc>
      </w:tr>
      <w:tr>
        <w:trPr>
          <w:trHeight w:val="202"/>
        </w:trPr>
        <w:tc>
          <w:tcPr>
            <w:tcW w:w="5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Javvis Jacobson</w:t>
            </w:r>
          </w:p>
        </w:tc>
      </w:tr>
      <w:tr>
        <w:trPr>
          <w:trHeight w:val="230"/>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01"/>
        </w:trPr>
        <w:tc>
          <w:tcPr>
            <w:tcW w:w="5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upperLetter"/>
      <w:start w:val="68"/>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3"/>
    </w:lvl>
  </w:abstractNum>
  <w:abstractNum w:abstractNumId="10">
    <w:nsid w:val="8EDBDAB"/>
    <w:multiLevelType w:val="hybridMultilevel"/>
    <w:lvl w:ilvl="0">
      <w:lvlJc w:val="left"/>
      <w:lvlText w:val="(%1)"/>
      <w:numFmt w:val="lowerRoman"/>
      <w:start w:val="3"/>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Roman"/>
      <w:start w:val="3"/>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lowerRoman"/>
      <w:start w:val="2"/>
    </w:lvl>
  </w:abstractNum>
  <w:abstractNum w:abstractNumId="22">
    <w:nsid w:val="1E7FF521"/>
    <w:multiLevelType w:val="hybridMultilevel"/>
    <w:lvl w:ilvl="0">
      <w:lvlJc w:val="left"/>
      <w:lvlText w:val="%1"/>
      <w:numFmt w:val="upperLetter"/>
      <w:start w:val="68"/>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upperLetter"/>
      <w:start w:val="68"/>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upperLetter"/>
      <w:start w:val="68"/>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11" Type="http://schemas.openxmlformats.org/officeDocument/2006/relationships/image" Target="media/image102.png"/><Relationship Id="rId114" Type="http://schemas.openxmlformats.org/officeDocument/2006/relationships/image" Target="media/image103.png"/><Relationship Id="rId117" Type="http://schemas.openxmlformats.org/officeDocument/2006/relationships/image" Target="media/image104.png"/><Relationship Id="rId120" Type="http://schemas.openxmlformats.org/officeDocument/2006/relationships/image" Target="media/image105.png"/><Relationship Id="rId123" Type="http://schemas.openxmlformats.org/officeDocument/2006/relationships/image" Target="media/image106.png"/><Relationship Id="rId125" Type="http://schemas.openxmlformats.org/officeDocument/2006/relationships/image" Target="media/image107.png"/><Relationship Id="rId127" Type="http://schemas.openxmlformats.org/officeDocument/2006/relationships/image" Target="media/image108.png"/><Relationship Id="rId129" Type="http://schemas.openxmlformats.org/officeDocument/2006/relationships/image" Target="media/image109.png"/><Relationship Id="rId132" Type="http://schemas.openxmlformats.org/officeDocument/2006/relationships/image" Target="media/image110.png"/><Relationship Id="rId135" Type="http://schemas.openxmlformats.org/officeDocument/2006/relationships/image" Target="media/image111.png"/><Relationship Id="rId138" Type="http://schemas.openxmlformats.org/officeDocument/2006/relationships/image" Target="media/image112.png"/><Relationship Id="rId141" Type="http://schemas.openxmlformats.org/officeDocument/2006/relationships/image" Target="media/image113.png"/><Relationship Id="rId144" Type="http://schemas.openxmlformats.org/officeDocument/2006/relationships/image" Target="media/image114.png"/><Relationship Id="rId147" Type="http://schemas.openxmlformats.org/officeDocument/2006/relationships/image" Target="media/image115.png"/><Relationship Id="rId149" Type="http://schemas.openxmlformats.org/officeDocument/2006/relationships/image" Target="media/image116.png"/><Relationship Id="rId151"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70"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08" Type="http://schemas.openxmlformats.org/officeDocument/2006/relationships/hyperlink" Target="https://www.sec.gov/Archives/edgar/data/1856365/000114036121026281/nt10024103x7_ex3-1.htm" TargetMode="External"/><Relationship Id="rId110" Type="http://schemas.openxmlformats.org/officeDocument/2006/relationships/hyperlink" Target="https://www.sec.gov/Archives/edgar/data/1856365/000114036121026281/nt10024103x7_ex3-2.htm" TargetMode="External"/><Relationship Id="rId112" Type="http://schemas.openxmlformats.org/officeDocument/2006/relationships/hyperlink" Target="https://www.sec.gov/Archives/edgar/data/1856365/000114036121024467/nt10024103x6_ex4-1.htm" TargetMode="External"/><Relationship Id="rId113" Type="http://schemas.openxmlformats.org/officeDocument/2006/relationships/hyperlink" Target="https://www.sec.gov/Archives/edgar/data/1856365/000114036121024467/nt10024103x6_ex4-2.htm" TargetMode="External"/><Relationship Id="rId115" Type="http://schemas.openxmlformats.org/officeDocument/2006/relationships/hyperlink" Target="https://www.sec.gov/Archives/edgar/data/1856365/000114036121026281/nt10024103x7_ex10-1.htm" TargetMode="External"/><Relationship Id="rId116" Type="http://schemas.openxmlformats.org/officeDocument/2006/relationships/hyperlink" Target="https://www.sec.gov/Archives/edgar/data/1856365/000114036121024467/nt10024103x6_ex10-2.htm" TargetMode="External"/><Relationship Id="rId118" Type="http://schemas.openxmlformats.org/officeDocument/2006/relationships/hyperlink" Target="https://www.sec.gov/Archives/edgar/data/1856365/000114036121026281/nt10024103x7_ex10-3.htm" TargetMode="External"/><Relationship Id="rId119" Type="http://schemas.openxmlformats.org/officeDocument/2006/relationships/hyperlink" Target="https://www.sec.gov/Archives/edgar/data/1856365/000114036121024467/nt10024103x6_ex10-4.htm" TargetMode="External"/><Relationship Id="rId121" Type="http://schemas.openxmlformats.org/officeDocument/2006/relationships/hyperlink" Target="https://www.sec.gov/Archives/edgar/data/1856365/000114036121024467/nt10024103x6_ex10-5.htm" TargetMode="External"/><Relationship Id="rId122" Type="http://schemas.openxmlformats.org/officeDocument/2006/relationships/hyperlink" Target="https://www.sec.gov/Archives/edgar/data/1856365/000114036122003901/brhc10033452_ex4-6.htm" TargetMode="External"/><Relationship Id="rId124" Type="http://schemas.openxmlformats.org/officeDocument/2006/relationships/hyperlink" Target="https://www.sec.gov/Archives/edgar/data/1856365/000114036122003901/brhc10033452_ex4-7.htm" TargetMode="External"/><Relationship Id="rId126" Type="http://schemas.openxmlformats.org/officeDocument/2006/relationships/hyperlink" Target="https://www.sec.gov/Archives/edgar/data/1856365/000114036122003901/brhc10033452_ex4-8.htm" TargetMode="External"/><Relationship Id="rId128" Type="http://schemas.openxmlformats.org/officeDocument/2006/relationships/hyperlink" Target="https://www.sec.gov/Archives/edgar/data/1856365/000114036122003901/brhc10033452_ex4-9.htm" TargetMode="External"/><Relationship Id="rId130" Type="http://schemas.openxmlformats.org/officeDocument/2006/relationships/hyperlink" Target="https://www.sec.gov/Archives/edgar/data/1856365/000114036122003901/brhc10033452_ex4-10.htm" TargetMode="External"/><Relationship Id="rId131" Type="http://schemas.openxmlformats.org/officeDocument/2006/relationships/hyperlink" Target="https://www.sec.gov/Archives/edgar/data/1856365/000114036122003901/brhc10033452_ex4-11.htm" TargetMode="External"/><Relationship Id="rId133" Type="http://schemas.openxmlformats.org/officeDocument/2006/relationships/hyperlink" Target="https://www.sec.gov/Archives/edgar/data/1856365/000114036122003901/brhc10033452_ex4-12.htm" TargetMode="External"/><Relationship Id="rId134" Type="http://schemas.openxmlformats.org/officeDocument/2006/relationships/hyperlink" Target="https://www.sec.gov/Archives/edgar/data/1856365/000114036122003901/brhc10033452_ex4-13.htm" TargetMode="External"/><Relationship Id="rId136" Type="http://schemas.openxmlformats.org/officeDocument/2006/relationships/hyperlink" Target="https://www.sec.gov/Archives/edgar/data/1856365/000114036122003901/brhc10033452_ex4-14.htm" TargetMode="External"/><Relationship Id="rId137" Type="http://schemas.openxmlformats.org/officeDocument/2006/relationships/hyperlink" Target="https://www.sec.gov/Archives/edgar/data/1856365/000114036122003901/brhc10033452_ex4-15.htm" TargetMode="External"/><Relationship Id="rId139" Type="http://schemas.openxmlformats.org/officeDocument/2006/relationships/hyperlink" Target="https://www.sec.gov/Archives/edgar/data/1856365/000114036122003901/brhc10033452_ex4-16.htm" TargetMode="External"/><Relationship Id="rId140" Type="http://schemas.openxmlformats.org/officeDocument/2006/relationships/hyperlink" Target="https://www.sec.gov/Archives/edgar/data/1856365/000114036122003901/brhc10033452_ex4-17.htm" TargetMode="External"/><Relationship Id="rId142" Type="http://schemas.openxmlformats.org/officeDocument/2006/relationships/hyperlink" Target="https://www.sec.gov/Archives/edgar/data/1856365/000114036122003901/brhc10033452_ex4-18.htm" TargetMode="External"/><Relationship Id="rId143" Type="http://schemas.openxmlformats.org/officeDocument/2006/relationships/hyperlink" Target="https://www.sec.gov/Archives/edgar/data/1856365/000114036122003901/brhc10033452_ex4-19.htm" TargetMode="External"/><Relationship Id="rId145" Type="http://schemas.openxmlformats.org/officeDocument/2006/relationships/hyperlink" Target="https://www.sec.gov/Archives/edgar/data/1856365/000114036122003901/brhc10033452_ex4-20.htm" TargetMode="External"/><Relationship Id="rId146" Type="http://schemas.openxmlformats.org/officeDocument/2006/relationships/hyperlink" Target="https://www.sec.gov/Archives/edgar/data/1856365/000114036122003901/brhc10033452_ex4-21.htm" TargetMode="External"/><Relationship Id="rId148" Type="http://schemas.openxmlformats.org/officeDocument/2006/relationships/hyperlink" Target="https://www.sec.gov/Archives/edgar/data/1856365/000114036122003901/brhc10033452_ex4-22.htm" TargetMode="External"/><Relationship Id="rId150" Type="http://schemas.openxmlformats.org/officeDocument/2006/relationships/hyperlink" Target="https://www.sec.gov/Archives/edgar/data/1856365/000114036121024467/nt10024103x6_ex10-6.htm" TargetMode="External"/><Relationship Id="rId152" Type="http://schemas.openxmlformats.org/officeDocument/2006/relationships/hyperlink" Target="https://www.sec.gov/Archives/edgar/data/1856365/000114036121024467/nt10024103x6_ex10-7.htm" TargetMode="External"/><Relationship Id="rId153" Type="http://schemas.openxmlformats.org/officeDocument/2006/relationships/hyperlink" Target="https://www.sec.gov/Archives/edgar/data/1856365/000114036121024467/nt10024103x6_ex10-8.htm" TargetMode="External"/><Relationship Id="rId156" Type="http://schemas.openxmlformats.org/officeDocument/2006/relationships/hyperlink" Target="https://www.sec.gov/Archives/edgar/data/1856365/000114036121024467/nt10024103x6_ex10-9.htm" TargetMode="External"/><Relationship Id="rId157" Type="http://schemas.openxmlformats.org/officeDocument/2006/relationships/hyperlink" Target="https://www.sec.gov/Archives/edgar/data/1856365/000114036121024467/nt10024103x6_ex10-10.htm" TargetMode="External"/><Relationship Id="rId160" Type="http://schemas.openxmlformats.org/officeDocument/2006/relationships/hyperlink" Target="https://www.sec.gov/Archives/edgar/data/1856365/000114036121024467/nt10024103x6_ex10-11.htm" TargetMode="External"/><Relationship Id="rId161" Type="http://schemas.openxmlformats.org/officeDocument/2006/relationships/hyperlink" Target="https://www.sec.gov/Archives/edgar/data/1856365/000114036121024467/nt10024103x6_ex10-12.htm" TargetMode="External"/><Relationship Id="rId164" Type="http://schemas.openxmlformats.org/officeDocument/2006/relationships/hyperlink" Target="https://www.sec.gov/Archives/edgar/data/1856365/000114036121024467/nt10024103x6_ex10-13.htm" TargetMode="External"/><Relationship Id="rId165" Type="http://schemas.openxmlformats.org/officeDocument/2006/relationships/hyperlink" Target="https://www.sec.gov/Archives/edgar/data/1856365/000114036121024467/nt10024103x6_ex10-14.htm" TargetMode="External"/><Relationship Id="rId168" Type="http://schemas.openxmlformats.org/officeDocument/2006/relationships/hyperlink" Target="https://www.sec.gov/Archives/edgar/data/1856365/000114036121026810/nt10024103x8_ex10-15.htm" TargetMode="External"/><Relationship Id="rId169" Type="http://schemas.openxmlformats.org/officeDocument/2006/relationships/hyperlink" Target="https://www.sec.gov/Archives/edgar/data/1856365/000114036121036137/nt10024103x16_ex10-16.htm" TargetMode="External"/><Relationship Id="rId171" Type="http://schemas.openxmlformats.org/officeDocument/2006/relationships/hyperlink" Target="https://www.sec.gov/Archives/edgar/data/1856365/000114036121024467/nt10024103x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2022-03-30T16:40:33Z</dcterms:created>
  <dcterms:modified xsi:type="dcterms:W3CDTF">2022-03-30T16:40:33Z</dcterms:modified>
</cp:coreProperties>
</file>