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10-K</w:t>
      </w:r>
    </w:p>
    <w:p>
      <w:pPr>
        <w:pStyle w:val="TextBody"/>
        <w:bidi w:val="0"/>
        <w:spacing w:lineRule="auto" w:line="288" w:before="200" w:after="283"/>
        <w:jc w:val="center"/>
        <w:rPr/>
      </w:pP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color w:val="000000"/>
          <w:sz w:val="20"/>
          <w:shd w:fill="FFFFFF" w:val="clear"/>
        </w:rPr>
        <w:t>ANNUAL REPORT PURSUANT TO SECTION 13 OR 15(d) OF THE SECURITIES EXCHANGE ACT OF 1934</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For the Fiscal Year Ended </w:t>
      </w:r>
      <w:r>
        <w:rPr>
          <w:rFonts w:ascii="Times New Roman;serif" w:hAnsi="Times New Roman;serif"/>
          <w:b w:val="false"/>
          <w:color w:val="000000"/>
          <w:sz w:val="20"/>
        </w:rPr>
        <w:t>December 31, 2025</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p>
      <w:pPr>
        <w:pStyle w:val="TextBody"/>
        <w:bidi w:val="0"/>
        <w:spacing w:lineRule="auto" w:line="288" w:before="200" w:after="283"/>
        <w:jc w:val="center"/>
        <w:rPr/>
      </w:pP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color w:val="000000"/>
          <w:sz w:val="20"/>
          <w:shd w:fill="FFFFFF" w:val="clear"/>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to</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001-40721</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FINWISE BANCORP</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396" w:type="dxa"/>
        <w:jc w:val="left"/>
        <w:tblInd w:w="0" w:type="dxa"/>
        <w:tblLayout w:type="fixed"/>
        <w:tblCellMar>
          <w:top w:w="28" w:type="dxa"/>
          <w:left w:w="28" w:type="dxa"/>
          <w:bottom w:w="28" w:type="dxa"/>
          <w:right w:w="28" w:type="dxa"/>
        </w:tblCellMar>
      </w:tblPr>
      <w:tblGrid>
        <w:gridCol w:w="1818"/>
        <w:gridCol w:w="1597"/>
        <w:gridCol w:w="1625"/>
        <w:gridCol w:w="109"/>
        <w:gridCol w:w="109"/>
        <w:gridCol w:w="109"/>
        <w:gridCol w:w="884"/>
        <w:gridCol w:w="884"/>
        <w:gridCol w:w="1261"/>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83-0356689</w:t>
            </w:r>
          </w:p>
        </w:tc>
      </w:tr>
      <w:tr>
        <w:trPr/>
        <w:tc>
          <w:tcPr>
            <w:tcW w:w="5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024" w:type="dxa"/>
        <w:jc w:val="left"/>
        <w:tblInd w:w="0" w:type="dxa"/>
        <w:tblLayout w:type="fixed"/>
        <w:tblCellMar>
          <w:top w:w="28" w:type="dxa"/>
          <w:left w:w="28" w:type="dxa"/>
          <w:bottom w:w="28" w:type="dxa"/>
          <w:right w:w="28" w:type="dxa"/>
        </w:tblCellMar>
      </w:tblPr>
      <w:tblGrid>
        <w:gridCol w:w="1446"/>
        <w:gridCol w:w="1268"/>
        <w:gridCol w:w="1275"/>
        <w:gridCol w:w="303"/>
        <w:gridCol w:w="303"/>
        <w:gridCol w:w="429"/>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756 East Winchester, Suite 100, Murray, Utah</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84107</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shd w:fill="FFFFFF" w:val="clear"/>
        </w:rPr>
        <w:t>(801)</w:t>
      </w:r>
      <w:r>
        <w:rPr>
          <w:color w:val="000000"/>
          <w:shd w:fill="FFFFFF" w:val="clear"/>
        </w:rPr>
        <w:t xml:space="preserve"> </w:t>
      </w:r>
      <w:r>
        <w:rPr>
          <w:rFonts w:ascii="Times New Roman;serif" w:hAnsi="Times New Roman;serif"/>
          <w:b/>
          <w:color w:val="000000"/>
          <w:sz w:val="20"/>
          <w:shd w:fill="FFFFFF" w:val="clear"/>
        </w:rPr>
        <w:t>501-7200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797"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832"/>
        <w:gridCol w:w="832"/>
        <w:gridCol w:w="1185"/>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12(g) of the Act: None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if the registrant is a well-known seasoned issuer, as defined in Rule 405 of the Securities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if the registrant is not required to file reports pursuant to Section 13 or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erif" w:hAnsi="Times New Roman;serif"/>
          <w:b w:val="false"/>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w:t>
      </w:r>
      <w:r>
        <w:rPr>
          <w:rFonts w:ascii="Times New Roman;serif" w:hAnsi="Times New Roman;serif"/>
          <w:b w:val="false"/>
          <w:color w:val="000000"/>
          <w:sz w:val="20"/>
        </w:rPr>
        <w:t xml:space="preserve">at prepared or issued its audit report.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shd w:fill="FFFFFF" w:val="clear"/>
        </w:rPr>
        <w:t xml:space="preserve"> </w:t>
      </w:r>
      <w:r>
        <w:rPr>
          <w:rFonts w:ascii="Wingdings;sans-serif" w:hAnsi="Wingdings;sans-serif"/>
          <w:b w:val="false"/>
          <w:color w:val="000000"/>
          <w:sz w:val="20"/>
          <w:shd w:fill="FFFFFF" w:val="clear"/>
        </w:rPr>
        <w:t>o</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w:t>
      </w:r>
      <w:r>
        <w:rPr>
          <w:rFonts w:ascii="Times New Roman;serif" w:hAnsi="Times New Roman;serif"/>
          <w:b w:val="false"/>
          <w:color w:val="000000"/>
          <w:sz w:val="20"/>
          <w:shd w:fill="FFFFFF" w:val="clear"/>
        </w:rPr>
        <w:t xml:space="preserve">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whether the registrant is a shell company (as defined in Rule 12b-2 of the Securities Exchange Act of 1934).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aggregate market value of the registrant’s voting and non-voting common equity held by non-affiliates of the registrant as of June 30,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last business day of the registrant’s most recently completed second fiscal quarter, was </w:t>
      </w:r>
      <w:r>
        <w:rPr>
          <w:rFonts w:ascii="Times New Roman;serif" w:hAnsi="Times New Roman;serif"/>
          <w:b w:val="false"/>
          <w:color w:val="000000"/>
          <w:sz w:val="20"/>
        </w:rPr>
        <w:t>$162.9 million</w:t>
      </w:r>
      <w:r>
        <w:rPr>
          <w:rFonts w:ascii="Times New Roman;serif" w:hAnsi="Times New Roman;serif"/>
          <w:b w:val="false"/>
          <w:color w:val="000000"/>
          <w:sz w:val="20"/>
          <w:shd w:fill="FFFFFF" w:val="clear"/>
        </w:rPr>
        <w:t>. The registrant</w:t>
      </w:r>
      <w:r>
        <w:rPr>
          <w:color w:val="000000"/>
        </w:rPr>
        <w:t xml:space="preserve"> </w:t>
      </w:r>
      <w:r>
        <w:rPr>
          <w:rFonts w:ascii="Times New Roman;serif" w:hAnsi="Times New Roman;serif"/>
          <w:b w:val="false"/>
          <w:color w:val="000000"/>
          <w:sz w:val="20"/>
        </w:rPr>
        <w:t>had 13,676,859 share</w:t>
      </w:r>
      <w:r>
        <w:rPr>
          <w:rFonts w:ascii="Times New Roman;serif" w:hAnsi="Times New Roman;serif"/>
          <w:b w:val="false"/>
          <w:color w:val="000000"/>
          <w:sz w:val="20"/>
          <w:shd w:fill="FFFFFF" w:val="clear"/>
        </w:rPr>
        <w:t xml:space="preserve">s of common stock, $0.001 par value, outstanding as of </w:t>
      </w:r>
      <w:r>
        <w:rPr>
          <w:rFonts w:ascii="Times New Roman;serif" w:hAnsi="Times New Roman;serif"/>
          <w:b w:val="false"/>
          <w:color w:val="000000"/>
          <w:sz w:val="20"/>
        </w:rPr>
        <w:t>March 16, 2026</w:t>
      </w:r>
      <w:r>
        <w:rPr>
          <w:rFonts w:ascii="Times New Roman;serif" w:hAnsi="Times New Roman;serif"/>
          <w:b w:val="false"/>
          <w:color w:val="000000"/>
          <w:sz w:val="20"/>
          <w:shd w:fill="FFFFFF" w:val="clear"/>
        </w:rPr>
        <w:t>.</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DOCUMENTS INCORPORATED BY REFERENCE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Portions of the registrant’s proxy statement to be filed with the Securities and Exchange Commission pursuant to Regulation 14A in connection with the registrant’s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Annual Meeting of Shareholders,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90"/>
        <w:gridCol w:w="255"/>
        <w:gridCol w:w="256"/>
        <w:gridCol w:w="2977"/>
        <w:gridCol w:w="2977"/>
        <w:gridCol w:w="2982"/>
        <w:gridCol w:w="136"/>
        <w:gridCol w:w="136"/>
        <w:gridCol w:w="196"/>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0">
              <w:r>
                <w:rPr>
                  <w:rStyle w:val="InternetLink"/>
                  <w:rFonts w:ascii="Times New Roman;serif" w:hAnsi="Times New Roman;serif"/>
                  <w:b w:val="false"/>
                  <w:color w:val="0000FF"/>
                  <w:sz w:val="20"/>
                  <w:u w:val="single"/>
                </w:rPr>
                <w:t>Cautionary Note Regarding Forward-Looking Statements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0">
              <w:r>
                <w:rPr>
                  <w:rStyle w:val="InternetLink"/>
                  <w:rFonts w:ascii="Times New Roman;serif" w:hAnsi="Times New Roman;serif"/>
                  <w:b w:val="false"/>
                  <w:strike w:val="false"/>
                  <w:dstrike w:val="false"/>
                  <w:color w:val="000000"/>
                  <w:sz w:val="20"/>
                  <w:u w:val="none"/>
                  <w:effect w:val="none"/>
                </w:rPr>
                <w:t>3</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3">
              <w:r>
                <w:rPr>
                  <w:rStyle w:val="InternetLink"/>
                  <w:rFonts w:ascii="Times New Roman;serif" w:hAnsi="Times New Roman;serif"/>
                  <w:b w:val="false"/>
                  <w:color w:val="0000FF"/>
                  <w:sz w:val="20"/>
                  <w:u w:val="single"/>
                </w:rPr>
                <w:t>Summary of Risk Factors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3">
              <w:r>
                <w:rPr>
                  <w:rStyle w:val="InternetLink"/>
                  <w:rFonts w:ascii="Times New Roman;serif" w:hAnsi="Times New Roman;serif"/>
                  <w:b w:val="false"/>
                  <w:strike w:val="false"/>
                  <w:dstrike w:val="false"/>
                  <w:color w:val="000000"/>
                  <w:sz w:val="20"/>
                  <w:u w:val="none"/>
                  <w:effect w:val="none"/>
                </w:rPr>
                <w:t>5</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
              <w:r>
                <w:rPr>
                  <w:rStyle w:val="InternetLink"/>
                  <w:rFonts w:ascii="Times New Roman;serif" w:hAnsi="Times New Roman;serif"/>
                  <w:b/>
                  <w:strike w:val="false"/>
                  <w:dstrike w:val="false"/>
                  <w:color w:val="000000"/>
                  <w:sz w:val="20"/>
                  <w:u w:val="none"/>
                  <w:effect w:val="none"/>
                </w:rPr>
                <w:t>Part I</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9">
              <w:r>
                <w:rPr>
                  <w:rStyle w:val="InternetLink"/>
                  <w:rFonts w:ascii="Times New Roman;serif" w:hAnsi="Times New Roman;serif"/>
                  <w:b w:val="false"/>
                  <w:strike w:val="false"/>
                  <w:dstrike w:val="false"/>
                  <w:color w:val="000000"/>
                  <w:sz w:val="20"/>
                  <w:u w:val="none"/>
                  <w:effect w:val="none"/>
                </w:rPr>
                <w:t>Item 1.</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9">
              <w:r>
                <w:rPr>
                  <w:rStyle w:val="InternetLink"/>
                  <w:rFonts w:ascii="Times New Roman;serif" w:hAnsi="Times New Roman;serif"/>
                  <w:b w:val="false"/>
                  <w:color w:val="0000FF"/>
                  <w:sz w:val="20"/>
                  <w:u w:val="single"/>
                </w:rPr>
                <w:t>Business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9">
              <w:r>
                <w:rPr>
                  <w:rStyle w:val="InternetLink"/>
                  <w:rFonts w:ascii="Times New Roman;serif" w:hAnsi="Times New Roman;serif"/>
                  <w:b w:val="false"/>
                  <w:strike w:val="false"/>
                  <w:dstrike w:val="false"/>
                  <w:color w:val="000000"/>
                  <w:sz w:val="20"/>
                  <w:u w:val="none"/>
                  <w:effect w:val="none"/>
                </w:rPr>
                <w:t>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22">
              <w:r>
                <w:rPr>
                  <w:rStyle w:val="InternetLink"/>
                  <w:rFonts w:ascii="Times New Roman;serif" w:hAnsi="Times New Roman;serif"/>
                  <w:b w:val="false"/>
                  <w:strike w:val="false"/>
                  <w:dstrike w:val="false"/>
                  <w:color w:val="000000"/>
                  <w:sz w:val="20"/>
                  <w:u w:val="none"/>
                  <w:effect w:val="none"/>
                </w:rPr>
                <w:t>Item 1A.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22">
              <w:r>
                <w:rPr>
                  <w:rStyle w:val="InternetLink"/>
                  <w:rFonts w:ascii="Times New Roman;serif" w:hAnsi="Times New Roman;serif"/>
                  <w:b w:val="false"/>
                  <w:color w:val="0000FF"/>
                  <w:sz w:val="20"/>
                  <w:u w:val="single"/>
                </w:rPr>
                <w:t>Risk Factors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22">
              <w:r>
                <w:rPr>
                  <w:rStyle w:val="InternetLink"/>
                  <w:rFonts w:ascii="Times New Roman;serif" w:hAnsi="Times New Roman;serif"/>
                  <w:b w:val="false"/>
                  <w:strike w:val="false"/>
                  <w:dstrike w:val="false"/>
                  <w:color w:val="000000"/>
                  <w:sz w:val="20"/>
                  <w:u w:val="none"/>
                  <w:effect w:val="none"/>
                </w:rPr>
                <w:t>22</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25">
              <w:r>
                <w:rPr>
                  <w:rStyle w:val="InternetLink"/>
                  <w:rFonts w:ascii="Times New Roman;serif" w:hAnsi="Times New Roman;serif"/>
                  <w:b w:val="false"/>
                  <w:strike w:val="false"/>
                  <w:dstrike w:val="false"/>
                  <w:color w:val="000000"/>
                  <w:sz w:val="20"/>
                  <w:u w:val="none"/>
                  <w:effect w:val="none"/>
                </w:rPr>
                <w:t>Item 1B.</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25">
              <w:r>
                <w:rPr>
                  <w:rStyle w:val="InternetLink"/>
                  <w:rFonts w:ascii="Times New Roman;serif" w:hAnsi="Times New Roman;serif"/>
                  <w:b w:val="false"/>
                  <w:color w:val="0000FF"/>
                  <w:sz w:val="20"/>
                  <w:u w:val="single"/>
                </w:rPr>
                <w:t>Unresolved Staff Comments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25">
              <w:r>
                <w:rPr>
                  <w:rStyle w:val="InternetLink"/>
                  <w:rFonts w:ascii="Times New Roman;serif" w:hAnsi="Times New Roman;serif"/>
                  <w:b w:val="false"/>
                  <w:strike w:val="false"/>
                  <w:dstrike w:val="false"/>
                  <w:color w:val="000000"/>
                  <w:sz w:val="20"/>
                  <w:u w:val="none"/>
                  <w:effect w:val="none"/>
                </w:rPr>
                <w:t>45</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28">
              <w:r>
                <w:rPr>
                  <w:rStyle w:val="InternetLink"/>
                  <w:rFonts w:ascii="Times New Roman;serif" w:hAnsi="Times New Roman;serif"/>
                  <w:b w:val="false"/>
                  <w:color w:val="0000FF"/>
                  <w:sz w:val="20"/>
                  <w:u w:val="single"/>
                </w:rPr>
                <w:t>Cybersecurity</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25">
              <w:r>
                <w:rPr>
                  <w:rStyle w:val="InternetLink"/>
                  <w:rFonts w:ascii="Times New Roman;serif" w:hAnsi="Times New Roman;serif"/>
                  <w:b w:val="false"/>
                  <w:strike w:val="false"/>
                  <w:dstrike w:val="false"/>
                  <w:color w:val="000000"/>
                  <w:sz w:val="20"/>
                  <w:u w:val="none"/>
                  <w:effect w:val="none"/>
                </w:rPr>
                <w:t>45</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1">
              <w:r>
                <w:rPr>
                  <w:rStyle w:val="InternetLink"/>
                  <w:rFonts w:ascii="Times New Roman;serif" w:hAnsi="Times New Roman;serif"/>
                  <w:b w:val="false"/>
                  <w:strike w:val="false"/>
                  <w:dstrike w:val="false"/>
                  <w:color w:val="000000"/>
                  <w:sz w:val="20"/>
                  <w:u w:val="none"/>
                  <w:effect w:val="none"/>
                </w:rPr>
                <w:t>Item 2.</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1">
              <w:r>
                <w:rPr>
                  <w:rStyle w:val="InternetLink"/>
                  <w:rFonts w:ascii="Times New Roman;serif" w:hAnsi="Times New Roman;serif"/>
                  <w:b w:val="false"/>
                  <w:color w:val="0000FF"/>
                  <w:sz w:val="20"/>
                  <w:u w:val="single"/>
                </w:rPr>
                <w:t>Properties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31">
              <w:r>
                <w:rPr>
                  <w:rStyle w:val="InternetLink"/>
                  <w:rFonts w:ascii="Times New Roman;serif" w:hAnsi="Times New Roman;serif"/>
                  <w:b w:val="false"/>
                  <w:strike w:val="false"/>
                  <w:dstrike w:val="false"/>
                  <w:color w:val="000000"/>
                  <w:sz w:val="20"/>
                  <w:u w:val="none"/>
                  <w:effect w:val="none"/>
                </w:rPr>
                <w:t>46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4">
              <w:r>
                <w:rPr>
                  <w:rStyle w:val="InternetLink"/>
                  <w:rFonts w:ascii="Times New Roman;serif" w:hAnsi="Times New Roman;serif"/>
                  <w:b w:val="false"/>
                  <w:strike w:val="false"/>
                  <w:dstrike w:val="false"/>
                  <w:color w:val="000000"/>
                  <w:sz w:val="20"/>
                  <w:u w:val="none"/>
                  <w:effect w:val="none"/>
                </w:rPr>
                <w:t>Item 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4">
              <w:r>
                <w:rPr>
                  <w:rStyle w:val="InternetLink"/>
                  <w:rFonts w:ascii="Times New Roman;serif" w:hAnsi="Times New Roman;serif"/>
                  <w:b w:val="false"/>
                  <w:color w:val="0000FF"/>
                  <w:sz w:val="20"/>
                  <w:u w:val="single"/>
                </w:rPr>
                <w:t>Legal Proceedings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34">
              <w:r>
                <w:rPr>
                  <w:rStyle w:val="InternetLink"/>
                  <w:rFonts w:ascii="Times New Roman;serif" w:hAnsi="Times New Roman;serif"/>
                  <w:b w:val="false"/>
                  <w:strike w:val="false"/>
                  <w:dstrike w:val="false"/>
                  <w:color w:val="000000"/>
                  <w:sz w:val="20"/>
                  <w:u w:val="none"/>
                  <w:effect w:val="none"/>
                </w:rPr>
                <w:t>46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7">
              <w:r>
                <w:rPr>
                  <w:rStyle w:val="InternetLink"/>
                  <w:rFonts w:ascii="Times New Roman;serif" w:hAnsi="Times New Roman;serif"/>
                  <w:b w:val="false"/>
                  <w:strike w:val="false"/>
                  <w:dstrike w:val="false"/>
                  <w:color w:val="000000"/>
                  <w:sz w:val="20"/>
                  <w:u w:val="none"/>
                  <w:effect w:val="none"/>
                </w:rPr>
                <w:t>Item 4.</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37">
              <w:r>
                <w:rPr>
                  <w:rStyle w:val="InternetLink"/>
                  <w:rFonts w:ascii="Times New Roman;serif" w:hAnsi="Times New Roman;serif"/>
                  <w:b w:val="false"/>
                  <w:color w:val="0000FF"/>
                  <w:sz w:val="20"/>
                  <w:u w:val="single"/>
                </w:rPr>
                <w:t>Mine Safety Disclosures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37">
              <w:r>
                <w:rPr>
                  <w:rStyle w:val="InternetLink"/>
                  <w:rFonts w:ascii="Times New Roman;serif" w:hAnsi="Times New Roman;serif"/>
                  <w:b w:val="false"/>
                  <w:strike w:val="false"/>
                  <w:dstrike w:val="false"/>
                  <w:color w:val="000000"/>
                  <w:sz w:val="20"/>
                  <w:u w:val="none"/>
                  <w:effect w:val="none"/>
                </w:rPr>
                <w:t>47</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0">
              <w:r>
                <w:rPr>
                  <w:rStyle w:val="InternetLink"/>
                  <w:rFonts w:ascii="Times New Roman;serif" w:hAnsi="Times New Roman;serif"/>
                  <w:b/>
                  <w:strike w:val="false"/>
                  <w:dstrike w:val="false"/>
                  <w:color w:val="000000"/>
                  <w:sz w:val="20"/>
                  <w:u w:val="none"/>
                  <w:effect w:val="none"/>
                </w:rPr>
                <w:t>Part II</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3">
              <w:r>
                <w:rPr>
                  <w:rStyle w:val="InternetLink"/>
                  <w:rFonts w:ascii="Times New Roman;serif" w:hAnsi="Times New Roman;serif"/>
                  <w:b w:val="false"/>
                  <w:strike w:val="false"/>
                  <w:dstrike w:val="false"/>
                  <w:color w:val="000000"/>
                  <w:sz w:val="20"/>
                  <w:u w:val="none"/>
                  <w:effect w:val="none"/>
                </w:rPr>
                <w:t>Item 5.</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43">
              <w:r>
                <w:rPr>
                  <w:rStyle w:val="InternetLink"/>
                  <w:rFonts w:ascii="Times New Roman;serif" w:hAnsi="Times New Roman;serif"/>
                  <w:b w:val="false"/>
                  <w:strike w:val="false"/>
                  <w:dstrike w:val="false"/>
                  <w:color w:val="000000"/>
                  <w:sz w:val="20"/>
                  <w:u w:val="none"/>
                  <w:effect w:val="none"/>
                </w:rPr>
                <w:t>48</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6">
              <w:r>
                <w:rPr>
                  <w:rStyle w:val="InternetLink"/>
                  <w:rFonts w:ascii="Times New Roman;serif" w:hAnsi="Times New Roman;serif"/>
                  <w:b w:val="false"/>
                  <w:strike w:val="false"/>
                  <w:dstrike w:val="false"/>
                  <w:color w:val="000000"/>
                  <w:sz w:val="20"/>
                  <w:u w:val="none"/>
                  <w:effect w:val="none"/>
                </w:rPr>
                <w:t>Item 6.</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6">
              <w:r>
                <w:rPr>
                  <w:rStyle w:val="InternetLink"/>
                  <w:rFonts w:ascii="Times New Roman;serif" w:hAnsi="Times New Roman;serif"/>
                  <w:b w:val="false"/>
                  <w:color w:val="0000FF"/>
                  <w:sz w:val="20"/>
                  <w:u w:val="single"/>
                </w:rPr>
                <w:t>[Reserved]</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46">
              <w:r>
                <w:rPr>
                  <w:rStyle w:val="InternetLink"/>
                  <w:rFonts w:ascii="Times New Roman;serif" w:hAnsi="Times New Roman;serif"/>
                  <w:b w:val="false"/>
                  <w:strike w:val="false"/>
                  <w:dstrike w:val="false"/>
                  <w:color w:val="000000"/>
                  <w:sz w:val="20"/>
                  <w:u w:val="none"/>
                  <w:effect w:val="none"/>
                </w:rPr>
                <w:t>48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9">
              <w:r>
                <w:rPr>
                  <w:rStyle w:val="InternetLink"/>
                  <w:rFonts w:ascii="Times New Roman;serif" w:hAnsi="Times New Roman;serif"/>
                  <w:b w:val="false"/>
                  <w:strike w:val="false"/>
                  <w:dstrike w:val="false"/>
                  <w:color w:val="000000"/>
                  <w:sz w:val="20"/>
                  <w:u w:val="none"/>
                  <w:effect w:val="none"/>
                </w:rPr>
                <w:t>Item 7.</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49">
              <w:r>
                <w:rPr>
                  <w:rStyle w:val="InternetLink"/>
                  <w:rFonts w:ascii="Times New Roman;serif" w:hAnsi="Times New Roman;serif"/>
                  <w:b w:val="false"/>
                  <w:strike w:val="false"/>
                  <w:dstrike w:val="false"/>
                  <w:color w:val="000000"/>
                  <w:sz w:val="20"/>
                  <w:u w:val="none"/>
                  <w:effect w:val="none"/>
                </w:rPr>
                <w:t>49</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73">
              <w:r>
                <w:rPr>
                  <w:rStyle w:val="InternetLink"/>
                  <w:rFonts w:ascii="Times New Roman;serif" w:hAnsi="Times New Roman;serif"/>
                  <w:b w:val="false"/>
                  <w:strike w:val="false"/>
                  <w:dstrike w:val="false"/>
                  <w:color w:val="000000"/>
                  <w:sz w:val="20"/>
                  <w:u w:val="none"/>
                  <w:effect w:val="none"/>
                </w:rPr>
                <w:t>Item 7A.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73">
              <w:r>
                <w:rPr>
                  <w:rStyle w:val="InternetLink"/>
                  <w:rFonts w:ascii="Times New Roman;serif" w:hAnsi="Times New Roman;serif"/>
                  <w:b w:val="false"/>
                  <w:color w:val="0000FF"/>
                  <w:sz w:val="20"/>
                  <w:u w:val="single"/>
                </w:rPr>
                <w:t>Quantitative and Qualitative Disclosures About Market Risk</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73">
              <w:r>
                <w:rPr>
                  <w:rStyle w:val="InternetLink"/>
                  <w:rFonts w:ascii="Times New Roman;serif" w:hAnsi="Times New Roman;serif"/>
                  <w:b w:val="false"/>
                  <w:strike w:val="false"/>
                  <w:dstrike w:val="false"/>
                  <w:color w:val="000000"/>
                  <w:sz w:val="20"/>
                  <w:u w:val="none"/>
                  <w:effect w:val="none"/>
                </w:rPr>
                <w:t>74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76">
              <w:r>
                <w:rPr>
                  <w:rStyle w:val="InternetLink"/>
                  <w:rFonts w:ascii="Times New Roman;serif" w:hAnsi="Times New Roman;serif"/>
                  <w:b w:val="false"/>
                  <w:strike w:val="false"/>
                  <w:dstrike w:val="false"/>
                  <w:color w:val="000000"/>
                  <w:sz w:val="20"/>
                  <w:u w:val="none"/>
                  <w:effect w:val="none"/>
                </w:rPr>
                <w:t>Item 8.</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76">
              <w:r>
                <w:rPr>
                  <w:rStyle w:val="InternetLink"/>
                  <w:rFonts w:ascii="Times New Roman;serif" w:hAnsi="Times New Roman;serif"/>
                  <w:b w:val="false"/>
                  <w:color w:val="0000FF"/>
                  <w:sz w:val="20"/>
                  <w:u w:val="single"/>
                </w:rPr>
                <w:t>Financial Statements and Supplementary Data</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76">
              <w:r>
                <w:rPr>
                  <w:rStyle w:val="InternetLink"/>
                  <w:rFonts w:ascii="Times New Roman;serif" w:hAnsi="Times New Roman;serif"/>
                  <w:b w:val="false"/>
                  <w:strike w:val="false"/>
                  <w:dstrike w:val="false"/>
                  <w:color w:val="000000"/>
                  <w:sz w:val="20"/>
                  <w:u w:val="none"/>
                  <w:effect w:val="none"/>
                </w:rPr>
                <w:t>76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1">
              <w:r>
                <w:rPr>
                  <w:rStyle w:val="InternetLink"/>
                  <w:rFonts w:ascii="Times New Roman;serif" w:hAnsi="Times New Roman;serif"/>
                  <w:b w:val="false"/>
                  <w:strike w:val="false"/>
                  <w:dstrike w:val="false"/>
                  <w:color w:val="000000"/>
                  <w:sz w:val="20"/>
                  <w:u w:val="none"/>
                  <w:effect w:val="none"/>
                </w:rPr>
                <w:t>Item 9.</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51">
              <w:r>
                <w:rPr>
                  <w:rStyle w:val="InternetLink"/>
                  <w:rFonts w:ascii="Times New Roman;serif" w:hAnsi="Times New Roman;serif"/>
                  <w:b w:val="false"/>
                  <w:strike w:val="false"/>
                  <w:dstrike w:val="false"/>
                  <w:color w:val="000000"/>
                  <w:sz w:val="20"/>
                  <w:u w:val="none"/>
                  <w:effect w:val="none"/>
                </w:rPr>
                <w:t>126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4">
              <w:r>
                <w:rPr>
                  <w:rStyle w:val="InternetLink"/>
                  <w:rFonts w:ascii="Times New Roman;serif" w:hAnsi="Times New Roman;serif"/>
                  <w:b w:val="false"/>
                  <w:strike w:val="false"/>
                  <w:dstrike w:val="false"/>
                  <w:color w:val="000000"/>
                  <w:sz w:val="20"/>
                  <w:u w:val="none"/>
                  <w:effect w:val="none"/>
                </w:rPr>
                <w:t>Item 9A.</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4">
              <w:r>
                <w:rPr>
                  <w:rStyle w:val="InternetLink"/>
                  <w:rFonts w:ascii="Times New Roman;serif" w:hAnsi="Times New Roman;serif"/>
                  <w:b w:val="false"/>
                  <w:color w:val="0000FF"/>
                  <w:sz w:val="20"/>
                  <w:u w:val="single"/>
                </w:rPr>
                <w:t>Controls and Procedures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54">
              <w:r>
                <w:rPr>
                  <w:rStyle w:val="InternetLink"/>
                  <w:rFonts w:ascii="Times New Roman;serif" w:hAnsi="Times New Roman;serif"/>
                  <w:b w:val="false"/>
                  <w:strike w:val="false"/>
                  <w:dstrike w:val="false"/>
                  <w:color w:val="000000"/>
                  <w:sz w:val="20"/>
                  <w:u w:val="none"/>
                  <w:effect w:val="none"/>
                </w:rPr>
                <w:t>126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7">
              <w:r>
                <w:rPr>
                  <w:rStyle w:val="InternetLink"/>
                  <w:rFonts w:ascii="Times New Roman;serif" w:hAnsi="Times New Roman;serif"/>
                  <w:b w:val="false"/>
                  <w:strike w:val="false"/>
                  <w:dstrike w:val="false"/>
                  <w:color w:val="000000"/>
                  <w:sz w:val="20"/>
                  <w:u w:val="none"/>
                  <w:effect w:val="none"/>
                </w:rPr>
                <w:t>Item 9B.</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7">
              <w:r>
                <w:rPr>
                  <w:rStyle w:val="InternetLink"/>
                  <w:rFonts w:ascii="Times New Roman;serif" w:hAnsi="Times New Roman;serif"/>
                  <w:b w:val="false"/>
                  <w:color w:val="0000FF"/>
                  <w:sz w:val="20"/>
                  <w:u w:val="single"/>
                </w:rPr>
                <w:t>Other Information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57">
              <w:r>
                <w:rPr>
                  <w:rStyle w:val="InternetLink"/>
                  <w:rFonts w:ascii="Times New Roman;serif" w:hAnsi="Times New Roman;serif"/>
                  <w:b w:val="false"/>
                  <w:strike w:val="false"/>
                  <w:dstrike w:val="false"/>
                  <w:color w:val="000000"/>
                  <w:sz w:val="20"/>
                  <w:u w:val="none"/>
                  <w:effect w:val="none"/>
                </w:rPr>
                <w:t>126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57">
              <w:r>
                <w:rPr>
                  <w:rStyle w:val="InternetLink"/>
                  <w:rFonts w:ascii="Times New Roman;serif" w:hAnsi="Times New Roman;serif"/>
                  <w:b w:val="false"/>
                  <w:strike w:val="false"/>
                  <w:dstrike w:val="false"/>
                  <w:color w:val="000000"/>
                  <w:sz w:val="20"/>
                  <w:u w:val="none"/>
                  <w:effect w:val="none"/>
                </w:rPr>
                <w:t>Item 9C.</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0">
              <w:r>
                <w:rPr>
                  <w:rStyle w:val="InternetLink"/>
                  <w:rFonts w:ascii="Times New Roman;serif" w:hAnsi="Times New Roman;serif"/>
                  <w:b w:val="false"/>
                  <w:color w:val="0000FF"/>
                  <w:sz w:val="20"/>
                  <w:u w:val="single"/>
                </w:rPr>
                <w:t>Disclosures Regarding Foreign Jurisdictions that Prevent Inspections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60">
              <w:r>
                <w:rPr>
                  <w:rStyle w:val="InternetLink"/>
                  <w:rFonts w:ascii="Times New Roman;serif" w:hAnsi="Times New Roman;serif"/>
                  <w:b w:val="false"/>
                  <w:strike w:val="false"/>
                  <w:dstrike w:val="false"/>
                  <w:color w:val="000000"/>
                  <w:sz w:val="20"/>
                  <w:u w:val="none"/>
                  <w:effect w:val="none"/>
                </w:rPr>
                <w:t>126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3">
              <w:r>
                <w:rPr>
                  <w:rStyle w:val="InternetLink"/>
                  <w:rFonts w:ascii="Times New Roman;serif" w:hAnsi="Times New Roman;serif"/>
                  <w:b/>
                  <w:strike w:val="false"/>
                  <w:dstrike w:val="false"/>
                  <w:color w:val="000000"/>
                  <w:sz w:val="20"/>
                  <w:u w:val="none"/>
                  <w:effect w:val="none"/>
                </w:rPr>
                <w:t>Part III</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6">
              <w:r>
                <w:rPr>
                  <w:rStyle w:val="InternetLink"/>
                  <w:rFonts w:ascii="Times New Roman;serif" w:hAnsi="Times New Roman;serif"/>
                  <w:b w:val="false"/>
                  <w:strike w:val="false"/>
                  <w:dstrike w:val="false"/>
                  <w:color w:val="000000"/>
                  <w:sz w:val="20"/>
                  <w:u w:val="none"/>
                  <w:effect w:val="none"/>
                </w:rPr>
                <w:t>Item 10.</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6">
              <w:r>
                <w:rPr>
                  <w:rStyle w:val="InternetLink"/>
                  <w:rFonts w:ascii="Times New Roman;serif" w:hAnsi="Times New Roman;serif"/>
                  <w:b w:val="false"/>
                  <w:color w:val="0000FF"/>
                  <w:sz w:val="20"/>
                  <w:u w:val="single"/>
                </w:rPr>
                <w:t>Directors, Executive Officers and Corporate Governance</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66">
              <w:r>
                <w:rPr>
                  <w:rStyle w:val="InternetLink"/>
                  <w:rFonts w:ascii="Times New Roman;serif" w:hAnsi="Times New Roman;serif"/>
                  <w:b w:val="false"/>
                  <w:strike w:val="false"/>
                  <w:dstrike w:val="false"/>
                  <w:color w:val="000000"/>
                  <w:sz w:val="20"/>
                  <w:u w:val="none"/>
                  <w:effect w:val="none"/>
                </w:rPr>
                <w:t>126</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9">
              <w:r>
                <w:rPr>
                  <w:rStyle w:val="InternetLink"/>
                  <w:rFonts w:ascii="Times New Roman;serif" w:hAnsi="Times New Roman;serif"/>
                  <w:b w:val="false"/>
                  <w:strike w:val="false"/>
                  <w:dstrike w:val="false"/>
                  <w:color w:val="000000"/>
                  <w:sz w:val="20"/>
                  <w:u w:val="none"/>
                  <w:effect w:val="none"/>
                </w:rPr>
                <w:t>Item 11.</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69">
              <w:r>
                <w:rPr>
                  <w:rStyle w:val="InternetLink"/>
                  <w:rFonts w:ascii="Times New Roman;serif" w:hAnsi="Times New Roman;serif"/>
                  <w:b w:val="false"/>
                  <w:color w:val="0000FF"/>
                  <w:sz w:val="20"/>
                  <w:u w:val="single"/>
                </w:rPr>
                <w:t>Executive Compensation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30">
              <w:r>
                <w:rPr>
                  <w:rStyle w:val="InternetLink"/>
                  <w:rFonts w:ascii="Times New Roman;serif" w:hAnsi="Times New Roman;serif"/>
                  <w:b w:val="false"/>
                  <w:strike w:val="false"/>
                  <w:dstrike w:val="false"/>
                  <w:color w:val="000000"/>
                  <w:sz w:val="20"/>
                  <w:u w:val="none"/>
                  <w:effect w:val="none"/>
                </w:rPr>
                <w:t>112</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2">
              <w:r>
                <w:rPr>
                  <w:rStyle w:val="InternetLink"/>
                  <w:rFonts w:ascii="Times New Roman;serif" w:hAnsi="Times New Roman;serif"/>
                  <w:b w:val="false"/>
                  <w:strike w:val="false"/>
                  <w:dstrike w:val="false"/>
                  <w:color w:val="000000"/>
                  <w:sz w:val="20"/>
                  <w:u w:val="none"/>
                  <w:effect w:val="none"/>
                </w:rPr>
                <w:t>Item 12.</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72">
              <w:r>
                <w:rPr>
                  <w:rStyle w:val="InternetLink"/>
                  <w:rFonts w:ascii="Times New Roman;serif" w:hAnsi="Times New Roman;serif"/>
                  <w:b w:val="false"/>
                  <w:strike w:val="false"/>
                  <w:dstrike w:val="false"/>
                  <w:color w:val="000000"/>
                  <w:sz w:val="20"/>
                  <w:u w:val="none"/>
                  <w:effect w:val="none"/>
                </w:rPr>
                <w:t>127</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5">
              <w:r>
                <w:rPr>
                  <w:rStyle w:val="InternetLink"/>
                  <w:rFonts w:ascii="Times New Roman;serif" w:hAnsi="Times New Roman;serif"/>
                  <w:b w:val="false"/>
                  <w:strike w:val="false"/>
                  <w:dstrike w:val="false"/>
                  <w:color w:val="000000"/>
                  <w:sz w:val="20"/>
                  <w:u w:val="none"/>
                  <w:effect w:val="none"/>
                </w:rPr>
                <w:t>Item 13.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5">
              <w:r>
                <w:rPr>
                  <w:rStyle w:val="InternetLink"/>
                  <w:rFonts w:ascii="Times New Roman;serif" w:hAnsi="Times New Roman;serif"/>
                  <w:b w:val="false"/>
                  <w:color w:val="0000FF"/>
                  <w:sz w:val="20"/>
                  <w:u w:val="single"/>
                </w:rPr>
                <w:t>Certain Relationships and Related Transactions, and Director Independence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75">
              <w:r>
                <w:rPr>
                  <w:rStyle w:val="InternetLink"/>
                  <w:rFonts w:ascii="Times New Roman;serif" w:hAnsi="Times New Roman;serif"/>
                  <w:b w:val="false"/>
                  <w:strike w:val="false"/>
                  <w:dstrike w:val="false"/>
                  <w:color w:val="000000"/>
                  <w:sz w:val="20"/>
                  <w:u w:val="none"/>
                  <w:effect w:val="none"/>
                </w:rPr>
                <w:t>127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8">
              <w:r>
                <w:rPr>
                  <w:rStyle w:val="InternetLink"/>
                  <w:rFonts w:ascii="Times New Roman;serif" w:hAnsi="Times New Roman;serif"/>
                  <w:b w:val="false"/>
                  <w:strike w:val="false"/>
                  <w:dstrike w:val="false"/>
                  <w:color w:val="000000"/>
                  <w:sz w:val="20"/>
                  <w:u w:val="none"/>
                  <w:effect w:val="none"/>
                </w:rPr>
                <w:t>Item 14.</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78">
              <w:r>
                <w:rPr>
                  <w:rStyle w:val="InternetLink"/>
                  <w:rFonts w:ascii="Times New Roman;serif" w:hAnsi="Times New Roman;serif"/>
                  <w:b w:val="false"/>
                  <w:color w:val="0000FF"/>
                  <w:sz w:val="20"/>
                  <w:u w:val="single"/>
                </w:rPr>
                <w:t>Principal Accountant Fees and Services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78">
              <w:r>
                <w:rPr>
                  <w:rStyle w:val="InternetLink"/>
                  <w:rFonts w:ascii="Times New Roman;serif" w:hAnsi="Times New Roman;serif"/>
                  <w:b w:val="false"/>
                  <w:strike w:val="false"/>
                  <w:dstrike w:val="false"/>
                  <w:color w:val="000000"/>
                  <w:sz w:val="20"/>
                  <w:u w:val="none"/>
                  <w:effect w:val="none"/>
                </w:rPr>
                <w:t>127</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81">
              <w:r>
                <w:rPr>
                  <w:rStyle w:val="InternetLink"/>
                  <w:rFonts w:ascii="Times New Roman;serif" w:hAnsi="Times New Roman;serif"/>
                  <w:b/>
                  <w:strike w:val="false"/>
                  <w:dstrike w:val="false"/>
                  <w:color w:val="000000"/>
                  <w:sz w:val="20"/>
                  <w:u w:val="none"/>
                  <w:effect w:val="none"/>
                </w:rPr>
                <w:t>Part IV</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84">
              <w:r>
                <w:rPr>
                  <w:rStyle w:val="InternetLink"/>
                  <w:rFonts w:ascii="Times New Roman;serif" w:hAnsi="Times New Roman;serif"/>
                  <w:b w:val="false"/>
                  <w:strike w:val="false"/>
                  <w:dstrike w:val="false"/>
                  <w:color w:val="000000"/>
                  <w:sz w:val="20"/>
                  <w:u w:val="none"/>
                  <w:effect w:val="none"/>
                </w:rPr>
                <w:t>Item 15.</w:t>
              </w:r>
            </w:hyperlink>
          </w:p>
        </w:tc>
        <w:tc>
          <w:tcPr>
            <w:tcW w:w="8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84">
              <w:r>
                <w:rPr>
                  <w:rStyle w:val="InternetLink"/>
                  <w:rFonts w:ascii="Times New Roman;serif" w:hAnsi="Times New Roman;serif"/>
                  <w:b w:val="false"/>
                  <w:color w:val="0000FF"/>
                  <w:sz w:val="20"/>
                  <w:u w:val="single"/>
                </w:rPr>
                <w:t>Exhibits and Financial Statement Schedules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84">
              <w:r>
                <w:rPr>
                  <w:rStyle w:val="InternetLink"/>
                  <w:rFonts w:ascii="Times New Roman;serif" w:hAnsi="Times New Roman;serif"/>
                  <w:b w:val="false"/>
                  <w:strike w:val="false"/>
                  <w:dstrike w:val="false"/>
                  <w:color w:val="000000"/>
                  <w:sz w:val="20"/>
                  <w:u w:val="none"/>
                  <w:effect w:val="none"/>
                </w:rPr>
                <w:t>128</w:t>
              </w:r>
            </w:hyperlink>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84">
              <w:r>
                <w:rPr>
                  <w:rStyle w:val="InternetLink"/>
                  <w:rFonts w:ascii="Times New Roman;serif" w:hAnsi="Times New Roman;serif"/>
                  <w:b w:val="false"/>
                  <w:strike w:val="false"/>
                  <w:dstrike w:val="false"/>
                  <w:color w:val="000000"/>
                  <w:sz w:val="20"/>
                  <w:u w:val="none"/>
                  <w:effect w:val="none"/>
                </w:rPr>
                <w:t>Item 16.</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87">
              <w:r>
                <w:rPr>
                  <w:rStyle w:val="InternetLink"/>
                  <w:rFonts w:ascii="Times New Roman;serif" w:hAnsi="Times New Roman;serif"/>
                  <w:b w:val="false"/>
                  <w:color w:val="0000FF"/>
                  <w:sz w:val="20"/>
                  <w:u w:val="single"/>
                </w:rPr>
                <w:t>Form 10-K Summary</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87">
              <w:r>
                <w:rPr>
                  <w:rStyle w:val="InternetLink"/>
                  <w:rFonts w:ascii="Times New Roman;serif" w:hAnsi="Times New Roman;serif"/>
                  <w:b w:val="false"/>
                  <w:strike w:val="false"/>
                  <w:dstrike w:val="false"/>
                  <w:color w:val="000000"/>
                  <w:sz w:val="20"/>
                  <w:u w:val="none"/>
                  <w:effect w:val="none"/>
                </w:rPr>
                <w:t>131</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190">
              <w:r>
                <w:rPr>
                  <w:rStyle w:val="InternetLink"/>
                  <w:rFonts w:ascii="Times New Roman;serif" w:hAnsi="Times New Roman;serif"/>
                  <w:b w:val="false"/>
                  <w:color w:val="0000FF"/>
                  <w:sz w:val="20"/>
                  <w:u w:val="single"/>
                </w:rPr>
                <w:t>Signatures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bed39f75d3242be9fdb78973a5abddc_190">
              <w:r>
                <w:rPr>
                  <w:rStyle w:val="InternetLink"/>
                  <w:rFonts w:ascii="Times New Roman;serif" w:hAnsi="Times New Roman;serif"/>
                  <w:b w:val="false"/>
                  <w:strike w:val="false"/>
                  <w:dstrike w:val="false"/>
                  <w:color w:val="000000"/>
                  <w:sz w:val="20"/>
                  <w:u w:val="none"/>
                  <w:effect w:val="none"/>
                </w:rPr>
                <w:t>132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43840"/>
                <wp:effectExtent l="0" t="0" r="0" b="0"/>
                <wp:wrapNone/>
                <wp:docPr id="2" name="Frame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this Annual Report on Form 10-K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success of the financial technology and banking-as-a-service (“BaaS”) industries, as well as the continued evolution of the regulation of these industries;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ability of our Fintech Banking and Payment Solutions service providers to comply with regulatory regimes, and our ability to adequately oversee and monitor our Fintech Banking and Payment Solutions service providers;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changes in the laws, rules, regulations, interpretations or policies relating to financial institutions, accounting, tax, trade, tariffs, monetary and fiscal matters, including the application of interest rate caps or maximums;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our ability to keep pace with rapid technological changes in the industry or implement new technology effectively including development of applications utilizing artificial intelligence;</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system failure or cybersecurity breaches of our network security and 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 xml:space="preserve">our ability to maintain and grow relationships with and reliance on our service providers for core systems support, informational website hosting, internet services, online account opening and other processing services;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increased national or regional competition in the banking and financial services industry including fintech companies acquiring banks or applying for bank charters;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adequacy of our risk management framework and our ability to measure and manage our credit risk effectively;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adequacy of our allowance for credit losses (“ACL”);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changes in Small Business Administration (“SBA”) rules, regulations and loan products, including specifically the Section 7(a) program, or changes to the status of the Bank as an SBA Preferred Lender;</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the existing regulatory framework for brokered deposits;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performance of our loan portfolio including, the value of collateral securing our loans, our levels of nonperforming assets losses from loan defaults;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sufficiency of the cash flows from the credit enhanced loan portfolios to absorb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43840"/>
                <wp:effectExtent l="0" t="0" r="0" b="0"/>
                <wp:wrapNone/>
                <wp:docPr id="3" name="Frame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our ability to protect our intellectual property and the ability to defend claims and litigation of infringement initiated against us;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our ability to implement our growth strategy and to continue to launch new products and services successfully;</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anticipated benefits of any new lines of business that we may enter or investments or acquisitions we may make are not realized within the expected time frame or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concentration of our lending and depositor relationships through Strategic Programs (our nationwide strategic relationship programs) in the financial technology industry generally and our ability to develop a strong core deposit base or other low-cost funding sources;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manage interest rate, volatility and liquidity risks and the sufficiency of our capital;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effectiveness of our internal control over financial reporting and our ability to remediate any significant deficiencies or material weakness that may occur in the future in our internal control over financial reporting;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dependence on our management team and changes in management composition;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legislative, regulatory or tax priorities;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our involvement from time to time in legal or regulatory proceedings, including any class action lawsuits;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 xml:space="preserve">the availability of future equity and debt issuances and other capital raising opportunities on favorable terms;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negative ratings outlooks or downgrades of our credit rating or securities or the U.S.’s long-term credit rating;</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federal government shutdowns and other political impasses, including with respect to the U.S. debt ceiling and federal budget and any reductions in staffing at U.S. governmental agencies;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other factors listed from time to time in our filings with the Securities and Exchange Commission (the “SEC”), including under Item 1A of this Report and subsequent quarterly reports on Form 10-Q.</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factors should not be construed as exhaustive and should be read together with the other cautionary statements included in this Report, including those discussed in Item 1A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43840"/>
                <wp:effectExtent l="0" t="0" r="0" b="0"/>
                <wp:wrapNone/>
                <wp:docPr id="4" name="Frame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a number of risks and a summary of the significant risk factors is set forth below. These risks are discussed more fully below under Part I, Item 1A. Risk Factors and should be read together with this summary and considered along with other information contained in this annual report before investing in our securities.</w:t>
      </w:r>
    </w:p>
    <w:p>
      <w:pPr>
        <w:pStyle w:val="TextBody"/>
        <w:bidi w:val="0"/>
        <w:spacing w:lineRule="auto" w:line="288" w:before="200" w:after="283"/>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Banking Business: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the loans we make, including the heightened risk associated with construction loans, loans to small-to-medium sized businesses, concentration of large loans to a limited number of borrowers and with respect to secured loans, the value of the assets collateralizing such loans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our SBA lending program including our dependency on the U.S. federal government and our reliance on Business Funding Group, LLC (“BFG”) for loan referrals in originating loans under the program;</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Adverse changes to regional economies, particularly those with a concentration of commercial and consumer banking clients that participate in our real estate lending program and SBA 7(a) lending program;</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Inability to measure our credit risk adequately and insufficiency for our allowance for credit losses to absorb potential losses in our loan portfolio;</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Challenges with managing interest rate risk, including fluctuations and volatility that could impact our lending strategy and value of our loan portfolio</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manage our liquidity appropriately, including deposit run-off risk and challenges with raising additional capital on favorable terms or at all;</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Competition among other financial services companies that offer banking and lending services, including the recent pursuit of bank charters by fintech companies;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significant reliance on our executive management team and other key employees;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grow our revenue through mergers and acquisitions and/or new lines of business, new products and services that we may offer and additional merchant relationships and the risks associated with such potential growth;</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our agreements and relationships with Fintech Banking and Payment Solutions;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to maintain effective internal controls over financial reporting, including the reliability and understanding of the presentation of our financial statements;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Operational risks including customer, employee or third-party vendor fraud or error;</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impact that weak economic conditions may have on the financial services industry;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impact of acts of terrorism, geopolitical and other external events may have on our ability to conduct our business;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Strategic Programs: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the existing and new regulations imposed on us and our Strategic Program service providers that continue to impact our ability to make certain loans, including “true lender” loans originated through marketplaces found to violate state usury laws;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maintain relationships with our Strategic Program service providers;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reliance on deposit accounts with our Strategic Program service providers that serves as an important source of funding;</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fraudulent activity and the dependency of accuracy and completeness of information provided by our Fintech Banking and Payment Solutions service providers;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Technology: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system failure or cybersecurity breaches of our network security;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Failure to extensively test our proprietary technologies and analytic models;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inability to keep pace with rapid technological changes or implement new technology effectively, including the development and use of artificial intelligence;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protect and enforce our intellectual property rights and proprietary technology;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the interruption of our operations if our third-party service providers or Strategic Program service providers experience operational or other systems difficulties;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Regulatory, Legal and Compliance: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associated with the highly regulated environment in which we operate, including the effects of heightened regulatory and supervisory requirements, expectations and scrutiny in the U.S. leading to increased compliance, regulatory and other risks and costs and subject us to legal and regulatory examinations, investigations and enforcement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43840"/>
                <wp:effectExtent l="0" t="0" r="0" b="0"/>
                <wp:wrapNone/>
                <wp:docPr id="5" name="Frame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maintaining adequate regulatory capital to support our business strategies including the long-term impact of the regulatory capital standards and the capital rules of U.S. banks;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our use of third-party service providers and our other ongoing third-party business relationships, which are subject to increasing regulatory requirements and attention;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litigation and regulatory actions, including enforcement actions, which could subject us to significant fines, penalties, judgments or other requirements resulting in increased expenses or restrictions on our business activities;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associated to us being subject to numerous local, state and federal laws and regulations and to regular examinations by our regulators of our business and compliance with laws and regulations;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the FDIC’s restoration plan and related increased assessment rates;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reviews performed by the IRS and state taxing authorities and potential changes in U.S. federal, state or local tax laws;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privacy regulations, information security and data protection that could increase our costs, affect or limit how we collect and use personal information;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climate change and related legislative and regulatory initiatives, as well as evolving ESG expectations;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Ownership of our Common Stock:</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substantial fluctuations in the pricing of our common stock;</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management and the board having significant control over our business; and</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Risks related to provisions in our governing documents and Utah law having an anti-takeover effect and restricting limitations on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FinWise Bancorp, a Utah bank holding company headquartered in Murray, Utah. We operate through our wholly-owned subsidiary, FinWise Bank, a Utah state-chartered bank. Our business is conducted through three reportable segments: traditional banking, banking as a service (“BaaS”) and treasury &amp; administration. We currently operate one full-service banking location in Sandy, Utah.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Residential &amp; Owner Occupied Commercial Real Estate, and Equipment Financing business lines. We have also deployed our own in-house technology to deliver loan and deposit solutions to our customers directly and through third parties.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was formed in 2002 and acquired 100% of the stock of Utah Community Bank, a local community bank founded in 1999 focusing on real estate lending in and around the Salt Lake City, Utah metropolitan statistical area (“MSA”). While the Bank is our primary asset we also have a 20% membership interest in BFG, a Connecticut limited liability company, a nationally 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 below.</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originate, sell or hold loans in four main lending areas: (i) nationwide Strategic Programs, (ii) a multi-state SBA 7(a) lending program, (iii) residential and owner occupied commercial real estate lending, and (iv) multi-state equipment financing. We have principally relied on wholesale funding sources (brokered deposits, health savings accounts, and institutional deposits) to fund our lending activities but also have core deposits, on-line deposits and have utilized borrowings when we deem them appropriate.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3840"/>
                <wp:effectExtent l="0" t="0" r="0" b="0"/>
                <wp:wrapNone/>
                <wp:docPr id="6" name="Frame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Lending Activities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a diversified loan portfolio in terms of the types of loan products it contains and customer characteristics, with a focus on individual consumers and small businesses.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Held-for-Investment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composition of our loans held-for-investment portfolio by lending program, as of December 31, 2025:</w:t>
      </w:r>
    </w:p>
    <w:tbl>
      <w:tblPr>
        <w:tblW w:w="5264" w:type="dxa"/>
        <w:jc w:val="left"/>
        <w:tblInd w:w="0" w:type="dxa"/>
        <w:tblLayout w:type="fixed"/>
        <w:tblCellMar>
          <w:top w:w="28" w:type="dxa"/>
          <w:left w:w="28" w:type="dxa"/>
          <w:bottom w:w="28" w:type="dxa"/>
          <w:right w:w="28" w:type="dxa"/>
        </w:tblCellMar>
      </w:tblPr>
      <w:tblGrid>
        <w:gridCol w:w="864"/>
        <w:gridCol w:w="759"/>
        <w:gridCol w:w="762"/>
        <w:gridCol w:w="211"/>
        <w:gridCol w:w="826"/>
        <w:gridCol w:w="109"/>
        <w:gridCol w:w="109"/>
        <w:gridCol w:w="109"/>
        <w:gridCol w:w="109"/>
        <w:gridCol w:w="327"/>
        <w:gridCol w:w="289"/>
        <w:gridCol w:w="790"/>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Loans in</w:t>
              <w:br/>
              <w:t>Category of</w:t>
              <w:br/>
              <w:t xml:space="preserve">Total Loans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Note: SBA loans in the table above include $102.7 million of SBA 7(a) loan balances that are guaranteed by the SBA. </w:t>
      </w:r>
    </w:p>
    <w:p>
      <w:pPr>
        <w:pStyle w:val="TextBody"/>
        <w:bidi w:val="0"/>
        <w:spacing w:lineRule="auto" w:line="288" w:before="200" w:after="283"/>
        <w:jc w:val="left"/>
        <w:rPr/>
      </w:pPr>
      <w:r>
        <w:rPr>
          <w:rFonts w:ascii="Times New Roman;serif" w:hAnsi="Times New Roman;serif"/>
          <w:b w:val="false"/>
          <w:i/>
          <w:color w:val="000000"/>
          <w:sz w:val="20"/>
          <w:shd w:fill="FFFFFF" w:val="clear"/>
        </w:rPr>
        <w:t>SBA 7(a) Loans.</w:t>
      </w:r>
      <w:r>
        <w:rPr>
          <w:color w:val="000000"/>
          <w:shd w:fill="FFFFFF" w:val="clear"/>
        </w:rPr>
        <w:t xml:space="preserve"> </w:t>
      </w:r>
      <w:r>
        <w:rPr>
          <w:rFonts w:ascii="Times New Roman;serif" w:hAnsi="Times New Roman;serif"/>
          <w:b w:val="false"/>
          <w:color w:val="000000"/>
          <w:sz w:val="20"/>
          <w:shd w:fill="FFFFFF" w:val="clear"/>
        </w:rPr>
        <w:t>Since 2014, we have utilized relationships with third parties (primarily BFG) to originate loans partially guaranteed by the SBA, to small businesses and professionals. Once originated, we will either retain the loans or sell the SBA-guaranteed portion (generally 75% of the principal balance) of the loans we originate at a premium in the secondary market while retaining all servicing rights and the unguaranteed portion. Loan terms generally range from 120 to 300 months and interest rates generally range from the prime rate plus 200 basis points to the prime rate plus 275 basis points, as adjusted quarterly. During the year ended December 31, 2025, we originated approximately $116.7 million in SBA 7(a) loans and held approximately $205.6 million of SBA 7(a) loans on our balance sheet as of December 31, 2025 of which $102.7 million was guaranteed by the SBA and $102.9 million was unguaranteed. As of December 31, 2025, our loan portfolio is comprised of 17.6% in unguaranteed portions of SBA 7(a) loans and 17.5% in guaranteed portions of SBA 7(a)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SBA’s 7(a) program provides 75%, 85% and 90% guarantees for eligible SBA 7(a) loans. The maximum 7(a) loan amount is $5.0 million. The guaranty is conditional and covers a portion of the risk of payment default by the borrower, but not the risk of improper closing and servicing by the lender.</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existing SBA 7(a) lending program is supported by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pStyle w:val="TextBody"/>
        <w:bidi w:val="0"/>
        <w:spacing w:lineRule="auto" w:line="288" w:before="240" w:after="283"/>
        <w:jc w:val="left"/>
        <w:rPr/>
      </w:pPr>
      <w:r>
        <w:rPr>
          <w:rFonts w:ascii="Times New Roman;serif" w:hAnsi="Times New Roman;serif"/>
          <w:b w:val="false"/>
          <w:i/>
          <w:color w:val="000000"/>
          <w:sz w:val="20"/>
          <w:shd w:fill="FFFFFF" w:val="clear"/>
        </w:rPr>
        <w:t>Commercial Leases</w:t>
      </w:r>
      <w:r>
        <w:rPr>
          <w:rFonts w:ascii="Times New Roman;serif" w:hAnsi="Times New Roman;serif"/>
          <w:b w:val="false"/>
          <w:color w:val="000000"/>
          <w:sz w:val="20"/>
          <w:shd w:fill="FFFFFF" w:val="clear"/>
        </w:rPr>
        <w:t xml:space="preserve">. Underwriting is generally based on commercial credit metrics where the primary repayment source is borrower cash flow, secondary is personal guarantor cash flow (when applicable) and tertiary is the sale of collateral pledged. These leases are generally secured by liens on business assets. Historically, we have retained these leases on our balance sheet for investment. As of December 31, 2025, our commercial leases comprised </w:t>
      </w:r>
      <w:r>
        <w:rPr>
          <w:rFonts w:ascii="Times New Roman;serif" w:hAnsi="Times New Roman;serif"/>
          <w:b w:val="false"/>
          <w:color w:val="000000"/>
          <w:sz w:val="20"/>
        </w:rPr>
        <w:t>13.4%</w:t>
      </w:r>
      <w:r>
        <w:rPr>
          <w:color w:val="000000"/>
          <w:shd w:fill="FFFFFF" w:val="clear"/>
        </w:rPr>
        <w:t xml:space="preserve"> </w:t>
      </w:r>
      <w:r>
        <w:rPr>
          <w:rFonts w:ascii="Times New Roman;serif" w:hAnsi="Times New Roman;serif"/>
          <w:b w:val="false"/>
          <w:color w:val="000000"/>
          <w:sz w:val="20"/>
          <w:shd w:fill="FFFFFF" w:val="clear"/>
        </w:rPr>
        <w:t>of the Bank’s loans held-for-investment portfolio.</w:t>
      </w:r>
    </w:p>
    <w:p>
      <w:pPr>
        <w:pStyle w:val="TextBody"/>
        <w:bidi w:val="0"/>
        <w:spacing w:lineRule="auto" w:line="288" w:before="200" w:after="283"/>
        <w:jc w:val="left"/>
        <w:rPr/>
      </w:pPr>
      <w:r>
        <w:rPr>
          <w:rFonts w:ascii="Times New Roman;serif" w:hAnsi="Times New Roman;serif"/>
          <w:b w:val="false"/>
          <w:i/>
          <w:color w:val="000000"/>
          <w:sz w:val="20"/>
          <w:shd w:fill="FFFFFF" w:val="clear"/>
        </w:rPr>
        <w:t>Commercial Non-Real Estate Loans</w:t>
      </w:r>
      <w:r>
        <w:rPr>
          <w:rFonts w:ascii="Times New Roman;serif" w:hAnsi="Times New Roman;serif"/>
          <w:b w:val="false"/>
          <w:color w:val="000000"/>
          <w:sz w:val="20"/>
          <w:shd w:fill="FFFFFF" w:val="clear"/>
        </w:rPr>
        <w:t xml:space="preserve">. Commercial non-real estate includes loans made to commercial enterprises that are not secured by real estate. Any loan, line of credit, or letter of credit (including any unfunded commitments), and any interest the Bank obtains in such loans made by another lender, to individuals, sole proprietorships, partnerships,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3840"/>
                <wp:effectExtent l="0" t="0" r="0" b="0"/>
                <wp:wrapNone/>
                <wp:docPr id="7" name="Frame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loans on our balance sheet for investment. As of December 31, 2025, our commercial non-real estate loans comprised 0.7% of the Bank’s loans held-for-investment portfolio.</w:t>
      </w:r>
    </w:p>
    <w:p>
      <w:pPr>
        <w:pStyle w:val="TextBody"/>
        <w:bidi w:val="0"/>
        <w:spacing w:lineRule="auto" w:line="288" w:before="200" w:after="283"/>
        <w:jc w:val="left"/>
        <w:rPr/>
      </w:pPr>
      <w:r>
        <w:rPr>
          <w:rFonts w:ascii="Times New Roman;serif" w:hAnsi="Times New Roman;serif"/>
          <w:b w:val="false"/>
          <w:i/>
          <w:color w:val="000000"/>
          <w:sz w:val="20"/>
          <w:shd w:fill="FFFFFF" w:val="clear"/>
        </w:rPr>
        <w:t>Residential and Commercial Real E</w:t>
      </w:r>
      <w:r>
        <w:rPr>
          <w:rFonts w:ascii="Times New Roman;serif" w:hAnsi="Times New Roman;serif"/>
          <w:b w:val="false"/>
          <w:i/>
          <w:color w:val="000000"/>
          <w:sz w:val="20"/>
        </w:rPr>
        <w:t>state Loans</w:t>
      </w:r>
      <w:r>
        <w:rPr>
          <w:rFonts w:ascii="Times New Roman;serif" w:hAnsi="Times New Roman;serif"/>
          <w:b w:val="false"/>
          <w:color w:val="000000"/>
          <w:sz w:val="20"/>
        </w:rPr>
        <w:t>. We operate a single branch location in Sandy, Utah. From this 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 All the loans generated through this branch are held on our balance sheet. As of December 31, 2025, our branch-based banking operations consisted of approximately $121.2 million in loans of which the majority are residential and commercial real estate loans.</w:t>
      </w:r>
    </w:p>
    <w:p>
      <w:pPr>
        <w:pStyle w:val="TextBody"/>
        <w:bidi w:val="0"/>
        <w:spacing w:lineRule="auto" w:line="288" w:before="200" w:after="283"/>
        <w:jc w:val="left"/>
        <w:rPr/>
      </w:pPr>
      <w:r>
        <w:rPr>
          <w:rFonts w:ascii="Times New Roman;serif" w:hAnsi="Times New Roman;serif"/>
          <w:b w:val="false"/>
          <w:color w:val="000000"/>
          <w:sz w:val="20"/>
        </w:rPr>
        <w:t>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w:t>
      </w:r>
      <w:r>
        <w:rPr>
          <w:rFonts w:ascii="Times New Roman;serif" w:hAnsi="Times New Roman;serif"/>
          <w:b w:val="false"/>
          <w:color w:val="000000"/>
          <w:sz w:val="20"/>
          <w:shd w:fill="FFFFFF" w:val="clear"/>
        </w:rPr>
        <w:t xml:space="preserve">occupied and investment real estate deeds of trust. We also make loans for the acquisition of undeveloped land. As of December 31, 2025, our residential real estate loans comprised </w:t>
      </w:r>
      <w:r>
        <w:rPr>
          <w:rFonts w:ascii="Times New Roman;serif" w:hAnsi="Times New Roman;serif"/>
          <w:b w:val="false"/>
          <w:color w:val="000000"/>
          <w:sz w:val="20"/>
        </w:rPr>
        <w:t>10.2%</w:t>
      </w:r>
      <w:r>
        <w:rPr>
          <w:color w:val="000000"/>
          <w:shd w:fill="FFFFFF" w:val="clear"/>
        </w:rPr>
        <w:t xml:space="preserve"> </w:t>
      </w:r>
      <w:r>
        <w:rPr>
          <w:rFonts w:ascii="Times New Roman;serif" w:hAnsi="Times New Roman;serif"/>
          <w:b w:val="false"/>
          <w:color w:val="000000"/>
          <w:sz w:val="20"/>
          <w:shd w:fill="FFFFFF" w:val="clear"/>
        </w:rPr>
        <w:t xml:space="preserve">of the Bank’s loans held-for-investment portfolio, and our commercial real estate loans comprised </w:t>
      </w:r>
      <w:r>
        <w:rPr>
          <w:rFonts w:ascii="Times New Roman;serif" w:hAnsi="Times New Roman;serif"/>
          <w:b w:val="false"/>
          <w:color w:val="000000"/>
          <w:sz w:val="20"/>
        </w:rPr>
        <w:t>14.6%</w:t>
      </w:r>
      <w:r>
        <w:rPr>
          <w:color w:val="000000"/>
          <w:shd w:fill="FFFFFF" w:val="clear"/>
        </w:rPr>
        <w:t xml:space="preserve"> </w:t>
      </w:r>
      <w:r>
        <w:rPr>
          <w:rFonts w:ascii="Times New Roman;serif" w:hAnsi="Times New Roman;serif"/>
          <w:b w:val="false"/>
          <w:color w:val="000000"/>
          <w:sz w:val="20"/>
          <w:shd w:fill="FFFFFF" w:val="clear"/>
        </w:rPr>
        <w:t xml:space="preserve">of the Bank’s loans held-for-investment portfolio. The majority of our commercial real estate loans are owner occupied commercial real estate loans which comprise </w:t>
      </w:r>
      <w:r>
        <w:rPr>
          <w:rFonts w:ascii="Times New Roman;serif" w:hAnsi="Times New Roman;serif"/>
          <w:b w:val="false"/>
          <w:color w:val="000000"/>
          <w:sz w:val="20"/>
        </w:rPr>
        <w:t>14.3%</w:t>
      </w:r>
      <w:r>
        <w:rPr>
          <w:color w:val="000000"/>
          <w:shd w:fill="FFFFFF" w:val="clear"/>
        </w:rPr>
        <w:t xml:space="preserve"> </w:t>
      </w:r>
      <w:r>
        <w:rPr>
          <w:rFonts w:ascii="Times New Roman;serif" w:hAnsi="Times New Roman;serif"/>
          <w:b w:val="false"/>
          <w:color w:val="000000"/>
          <w:sz w:val="20"/>
          <w:shd w:fill="FFFFFF" w:val="clear"/>
        </w:rPr>
        <w:t>of the Bank's loans held-for-investment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pStyle w:val="TextBody"/>
        <w:bidi w:val="0"/>
        <w:spacing w:lineRule="auto" w:line="288" w:before="200" w:after="283"/>
        <w:jc w:val="left"/>
        <w:rPr/>
      </w:pPr>
      <w:r>
        <w:rPr>
          <w:rFonts w:ascii="Times New Roman;serif" w:hAnsi="Times New Roman;serif"/>
          <w:b w:val="false"/>
          <w:i/>
          <w:color w:val="000000"/>
          <w:sz w:val="20"/>
          <w:shd w:fill="FFFFFF" w:val="clear"/>
        </w:rPr>
        <w:t>Strategic Programs</w:t>
      </w:r>
      <w:r>
        <w:rPr>
          <w:rFonts w:ascii="Times New Roman;serif" w:hAnsi="Times New Roman;serif"/>
          <w:b w:val="false"/>
          <w:color w:val="000000"/>
          <w:sz w:val="20"/>
          <w:shd w:fill="FFFFFF" w:val="clear"/>
        </w:rPr>
        <w:t xml:space="preserve">. We have established Strategic Programs with various third-party consumer and commercial loan origination platforms that use technology to streamline the origination of consumer and small commercial loans. We have selectively retained a portion of the Strategic Program loans or receivables based on the capacity and risk appetite of the Bank with the majority of Strategic Program originations being sold to investors. Our Strategic Programs loans held-for-investment cover a wide range of borrower credit profiles, loan terms and interest rates. During the fourth quarter of 2024 we began offering a credit enhanced product for certain programs whereby the program will absorb all credit and fraud losses. During the year ended December 31, 2025, we originated approximately $5.7 billion in Strategic Program loans and had approximately $129.8 million in Strategic Program loans held-for-investment on our balance sheet at December 31, 2025, of which $108.1 million was associated with the credit enhanced program. As of December 31, 2025, our Strategic Program held-for-investment loans comprised of </w:t>
      </w:r>
      <w:r>
        <w:rPr>
          <w:rFonts w:ascii="Times New Roman;serif" w:hAnsi="Times New Roman;serif"/>
          <w:b w:val="false"/>
          <w:color w:val="000000"/>
          <w:sz w:val="20"/>
        </w:rPr>
        <w:t>22.2%</w:t>
      </w:r>
      <w:r>
        <w:rPr>
          <w:color w:val="000000"/>
          <w:shd w:fill="FFFFFF" w:val="clear"/>
        </w:rPr>
        <w:t xml:space="preserve"> </w:t>
      </w:r>
      <w:r>
        <w:rPr>
          <w:rFonts w:ascii="Times New Roman;serif" w:hAnsi="Times New Roman;serif"/>
          <w:b w:val="false"/>
          <w:color w:val="000000"/>
          <w:sz w:val="20"/>
          <w:shd w:fill="FFFFFF" w:val="clear"/>
        </w:rPr>
        <w:t>of the Bank’s loan portfolio.</w:t>
      </w:r>
    </w:p>
    <w:p>
      <w:pPr>
        <w:pStyle w:val="TextBody"/>
        <w:bidi w:val="0"/>
        <w:spacing w:lineRule="auto" w:line="288" w:before="200" w:after="283"/>
        <w:jc w:val="left"/>
        <w:rPr/>
      </w:pPr>
      <w:r>
        <w:rPr>
          <w:rFonts w:ascii="Times New Roman;serif" w:hAnsi="Times New Roman;serif"/>
          <w:b w:val="false"/>
          <w:i/>
          <w:color w:val="000000"/>
          <w:sz w:val="20"/>
          <w:shd w:fill="FFFFFF" w:val="clear"/>
        </w:rPr>
        <w:t>Consumer Loans</w:t>
      </w:r>
      <w:r>
        <w:rPr>
          <w:rFonts w:ascii="Times New Roman;serif" w:hAnsi="Times New Roman;serif"/>
          <w:b w:val="false"/>
          <w:color w:val="000000"/>
          <w:sz w:val="20"/>
          <w:shd w:fill="FFFFFF" w:val="clear"/>
        </w:rPr>
        <w:t xml:space="preserve">. Consumer loans consist primarily of loans originated through our Point of Sale (“POS”) program. Since 2011, the Bank has offered 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internal and “off-the-shelf” technology solutions. The majority of the approximately $21.9 million in consumer loans outstanding as of December 31, 2025, that were not generated through our Strategic Programs were originated in connection with our POS lending program. During the year ended December 31, 2025, we originated approximately $11.6 million in POS loans and held approximately </w:t>
      </w:r>
      <w:r>
        <w:rPr>
          <w:rFonts w:ascii="Times New Roman;serif" w:hAnsi="Times New Roman;serif"/>
          <w:b w:val="false"/>
          <w:color w:val="000000"/>
          <w:sz w:val="20"/>
        </w:rPr>
        <w:t>$21.9 million</w:t>
      </w:r>
      <w:r>
        <w:rPr>
          <w:color w:val="000000"/>
          <w:shd w:fill="FFFFFF" w:val="clear"/>
        </w:rPr>
        <w:t xml:space="preserve"> </w:t>
      </w:r>
      <w:r>
        <w:rPr>
          <w:rFonts w:ascii="Times New Roman;serif" w:hAnsi="Times New Roman;serif"/>
          <w:b w:val="false"/>
          <w:color w:val="000000"/>
          <w:sz w:val="20"/>
          <w:shd w:fill="FFFFFF" w:val="clear"/>
        </w:rPr>
        <w:t>of POS loans on our balance sheet as of December 31, 2025. As of December 31, 2025, our consumer loans comprised 3.8% of the Bank’s total loans held-for-investment portfolio.</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Strategic Program Loans Held-for-Sale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majority of originations of Strategic Program loans as described above are not maintained by us as loans held-for-investment. The terms of our Strategic Programs generally require each Strategic Program platform to establish a reserve deposit account with the Bank or another financial institution, intended to protect the Bank in the event a purchaser of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3840"/>
                <wp:effectExtent l="0" t="0" r="0" b="0"/>
                <wp:wrapNone/>
                <wp:docPr id="8" name="Frame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Business checking and money market demand accounts associated with Strategic Program relationships held balances of approximately </w:t>
      </w:r>
      <w:r>
        <w:rPr>
          <w:rFonts w:ascii="Times New Roman;serif" w:hAnsi="Times New Roman;serif"/>
          <w:b w:val="false"/>
          <w:color w:val="000000"/>
          <w:sz w:val="20"/>
        </w:rPr>
        <w:t>$130.8 million</w:t>
      </w:r>
      <w:r>
        <w:rPr>
          <w:color w:val="000000"/>
          <w:shd w:fill="FFFFFF" w:val="clear"/>
        </w:rPr>
        <w:t xml:space="preserve"> </w:t>
      </w:r>
      <w:r>
        <w:rPr>
          <w:rFonts w:ascii="Times New Roman;serif" w:hAnsi="Times New Roman;serif"/>
          <w:b w:val="false"/>
          <w:color w:val="000000"/>
          <w:sz w:val="20"/>
          <w:shd w:fill="FFFFFF" w:val="clear"/>
        </w:rPr>
        <w:t xml:space="preserve">(including </w:t>
      </w:r>
      <w:r>
        <w:rPr>
          <w:rFonts w:ascii="Times New Roman;serif" w:hAnsi="Times New Roman;serif"/>
          <w:b w:val="false"/>
          <w:color w:val="000000"/>
          <w:sz w:val="20"/>
        </w:rPr>
        <w:t>$53.4 million</w:t>
      </w:r>
      <w:r>
        <w:rPr>
          <w:color w:val="000000"/>
          <w:shd w:fill="FFFFFF" w:val="clear"/>
        </w:rPr>
        <w:t xml:space="preserve"> </w:t>
      </w:r>
      <w:r>
        <w:rPr>
          <w:rFonts w:ascii="Times New Roman;serif" w:hAnsi="Times New Roman;serif"/>
          <w:b w:val="false"/>
          <w:color w:val="000000"/>
          <w:sz w:val="20"/>
          <w:shd w:fill="FFFFFF" w:val="clear"/>
        </w:rPr>
        <w:t xml:space="preserve">held as collateral) as of December 31, 2025. At December 31, 2025, we had $146.5 million in Strategic Program loans held-for-sale.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Credit Administration and Loan Review</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Traditional Loan Portfolio</w:t>
      </w:r>
    </w:p>
    <w:p>
      <w:pPr>
        <w:pStyle w:val="TextBody"/>
        <w:bidi w:val="0"/>
        <w:spacing w:lineRule="auto" w:line="288" w:before="200" w:after="283"/>
        <w:jc w:val="left"/>
        <w:rPr/>
      </w:pPr>
      <w:r>
        <w:rPr>
          <w:rFonts w:ascii="Times New Roman;serif" w:hAnsi="Times New Roman;serif"/>
          <w:b w:val="false"/>
          <w:i/>
          <w:color w:val="000000"/>
          <w:sz w:val="20"/>
          <w:shd w:fill="FFFFFF" w:val="clear"/>
        </w:rPr>
        <w:t>Underwriting</w:t>
      </w:r>
      <w:r>
        <w:rPr>
          <w:rFonts w:ascii="Times New Roman;serif" w:hAnsi="Times New Roman;serif"/>
          <w:b w:val="false"/>
          <w:color w:val="000000"/>
          <w:sz w:val="20"/>
          <w:shd w:fill="FFFFFF" w:val="clear"/>
        </w:rPr>
        <w:t>. In evaluating credit, we use both judgmental and statistically based approaches, depending on the specific credit product.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taking the judgmental approach, we evaluate each potential loan relationship and adhere to a disciplined underwriting evaluation process that includes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understanding the customer’s financial condition and ability to repay the loan;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evaluating management performance and expertise and industry experience;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verifying that the primary and secondary sources of repayment are adequate in relation to the amount and structure of the loan;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observing appropriate loan-to-value guidelines for collateral secured loans;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maintaining our targeted levels of diversification for the loan portfolio, both as to type of borrower and type of collateral;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ensuring that each loan is properly documented with perfected liens on collateral.</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taking the statistical approach, we rely on data and automation to inform our credit decision-making. We create standardized underwriting criteria that are uniformly and consistently applied to each product. </w:t>
      </w:r>
    </w:p>
    <w:p>
      <w:pPr>
        <w:pStyle w:val="TextBody"/>
        <w:bidi w:val="0"/>
        <w:spacing w:lineRule="auto" w:line="288" w:before="200" w:after="283"/>
        <w:jc w:val="left"/>
        <w:rPr/>
      </w:pPr>
      <w:r>
        <w:rPr>
          <w:rFonts w:ascii="Times New Roman;serif" w:hAnsi="Times New Roman;serif"/>
          <w:b w:val="false"/>
          <w:i/>
          <w:color w:val="000000"/>
          <w:sz w:val="20"/>
          <w:shd w:fill="FFFFFF" w:val="clear"/>
        </w:rPr>
        <w:t>Loan Approval Authority</w:t>
      </w:r>
      <w:r>
        <w:rPr>
          <w:rFonts w:ascii="Times New Roman;serif" w:hAnsi="Times New Roman;serif"/>
          <w:b w:val="false"/>
          <w:color w:val="000000"/>
          <w:sz w:val="20"/>
          <w:shd w:fill="FFFFFF" w:val="clear"/>
        </w:rPr>
        <w:t>. Our lending activities follow written, non-discriminatory underwriting standards and loan origination 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Officer/President,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Any loan policy exceptions are appropriately monitored and fully disclosed to the approving authority. We believe that our credit approval process provides for thorough underwriting and efficient decision making.</w:t>
      </w:r>
    </w:p>
    <w:p>
      <w:pPr>
        <w:pStyle w:val="TextBody"/>
        <w:bidi w:val="0"/>
        <w:spacing w:lineRule="auto" w:line="288" w:before="200" w:after="283"/>
        <w:jc w:val="left"/>
        <w:rPr/>
      </w:pPr>
      <w:r>
        <w:rPr>
          <w:rFonts w:ascii="Times New Roman;serif" w:hAnsi="Times New Roman;serif"/>
          <w:b w:val="false"/>
          <w:i/>
          <w:color w:val="000000"/>
          <w:sz w:val="20"/>
          <w:shd w:fill="FFFFFF" w:val="clear"/>
        </w:rPr>
        <w:t>Ongoing Credit Risk Management.</w:t>
      </w:r>
      <w:r>
        <w:rPr>
          <w:color w:val="000000"/>
          <w:shd w:fill="FFFFFF" w:val="clear"/>
        </w:rPr>
        <w:t xml:space="preserve"> </w:t>
      </w:r>
      <w:r>
        <w:rPr>
          <w:rFonts w:ascii="Times New Roman;serif" w:hAnsi="Times New Roman;serif"/>
          <w:b w:val="false"/>
          <w:color w:val="000000"/>
          <w:sz w:val="20"/>
          <w:shd w:fill="FFFFFF" w:val="clear"/>
        </w:rPr>
        <w:t xml:space="preserve">In addition to the tailored underwriting process described above, we perform ongoing risk monitoring and review 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3840"/>
                <wp:effectExtent l="0" t="0" r="0" b="0"/>
                <wp:wrapNone/>
                <wp:docPr id="9" name="Frame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 Pursuant to our credit policy, our loan committee is required to consider loan grade updates at our quarterly meetings.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analyzes each loan application in a reasonable manner, consistent with prudent lending standards. Additional factors considered during underwriting include, but are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whether the applicant has any other loans(s) (including through the PPP, SBA EIDL, other stimulus financing) that have repayment or contingent repayment requirements which could impact cash flow;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for individual applicants, whether his or her source of income has been or may be impacted;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whether historical financial information can be reasonably relied upon based on current market conditions;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impact current market conditions have on collateral adequacy.</w:t>
      </w:r>
    </w:p>
    <w:p>
      <w:pPr>
        <w:pStyle w:val="TextBody"/>
        <w:bidi w:val="0"/>
        <w:spacing w:lineRule="auto" w:line="288" w:before="200" w:after="283"/>
        <w:jc w:val="left"/>
        <w:rPr/>
      </w:pPr>
      <w:r>
        <w:rPr>
          <w:rFonts w:ascii="Times New Roman;serif" w:hAnsi="Times New Roman;serif"/>
          <w:b w:val="false"/>
          <w:i/>
          <w:color w:val="000000"/>
          <w:sz w:val="20"/>
          <w:shd w:fill="FFFFFF" w:val="clear"/>
        </w:rPr>
        <w:t>Credit Concentrations</w:t>
      </w:r>
      <w:r>
        <w:rPr>
          <w:rFonts w:ascii="Times New Roman;serif" w:hAnsi="Times New Roman;serif"/>
          <w:b w:val="false"/>
          <w:color w:val="000000"/>
          <w:sz w:val="20"/>
          <w:shd w:fill="FFFFFF" w:val="clear"/>
        </w:rPr>
        <w:t>. We actively monitor and manage the composition of our loan portfolio, including credit concentrations. 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of directors at least annually. Concentration levels are monitored by management and reported to the Bank’s board of directors on a quarterly basis.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Lending Limits. </w:t>
      </w:r>
      <w:r>
        <w:rPr>
          <w:rFonts w:ascii="Times New Roman;serif" w:hAnsi="Times New Roman;serif"/>
          <w:b w:val="false"/>
          <w:color w:val="000000"/>
          <w:sz w:val="20"/>
          <w:shd w:fill="FFFFFF" w:val="clear"/>
        </w:rPr>
        <w:t xml:space="preserve">Our lending activities are subject to a variety of lending limits imposed by state and federal law. In general, the Bank is subject to a legal lending limit on loans to a single borrower based on the Bank’s capital level as dictated by the State of 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approximately </w:t>
      </w:r>
      <w:r>
        <w:rPr>
          <w:rFonts w:ascii="Times New Roman;serif" w:hAnsi="Times New Roman;serif"/>
          <w:b w:val="false"/>
          <w:color w:val="000000"/>
          <w:sz w:val="20"/>
        </w:rPr>
        <w:t>$23.0 million</w:t>
      </w:r>
      <w:r>
        <w:rPr>
          <w:color w:val="000000"/>
          <w:shd w:fill="FFFFFF" w:val="clear"/>
        </w:rPr>
        <w:t xml:space="preserve"> </w:t>
      </w:r>
      <w:r>
        <w:rPr>
          <w:rFonts w:ascii="Times New Roman;serif" w:hAnsi="Times New Roman;serif"/>
          <w:b w:val="false"/>
          <w:color w:val="000000"/>
          <w:sz w:val="20"/>
          <w:shd w:fill="FFFFFF" w:val="clear"/>
        </w:rPr>
        <w:t>as of December 31, 2025.</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Strategic Program Loan Portfolio</w:t>
      </w:r>
    </w:p>
    <w:p>
      <w:pPr>
        <w:pStyle w:val="TextBody"/>
        <w:bidi w:val="0"/>
        <w:spacing w:lineRule="auto" w:line="288" w:before="200" w:after="283"/>
        <w:jc w:val="left"/>
        <w:rPr/>
      </w:pPr>
      <w:r>
        <w:rPr>
          <w:rFonts w:ascii="Times New Roman;serif" w:hAnsi="Times New Roman;serif"/>
          <w:b w:val="false"/>
          <w:i/>
          <w:color w:val="000000"/>
          <w:sz w:val="20"/>
          <w:shd w:fill="FFFFFF" w:val="clear"/>
        </w:rPr>
        <w:t>Overview</w:t>
      </w:r>
      <w:r>
        <w:rPr>
          <w:rFonts w:ascii="Times New Roman;serif" w:hAnsi="Times New Roman;serif"/>
          <w:b w:val="false"/>
          <w:color w:val="000000"/>
          <w:sz w:val="20"/>
          <w:shd w:fill="FFFFFF" w:val="clear"/>
        </w:rPr>
        <w:t xml:space="preserve">. We currently source most of our loan originations through our Strategic Programs. Our Strategic Programs include a broad array of products for both prime and subprime borrowers including both consumer and commercial loans that may be secured or unsecured, and open- or closed-end products, depending on the particular market targeted by the Bank and the specific Strategic Program service provider. </w:t>
      </w:r>
    </w:p>
    <w:p>
      <w:pPr>
        <w:pStyle w:val="TextBody"/>
        <w:bidi w:val="0"/>
        <w:spacing w:lineRule="auto" w:line="288" w:before="200" w:after="283"/>
        <w:jc w:val="left"/>
        <w:rPr/>
      </w:pPr>
      <w:r>
        <w:rPr>
          <w:rFonts w:ascii="Times New Roman;serif" w:hAnsi="Times New Roman;serif"/>
          <w:b w:val="false"/>
          <w:color w:val="000000"/>
          <w:sz w:val="20"/>
          <w:shd w:fill="FFFFFF" w:val="clear"/>
        </w:rPr>
        <w:t>The Bank’s current Strategic Program service providers inclu</w:t>
      </w:r>
      <w:r>
        <w:rPr>
          <w:rFonts w:ascii="Times New Roman;serif" w:hAnsi="Times New Roman;serif"/>
          <w:b w:val="false"/>
          <w:color w:val="000000"/>
          <w:sz w:val="20"/>
        </w:rPr>
        <w:t>de Upstart, Elevate, Reach (formerly Liberty Lending), Plannery, Backd, Albert, Tilt, Earnest, PowerPay, Clasp, LendingPoint, OppLoans, Mulligan Funding, and American First Finance. From time to time, we expect the number and composition of our Strategic Program service providers to change as the business develops, contract t</w:t>
      </w:r>
      <w:r>
        <w:rPr>
          <w:rFonts w:ascii="Times New Roman;serif" w:hAnsi="Times New Roman;serif"/>
          <w:b w:val="false"/>
          <w:color w:val="000000"/>
          <w:sz w:val="20"/>
          <w:shd w:fill="FFFFFF" w:val="clear"/>
        </w:rPr>
        <w: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pStyle w:val="TextBody"/>
        <w:bidi w:val="0"/>
        <w:spacing w:lineRule="auto" w:line="288" w:before="200" w:after="283"/>
        <w:jc w:val="left"/>
        <w:rPr/>
      </w:pPr>
      <w:r>
        <w:rPr>
          <w:rFonts w:ascii="Times New Roman;serif" w:hAnsi="Times New Roman;serif"/>
          <w:b w:val="false"/>
          <w:i/>
          <w:color w:val="000000"/>
          <w:sz w:val="20"/>
        </w:rPr>
        <w:t>Underwriting.</w:t>
      </w:r>
      <w:r>
        <w:rPr>
          <w:color w:val="000000"/>
        </w:rPr>
        <w:t xml:space="preserve"> </w:t>
      </w:r>
      <w:r>
        <w:rPr>
          <w:rFonts w:ascii="Times New Roman;serif" w:hAnsi="Times New Roman;serif"/>
          <w:b w:val="false"/>
          <w:color w:val="000000"/>
          <w:sz w:val="20"/>
          <w:shd w:fill="FFFFFF" w:val="clear"/>
        </w:rPr>
        <w:t xml:space="preserve">We review and approve the credit approval models prior to the launch of the lending program with the Strategic Partner. These credit models are periodically validated by independent third parties in accordance with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3840"/>
                <wp:effectExtent l="0" t="0" r="0" b="0"/>
                <wp:wrapNone/>
                <wp:docPr id="10" name="Frame1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guidance. For both held-for-sale (“HFS”) and held-for-investment (“HFI”) portfolios, we conduct vintage analyses to evaluate loan performance.</w:t>
      </w:r>
      <w:r>
        <w:rPr>
          <w:rFonts w:ascii="Times New Roman;serif" w:hAnsi="Times New Roman;serif"/>
          <w:b w:val="false"/>
          <w:color w:val="000000"/>
          <w:sz w:val="20"/>
        </w:rPr>
        <w:t xml:space="preserve">We originate loans within a predetermined underwriting criterion that is approved by the Board. Senior management is responsible for reviewing and assessing the market, credit and industry data as it pertains to the proposed credit risk related to the HFS and HFI loan programs. This is accomplished by various controls and monitoring activities, including, but not limited to: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Reviewing of credit model validation reports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Presenting to Loan Committee and Board for approval prior to soft launch and annually thereafter;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Assisting Information Technology in programming underwriting rules into our API;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Monitoring veracity of underwriting rules;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Approving any changes and escalating non-compliance as necessary;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Ongoing financial review of all Strategic Partners.</w:t>
      </w:r>
    </w:p>
    <w:p>
      <w:pPr>
        <w:pStyle w:val="TextBody"/>
        <w:bidi w:val="0"/>
        <w:spacing w:lineRule="auto" w:line="288" w:before="200" w:after="283"/>
        <w:jc w:val="left"/>
        <w:rPr/>
      </w:pPr>
      <w:r>
        <w:rPr>
          <w:rFonts w:ascii="Times New Roman;serif" w:hAnsi="Times New Roman;serif"/>
          <w:b w:val="false"/>
          <w:i/>
          <w:color w:val="000000"/>
          <w:sz w:val="20"/>
          <w:shd w:fill="FFFFFF" w:val="clear"/>
        </w:rPr>
        <w:t>Loan Approval Authority.</w:t>
      </w:r>
      <w:r>
        <w:rPr>
          <w:color w:val="000000"/>
          <w:shd w:fill="FFFFFF" w:val="clear"/>
        </w:rPr>
        <w:t xml:space="preserve"> </w:t>
      </w:r>
      <w:r>
        <w:rPr>
          <w:rFonts w:ascii="Times New Roman;serif" w:hAnsi="Times New Roman;serif"/>
          <w:b w:val="false"/>
          <w:color w:val="000000"/>
          <w:sz w:val="20"/>
          <w:shd w:fill="FFFFFF" w:val="clear"/>
        </w:rPr>
        <w:t xml:space="preserve">Our lending activities follow written, non-discriminatory underwriting standards and loan origination procedures established by our Board and Senior Management in consultation with the Strategic Program. </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Ongoing Credit Risk Management. </w:t>
      </w:r>
      <w:r>
        <w:rPr>
          <w:rFonts w:ascii="Times New Roman;serif" w:hAnsi="Times New Roman;serif"/>
          <w:b w:val="false"/>
          <w:color w:val="000000"/>
          <w:sz w:val="20"/>
          <w:shd w:fill="FFFFFF" w:val="clear"/>
        </w:rPr>
        <w:t xml:space="preserve">With the exception of Backd, the Bank does not currently risk rate individual HFI loans due to their small balances and homogenous nature. As credit quality for Strategic Program loans have been highly correlated with delinquency levels, Strategic Program loans are evaluated collectively by program. </w:t>
      </w:r>
    </w:p>
    <w:p>
      <w:pPr>
        <w:pStyle w:val="TextBody"/>
        <w:bidi w:val="0"/>
        <w:spacing w:lineRule="auto" w:line="288" w:before="200" w:after="283"/>
        <w:jc w:val="left"/>
        <w:rPr/>
      </w:pPr>
      <w:r>
        <w:rPr>
          <w:rFonts w:ascii="Times New Roman;serif" w:hAnsi="Times New Roman;serif"/>
          <w:b w:val="false"/>
          <w:i/>
          <w:color w:val="000000"/>
          <w:sz w:val="20"/>
          <w:shd w:fill="FFFFFF" w:val="clear"/>
        </w:rPr>
        <w:t>Credit Concentrations</w:t>
      </w:r>
      <w:r>
        <w:rPr>
          <w:rFonts w:ascii="Times New Roman;serif" w:hAnsi="Times New Roman;serif"/>
          <w:b w:val="false"/>
          <w:color w:val="000000"/>
          <w:sz w:val="20"/>
          <w:shd w:fill="FFFFFF" w:val="clear"/>
        </w:rPr>
        <w:t>. We actively monitor and manage the composition of our HFS and HFI portfolios, including credit concentrations. 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at least annually. Concentration levels are monitored by management and reported to the Bank’s Board on a quarterly basis.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Lending Limits. </w:t>
      </w:r>
      <w:r>
        <w:rPr>
          <w:rFonts w:ascii="Times New Roman;serif" w:hAnsi="Times New Roman;serif"/>
          <w:b w:val="false"/>
          <w:color w:val="000000"/>
          <w:sz w:val="20"/>
          <w:shd w:fill="FFFFFF" w:val="clear"/>
        </w:rPr>
        <w:t xml:space="preserve">Our lending activities are subject to a variety of lending limits imposed by state and federal law. In general, the Bank is subject to a legal lending limit on loans to a single borrower based on the Bank’s capital level as dictated by the State of Utah. The dollar amounts of the Bank’s lending limit increases or decreases as the Bank’s capital increases or decreases. The Bank offers consumer loans for loan amounts up to $250,000 with terms not to exceed 180 months. The Bank offers commercial loans for loan amounts up to $5.0 million with terms not to exceed 120 months. The Bank has a documented exceptions process wherein we can approve loans outside these thresholds with Board approval; however no single unsecured loan will ever exceed 15% of capital and no single secured loan will ever exceed 25% of capital. The Bank’s legal lending limit on loans to a single borrower was approximately </w:t>
      </w:r>
      <w:r>
        <w:rPr>
          <w:rFonts w:ascii="Times New Roman;serif" w:hAnsi="Times New Roman;serif"/>
          <w:b w:val="false"/>
          <w:color w:val="000000"/>
          <w:sz w:val="20"/>
        </w:rPr>
        <w:t>$23.0 million</w:t>
      </w:r>
      <w:r>
        <w:rPr>
          <w:color w:val="000000"/>
          <w:shd w:fill="FFFFFF" w:val="clear"/>
        </w:rPr>
        <w:t xml:space="preserve"> </w:t>
      </w:r>
      <w:r>
        <w:rPr>
          <w:rFonts w:ascii="Times New Roman;serif" w:hAnsi="Times New Roman;serif"/>
          <w:b w:val="false"/>
          <w:color w:val="000000"/>
          <w:sz w:val="20"/>
          <w:shd w:fill="FFFFFF" w:val="clear"/>
        </w:rPr>
        <w:t>as of December 31, 2025.</w:t>
      </w:r>
    </w:p>
    <w:p>
      <w:pPr>
        <w:pStyle w:val="TextBody"/>
        <w:bidi w:val="0"/>
        <w:spacing w:lineRule="auto" w:line="288" w:before="200" w:after="283"/>
        <w:jc w:val="left"/>
        <w:rPr/>
      </w:pPr>
      <w:r>
        <w:rPr>
          <w:rFonts w:ascii="Times New Roman;serif" w:hAnsi="Times New Roman;serif"/>
          <w:b w:val="false"/>
          <w:i/>
          <w:color w:val="000000"/>
          <w:sz w:val="20"/>
          <w:shd w:fill="FFFFFF" w:val="clear"/>
        </w:rPr>
        <w:t>Selection and Oversight</w:t>
      </w:r>
      <w:r>
        <w:rPr>
          <w:rFonts w:ascii="Times New Roman;serif" w:hAnsi="Times New Roman;serif"/>
          <w:b w:val="false"/>
          <w:color w:val="000000"/>
          <w:sz w:val="20"/>
          <w:shd w:fill="FFFFFF" w:val="clear"/>
        </w:rPr>
        <w:t xml:space="preserve">. We approve service providers for our Strategic Programs considering third party guidance promulgated by the </w:t>
      </w:r>
      <w:r>
        <w:rPr>
          <w:rFonts w:ascii="Times New Roman;serif" w:hAnsi="Times New Roman;serif"/>
          <w:b w:val="false"/>
          <w:color w:val="000000"/>
          <w:sz w:val="20"/>
        </w:rPr>
        <w:t>Federal Deposit Insurance Corporation (“</w:t>
      </w:r>
      <w:r>
        <w:rPr>
          <w:rFonts w:ascii="Times New Roman;serif" w:hAnsi="Times New Roman;serif"/>
          <w:b w:val="false"/>
          <w:color w:val="000000"/>
          <w:sz w:val="20"/>
          <w:shd w:fill="FFFFFF" w:val="clear"/>
        </w:rPr>
        <w:t>FDIC”) and our own guidelines and policies, including 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3840"/>
                <wp:effectExtent l="0" t="0" r="0" b="0"/>
                <wp:wrapNone/>
                <wp:docPr id="11" name="Frame1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i/>
          <w:color w:val="000000"/>
          <w:sz w:val="20"/>
          <w:shd w:fill="FFFFFF" w:val="clear"/>
        </w:rPr>
        <w:t>Structure</w:t>
      </w:r>
      <w:r>
        <w:rPr>
          <w:rFonts w:ascii="Times New Roman;serif" w:hAnsi="Times New Roman;serif"/>
          <w:b w:val="false"/>
          <w:color w:val="000000"/>
          <w:sz w:val="20"/>
          <w:shd w:fill="FFFFFF" w:val="clear"/>
        </w:rPr>
        <w:t>. In structuring a Strategic Program, the Bank and the Strategic Program service provider generally review and agree upon a set of program 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640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third-party management.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typically retain Strategic Program loans for a number of business days after origination during which the Bank generally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pStyle w:val="TextBody"/>
        <w:bidi w:val="0"/>
        <w:spacing w:lineRule="auto" w:line="288" w:before="200" w:after="283"/>
        <w:jc w:val="left"/>
        <w:rPr/>
      </w:pPr>
      <w:r>
        <w:rPr>
          <w:rFonts w:ascii="Times New Roman;serif" w:hAnsi="Times New Roman;serif"/>
          <w:b w:val="false"/>
          <w:i/>
          <w:color w:val="000000"/>
          <w:sz w:val="20"/>
        </w:rPr>
        <w:t>Credit Enhanced</w:t>
      </w:r>
      <w:r>
        <w:rPr>
          <w:rFonts w:ascii="Times New Roman;serif" w:hAnsi="Times New Roman;serif"/>
          <w:b w:val="false"/>
          <w:color w:val="000000"/>
          <w:sz w:val="20"/>
        </w:rPr>
        <w:t xml:space="preserve">. The Bank offers an enhanced balance sheet solution to select Strategic Partners. After a thorough credit review of the Strategic Partner and the portfolio’s performance, the Bank calculates the maximum amount the Bank will carry on its balance sheet. The Bank receives the full contractural loan interest but retains only a rate based on Prime plus an agreed-upon margin for the outstanding balance. Generally the interest received that exceeds the retained interest is passed to the strategic partner in the following manner. First, the Bank retains the interest it is owed for holding the loan on its balance sheet. Second, the Bank owes the amount of interest received on each individual loan that exceeds the Bank’s retained rate of interest to the strategic partner in the form of a servicing or guarantee fee. Third, from those proceeds, the Strategic Partner will pay into the loan loss reserve the amount needed to fund the loan loss reserve to the target level. Fourth, the Bank will pay any remaining amount to the Strategic Partner. If the cash flow to the Strategic Partner is insufficient to fund the loan loss reserve for the minimum target level, then the Strategic Partner must fund the shortfall. </w:t>
      </w:r>
    </w:p>
    <w:p>
      <w:pPr>
        <w:pStyle w:val="TextBody"/>
        <w:bidi w:val="0"/>
        <w:spacing w:lineRule="auto" w:line="288" w:before="200" w:after="283"/>
        <w:jc w:val="left"/>
        <w:rPr/>
      </w:pPr>
      <w:r>
        <w:rPr>
          <w:rFonts w:ascii="Times New Roman;serif" w:hAnsi="Times New Roman;serif"/>
          <w:b w:val="false"/>
          <w:color w:val="000000"/>
          <w:sz w:val="20"/>
        </w:rPr>
        <w:t xml:space="preserve">The Bank launched the credit enhanced program at the end of 2024, and the outstanding balance of credit enhanced loans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was </w:t>
      </w:r>
      <w:r>
        <w:rPr>
          <w:rFonts w:ascii="Times New Roman;serif" w:hAnsi="Times New Roman;serif"/>
          <w:b w:val="false"/>
          <w:color w:val="000000"/>
          <w:sz w:val="20"/>
          <w:shd w:fill="FFFFFF" w:val="clear"/>
        </w:rPr>
        <w:t>$108.1 million.</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Servicing. </w:t>
      </w:r>
      <w:r>
        <w:rPr>
          <w:rFonts w:ascii="Times New Roman;serif" w:hAnsi="Times New Roman;serif"/>
          <w:b w:val="false"/>
          <w:color w:val="000000"/>
          <w:sz w:val="20"/>
          <w:shd w:fill="FFFFFF" w:val="clear"/>
        </w:rPr>
        <w:t>The Bank is generally the servicer of the loans it originates through Strategic Programs. The Bank earns a servicing fee equal to a percentage of the outstanding balance of the loans generated under Strategic Programs for servicing such loans. In turn, the Strategic Program service providers, subject to the Bank’s approval and oversight, serve as sub-servicer and perform typical primary servicing duties including loan collections, modifications, charging-off, reporting and monitoring.</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Fees and Other Economics. </w:t>
      </w:r>
      <w:r>
        <w:rPr>
          <w:rFonts w:ascii="Times New Roman;serif" w:hAnsi="Times New Roman;serif"/>
          <w:b w:val="false"/>
          <w:color w:val="000000"/>
          <w:sz w:val="20"/>
          <w:shd w:fill="FFFFFF" w:val="clear"/>
        </w:rPr>
        <w:t>The Bank may earn fees on its Strategic Programs as delineated in each Strategic Program contract and may vary by contract. Service providers may also be required to pay minimum monthly fees to the Bank or reimburse the Bank for certain agreed-upon expenses. Some Strategic Programs require the service provider pay a fee to the Bank if it enters into a similar strategic relationship with another bank or financial institution.</w:t>
      </w:r>
    </w:p>
    <w:p>
      <w:pPr>
        <w:pStyle w:val="TextBody"/>
        <w:bidi w:val="0"/>
        <w:spacing w:lineRule="auto" w:line="288" w:before="200" w:after="283"/>
        <w:jc w:val="left"/>
        <w:rPr/>
      </w:pPr>
      <w:r>
        <w:rPr>
          <w:rFonts w:ascii="Times New Roman;serif" w:hAnsi="Times New Roman;serif"/>
          <w:b w:val="false"/>
          <w:color w:val="000000"/>
          <w:sz w:val="20"/>
          <w:shd w:fill="FFFFFF" w:val="clear"/>
        </w:rPr>
        <w:t>On October 13, 2021, we formed FinWise Investment, LLC, a limited liability company, as a wholly owned subsidiary of ours to hold and manage private investments made by us and the Bank. We currently hold and, in the future, may acquire equity in certain of our Strategic Program service providers through this subsidiary. As of December 31, 2025, and 2024, this subsidiary holds $0.4 million and $0.3 million, respectively, of equity securities o</w:t>
      </w:r>
      <w:r>
        <w:rPr>
          <w:rFonts w:ascii="Times New Roman;serif" w:hAnsi="Times New Roman;serif"/>
          <w:b w:val="false"/>
          <w:color w:val="000000"/>
          <w:sz w:val="20"/>
        </w:rPr>
        <w:t xml:space="preserve">f five and two </w:t>
      </w:r>
      <w:r>
        <w:rPr>
          <w:rFonts w:ascii="Times New Roman;serif" w:hAnsi="Times New Roman;serif"/>
          <w:b w:val="false"/>
          <w:color w:val="000000"/>
          <w:sz w:val="20"/>
          <w:shd w:fill="FFFFFF" w:val="clear"/>
        </w:rPr>
        <w:t>Strategic Program service providers,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3840"/>
                <wp:effectExtent l="0" t="0" r="0" b="0"/>
                <wp:wrapNone/>
                <wp:docPr id="12" name="Frame1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Funding and Deposits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maintain a diversified funding strategy using core deposits from our branch operations and deposits originated through SBA 7(a) lending programs and Strategic Programs, coupled with brokered deposits and borrowings as needed. A meaningful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core deposits, as of December 31, 2025, constituted </w:t>
      </w:r>
      <w:r>
        <w:rPr>
          <w:rFonts w:ascii="Times New Roman;serif" w:hAnsi="Times New Roman;serif"/>
          <w:b w:val="false"/>
          <w:color w:val="000000"/>
          <w:sz w:val="20"/>
        </w:rPr>
        <w:t>28.6%</w:t>
      </w:r>
      <w:r>
        <w:rPr>
          <w:color w:val="000000"/>
          <w:shd w:fill="FFFFFF" w:val="clear"/>
        </w:rPr>
        <w:t xml:space="preserve"> </w:t>
      </w:r>
      <w:r>
        <w:rPr>
          <w:rFonts w:ascii="Times New Roman;serif" w:hAnsi="Times New Roman;serif"/>
          <w:b w:val="false"/>
          <w:color w:val="000000"/>
          <w:sz w:val="20"/>
          <w:shd w:fill="FFFFFF" w:val="clear"/>
        </w:rPr>
        <w:t>of our funding sources (our core deposits comprise the sum of demand deposits, FBO demand deposits, NOW accounts, MMDA accounts, savings accounts, and time deposits under $250,000 that are not brokered deposits). The certificates of deposit are predominately brokered deposits.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Portfolio</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manage our securities portfolio and cash to maintain adequate liquidity with a secondary focus on yield and returns. Our investment security portfolio totaled $37.7 million as of December 31, 2025. Specific objectives of our investment policy and portfolio are as follows: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Income Generation—The Bank’s investment portfolio is managed to optimize income on invested funds in a manner that is consistent with the Bank’s objective to preserve the invested principal.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Provide Liquidity—The Bank’s investment portfolio is managed to remain sufficiently liquid to meet anticipated funding demands either through declines in deposits and/or increases in loan demand.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Mitigate Interest Rate Risk—Portfolio strategies are used to assist the Bank in managing its overall interest rate sensitivity position in accordance with goals and objectives approved by our board of directors.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managed our business on the basis of one operating and reportable segment. During the third quarter of 2025, we revised our reportable segments to reflect a change in the manner in which the business is managed. Based on significant operational growth and how our chief operating decision maker (“CODM”) reviews operating results and makes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3840"/>
                <wp:effectExtent l="0" t="0" r="0" b="0"/>
                <wp:wrapNone/>
                <wp:docPr id="13" name="Frame1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decisions about resource allocation, we now have three reportable segments: traditional banking, BaaS and treasury and administration.</w:t>
      </w:r>
    </w:p>
    <w:p>
      <w:pPr>
        <w:pStyle w:val="TextBody"/>
        <w:bidi w:val="0"/>
        <w:spacing w:lineRule="auto" w:line="288" w:before="200" w:after="283"/>
        <w:jc w:val="left"/>
        <w:rPr/>
      </w:pPr>
      <w:r>
        <w:rPr>
          <w:rFonts w:ascii="Times New Roman;serif" w:hAnsi="Times New Roman;serif"/>
          <w:b w:val="false"/>
          <w:color w:val="000000"/>
          <w:sz w:val="20"/>
        </w:rPr>
        <w:t xml:space="preserve">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and other items not specific to the traditional banking or BaaS segments. For more information about each of the Company’s reportable segments, please see Note 17 – Segments of the accompanying notes to the consolidated financial statements included </w:t>
      </w:r>
      <w:r>
        <w:rPr>
          <w:rFonts w:ascii="Times New Roman;serif" w:hAnsi="Times New Roman;serif"/>
          <w:b w:val="false"/>
          <w:color w:val="000000"/>
          <w:sz w:val="20"/>
          <w:shd w:fill="FFFFFF" w:val="clear"/>
        </w:rPr>
        <w:t>included in Part II, Item 8.</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Competition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private credit lenders and other financial intermediaries for certain of our products and services. Some of our competitors are not currently subject to the regulatory restrictions and the level of regulatory supervision applicable to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financial technology companies have been actively acquiring or pursuing bank charters to gain direct access to deposits, reduce reliance on partner banks, and lower capital costs, driven by a more permissive regulatory environment. This shift allows Fintech companies to scale and operate with the same authority as traditional banks. The number of federal bank charter applications in 2025 reached its highest level since 2020, with numerous, crypto-adjacent, and non-bank firms seeking licensing and the Office of the Comptroller of the Currency (“OCC”) and the FDIC are signaling increased openness to fintech charter applications, encouraging new entrants.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Human Capital Resources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As of December 31, 2025, we employed </w:t>
      </w:r>
      <w:r>
        <w:rPr>
          <w:rFonts w:ascii="Times New Roman;serif" w:hAnsi="Times New Roman;serif"/>
          <w:b w:val="false"/>
          <w:color w:val="000000"/>
          <w:sz w:val="20"/>
        </w:rPr>
        <w:t>198</w:t>
      </w:r>
      <w:r>
        <w:rPr>
          <w:color w:val="000000"/>
          <w:shd w:fill="FFFFFF" w:val="clear"/>
        </w:rPr>
        <w:t xml:space="preserve"> </w:t>
      </w:r>
      <w:r>
        <w:rPr>
          <w:rFonts w:ascii="Times New Roman;serif" w:hAnsi="Times New Roman;serif"/>
          <w:b w:val="false"/>
          <w:color w:val="000000"/>
          <w:sz w:val="20"/>
          <w:shd w:fill="FFFFFF" w:val="clear"/>
        </w:rPr>
        <w:t>full-time equivalent employees. None of our employees are represented by any collective bargaining unit or are a party to a collective bargaining agreement. We believe the relationship with our employees to be good.</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Supervision and Regulation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3840"/>
                <wp:effectExtent l="0" t="0" r="0" b="0"/>
                <wp:wrapNone/>
                <wp:docPr id="14" name="Frame1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Both the UDFI and the FDIC conduct regular examinations of the Bank. The Company’s and the Bank’s regulators generally have broad discretion to impose restrictions and limitations on our operations. Bank regulation is intended to protect depositors, consumers, and commercial customers, and not shareholders. This supervisory framework could materially impact the conduct and profitability of our activities.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Regulation of FinWise Bancorp</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 We are also subject to the regulation of the UDFI. Under Utah Code Ann. § 7-1-503, we are prohibited from issuing or offering to sell any security without approval from the UDFI.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BHC Act was substantially amended by the Gramm-Leach-Bliley Act, or the GLBA, which, among other things,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There are several restrictions imposed on us by law and regulatory policy that are designed to minimize potential loss to depositors and to the DIF in the event that a subsidiary depository institution should become insolvent. For example, the Federal Deposit Insurance Act (the “FDIA”)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 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3840"/>
                <wp:effectExtent l="0" t="0" r="0" b="0"/>
                <wp:wrapNone/>
                <wp:docPr id="15" name="Frame1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ability of any bank holding company to acquire another bank holding company or bank is also significantly impacted by discretionary decisions of federal regulators, including political appointees, as to whether any proposed merger would be consistent with national financial institutions policies. Such views may have an impact on the ability of any bank holding company to complete a merger transaction as an acquiror, a target, or in a “merger of equals.”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Regulation of FinWise Bank</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mitigating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Utah-chartered banks are required to pay supervisory assessments to the UDFI to fund its operations. The amount of the assessment paid by a Utah bank to the UDFI is calculated on an annual basis based on our average total assets for the prior </w:t>
      </w:r>
      <w:r>
        <w:rPr>
          <w:rFonts w:ascii="Times New Roman;serif" w:hAnsi="Times New Roman;serif"/>
          <w:b w:val="false"/>
          <w:color w:val="000000"/>
          <w:sz w:val="20"/>
        </w:rPr>
        <w:t>year. During the year ended December 31, 2025, the Bank paid an assessment to the UDFI of $0.1 million.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Capital Adequacy Guidelines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Bank holding companies and banks are subject to various regulatory capital requirements administered by state and federal agencies. These agencies may establish higher minimum requirements if, for example, a banking organization previously has credit quality issues or has a high susceptibility to interest rate risk or liquidity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 The current requirements, which began to take effect in 2015, are based on the international Basel III capital framework.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13, 2019, the federal regulators finalized and adopted a regulatory capital rule establishing a new community bank leverage ratio (“CBLR”), which became effective on January 1, 2020. Eligibility criteria to utilize CBLR instead of the Basel III risk-based capital ratios include having total assets less than $10 billion and off-balance sheet exposures that is less than 25% of total assets, among others. The Company and the Bank qualified for and elected to use CBLR beginning in the first quarter of 2020. The Company and Bank continue to qualify for and elect to use the CBLR capital alternative.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Federal law provides the federal banking regulators with broad power to take prompt corrective action to resolve the problems of undercapitalized institutions. 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3840"/>
                <wp:effectExtent l="0" t="0" r="0" b="0"/>
                <wp:wrapNone/>
                <wp:docPr id="16" name="Frame1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be acquired; restricting transactions with affiliates; restricting the interest rate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 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result from a failure by the institution to timely correct a deficiency identified in an examination report.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8 - Capital Requirements to the consolidated financial statements included in Part II, Item 8 for additional regulatory capital information, including the Bank’s and Company’s leverage ratio as of December 31, 2025.</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Safety and Soundness Standards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 In general, the guidelines require, among other things, appropriate systems and practices to identify and manage the risk and exposures specified in the guidelines.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Transactions with Affiliates and Insiders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 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3840"/>
                <wp:effectExtent l="0" t="0" r="0" b="0"/>
                <wp:wrapNone/>
                <wp:docPr id="17" name="Frame1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principal shareowners unless the transaction is on market terms and, if the transaction represents greater than 10% of the capital and surplus of the bank, a majority of the bank’s disinterested directors has approved the transaction.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Incentive Compensation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$1.0 billion in assets) and are deemed to be excessive, or that may lead to material losses.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Deposit Insurance</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required to pay assessments to the FDIC on a quarterly basis. The assessment amount is the product of multiplying the assessment base by the assessment rate.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$1.0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Regulatory Restrictions on Dividends and Repurchases of Equity Securities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since we are a legal entity separate and distinct from the Bank and do not conduct stand-alone operations, an ability to pay dividends depends on the ability of the Bank to pay dividends to the holding company and the FDIC and the UDFI may, under certain circumstances, prohibit the payment of dividends to the holding company from the Bank. Utah corporate law also requires that dividends can only be paid out of funds legally available for such a distribution.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3840"/>
                <wp:effectExtent l="0" t="0" r="0" b="0"/>
                <wp:wrapNone/>
                <wp:docPr id="18" name="Frame1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an exception applies, the Federal Reserve’s Regulation Y requires a bank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A bank holding company is not required to obtain prior Board approval for the redemption or purchase of its equity securities if (i) both before and immediately after the redemption, the bank holding company is well-capitalized, (ii) the bank holding company is well-managed under regulatory guidelines, and (iii) the bank holding company is not the subject of any unresolved supervisory issues. </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Commercial Real Estate Concentration Guidelines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Community Reinvestment Act</w:t>
      </w:r>
    </w:p>
    <w:p>
      <w:pPr>
        <w:pStyle w:val="TextBody"/>
        <w:bidi w:val="0"/>
        <w:spacing w:lineRule="auto" w:line="288" w:before="0" w:after="0"/>
        <w:jc w:val="left"/>
        <w:rPr/>
      </w:pPr>
      <w:r>
        <w:rPr>
          <w:rFonts w:ascii="Times New Roman;serif" w:hAnsi="Times New Roman;serif"/>
          <w:b w:val="false"/>
          <w:color w:val="000000"/>
          <w:sz w:val="20"/>
          <w:shd w:fill="FFFFFF" w:val="clear"/>
        </w:rPr>
        <w:t>The Community Reinvestment Act of 1977 and the regulations issued thereunder are intended to encourage banks to help meet the credit needs of the communities they serve, including their assessment area(s) (as established for these purposes in accordance with current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“substantial noncompliance.”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w:t>
      </w:r>
      <w:r>
        <w:rPr>
          <w:rFonts w:ascii="Times New Roman;serif" w:hAnsi="Times New Roman;serif"/>
          <w:b w:val="false"/>
          <w:color w:val="000000"/>
          <w:sz w:val="20"/>
        </w:rPr>
        <w:t>. Our Bank operates under a CRA “strategic plan” and received a “satisfactory” rating in its most recent CRA evaluation.</w:t>
      </w:r>
    </w:p>
    <w:p>
      <w:pPr>
        <w:pStyle w:val="TextBody"/>
        <w:bidi w:val="0"/>
        <w:spacing w:lineRule="auto" w:line="276" w:before="200" w:after="283"/>
        <w:jc w:val="left"/>
        <w:rPr/>
      </w:pPr>
      <w:r>
        <w:rPr>
          <w:rFonts w:ascii="Times New Roman;serif" w:hAnsi="Times New Roman;serif"/>
          <w:b w:val="false"/>
          <w:color w:val="000000"/>
          <w:sz w:val="20"/>
          <w:shd w:fill="FFFFFF" w:val="clear"/>
        </w:rPr>
        <w:t>In October 2023, the Federal Reserve, FDIC and OCC issued a final rule to amend their regulations implementing the CRA. The rule materially revises the current CRA framework, including the assessments areas in which a bank is evaluated to include activities associated with online and mobile banking, the tests used to evaluate the bank in its assessment areas, new methods of calculating credit for lending, investment and service activities and additional data collection and reporting requirements. Most of the final CRA rule’s requirements would have been applicable beginning January 1, 2026</w:t>
      </w:r>
      <w:r>
        <w:rPr>
          <w:rFonts w:ascii="Times New Roman;serif" w:hAnsi="Times New Roman;serif"/>
          <w:b w:val="false"/>
          <w:color w:val="000000"/>
          <w:sz w:val="20"/>
        </w:rPr>
        <w:t>. However, in July of 2025, the federal banking regulators issued a proposal to rescind the 2023 CRA final rule. Regulators are currently applying the pre-2023 CRA framework while waiting for the proposal to formally pass.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Bank Secrecy Act, Anti-Terrorism, Anti-Money Laundering Legislation and OFAC</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3840"/>
                <wp:effectExtent l="0" t="0" r="0" b="0"/>
                <wp:wrapNone/>
                <wp:docPr id="19" name="Frame1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Privacy and Data Security</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Cybersecurity</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Federal banking regulators, as well as the Securities and Exchange Commission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Banking organizations are required to notify their primary federal regulator of significant computer security incidents within 36 hours of determining that such an incident has occurred. In addition, the SEC requires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Federal Home Loan Bank Membership</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Consumer Laws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 usury laws and federal laws concerning interest rates (including preemption of certain state usury laws) limit the amount of interest and various other charges collected or contracted by a bank. The Bank’s loans are also subject to Utah law and federal laws applicable to consumer credit transactions, such as the: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Federal Truth-In-Lending Act governing disclosures of credit terms to consumer borrowers;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3840"/>
                <wp:effectExtent l="0" t="0" r="0" b="0"/>
                <wp:wrapNone/>
                <wp:docPr id="20" name="Frame2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Home Mortgage Disclosure Act requiring financial institutions to provide information to enable public officials to determine whether a financial institution is fulfilling its obligations to meet the housing needs of the community it serves;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Equal Credit Opportunity Act prohibiting discrimination on the basis of race, creed or other prohibitive factors in extending credit;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Real Estate Settlement Procedures Act which requires lenders to disclose certain information regarding the nature and cost of real estate settlements, and prohibits certain lending practices, as well as limits escrow account amounts in real estate transactions;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Fair Debt Collection Act governing the manner in which consumer debts may be collected by collection agencies;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Fair and Accurate Credit Transactions Act which establishes additional rights for consumers to obtain and correct credit reports, addresses identity theft, and establishes additional requirements for consumer reporting agencies and financial institutions that provide adverse credit information to a consumer reporting agency;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rules and regulations of various federal agencies charged with the responsibility of implementing such federal laws.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Such laws and other consumer regulation matters are issued and governed by the CFPB, although they are enforced against the Bank by the FDIC and UDFI. The CFPB is responsible for establishing and implementing rules and regulations under certain federal consumer protection laws with respect to the conduct of providers of certain consumer financial products and services. The CFPB has rulemaking authority over many of the statutes governing products and services offered to bank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8, 2025, the Acting Director of the CFPB directed CFPB employees to pause all supervision and examination activity. This directive, along with other actions recently taken by the current U.S. presidential administration, have created uncertainty about the future of the CFPB, its rulemaking authority and its existing and proposed regulations. However, the FDIC and UDFI enforce CFPB regulations in respect of the Bank.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Bank’s deposit and loan operations are also subject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Right to Financial Privacy Act, which imposes a duty to maintain confidentiality of consumer financial records and prescribes procedures for complying with administrative subpoenas of financial records;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Electronic Funds Transfer Act and Regulation E, which govern automatic deposits to, and withdrawals from, deposit accounts and customers’ rights and liabilities arising from the use of automated teller machines and other electronic banking services.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Relationship with Business Funding Group</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as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Such fees are disclosed on SBA Form 159 and filed with SBA for each funded loan.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2019, we acquired directly from certain members of BFG a 10% ownership interest in BFG in exchange for 950,784 newly issued shares of our common stock, representing 10.9% of our common stock outstanding at the time of purchase. To strengthen our relationship with BFG, we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3840"/>
                <wp:effectExtent l="0" t="0" r="0" b="0"/>
                <wp:wrapNone/>
                <wp:docPr id="21" name="Frame2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25, 2023, the Company entered into a definitive agreement, as amended, to purchase from certain members of BFG an additional 10% membership interest in exchange for shares of the Company’s common stock. On February 5, 2024, the transaction was consummated and the Company issued an aggregate 339,176 shares of the Company’s common stock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shareholders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shd w:fill="FFFFFF" w:val="clear"/>
        </w:rPr>
        <w:t>The following risks, some of which have occurred and any of which may occur in the future, can have a material adverse effect on our business, results of operations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important factors that could cause actual results to differ materially from those expressed in any forward-looking statements made by us or on our behalf. See Cautionary Note Regarding Forward-Looking Statements.</w:t>
      </w:r>
      <w:r>
        <w:rPr>
          <w:color w:val="000000"/>
        </w:rPr>
        <w:t xml:space="preserve"> </w:t>
      </w:r>
    </w:p>
    <w:p>
      <w:pPr>
        <w:pStyle w:val="TextBody"/>
        <w:bidi w:val="0"/>
        <w:spacing w:lineRule="auto" w:line="288" w:before="200" w:after="283"/>
        <w:jc w:val="left"/>
        <w:rPr/>
      </w:pPr>
      <w:r>
        <w:rPr>
          <w:rFonts w:ascii="Times New Roman;serif" w:hAnsi="Times New Roman;serif"/>
          <w:b/>
          <w:color w:val="000000"/>
          <w:sz w:val="20"/>
          <w:shd w:fill="FFFFFF" w:val="clear"/>
        </w:rPr>
        <w:t>Risks Related to Our Banking Business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business and operations in the financial services industry may be adversely affected in numerous and complex ways by weak economic conditions.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Conditions related to inflation, global supply chains, labor market, volatile interest rates, international conflicts, changes in trade policies and other factors, such as real estate values, state and local municipal budget deficits, government spending and the U.S. national debt may, directly and indirectly, adversely affect our financial condition and results of operations. Inflationary and other economic pressure resulting in the inability of borrowers to repay loans could result in increased loan defaults, foreclosures and charge-offs and negatively affect our business, financial condition, results of operations, cash flows and future prospects.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Strategic Programs may also be susceptible to worsening economic conditions that place financial stress on our existing service providers and potential new Strategic Program services providers. These service providers may experience liquidity and other financial issues or strategically slow down growth, any of which could lead them to decrease or terminate their business with us.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Moreover, an inflationary environment combined with a competitive labor market and decreases in the market value of our equity awards could make it more costly for us to attract or retain employees. In order to meet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3840"/>
                <wp:effectExtent l="0" t="0" r="0" b="0"/>
                <wp:wrapNone/>
                <wp:docPr id="22" name="Frame2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expectations of our prospective and current employees due to inflationary and other factors, we may be required to increase our operating costs or risk losing skilled workers to competitors.</w:t>
      </w:r>
    </w:p>
    <w:p>
      <w:pPr>
        <w:pStyle w:val="TextBody"/>
        <w:bidi w:val="0"/>
        <w:spacing w:lineRule="auto" w:line="288" w:before="200" w:after="283"/>
        <w:jc w:val="left"/>
        <w:rPr/>
      </w:pPr>
      <w:r>
        <w:rPr>
          <w:rFonts w:ascii="Times New Roman;serif" w:hAnsi="Times New Roman;serif"/>
          <w:b w:val="false"/>
          <w:color w:val="000000"/>
          <w:sz w:val="20"/>
          <w:shd w:fill="FFFFFF" w:val="clear"/>
        </w:rPr>
        <w:t>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ACL, which in turn could necessitate an increase in our provision for credit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commercial and consumer banking clients who participate in our real estate lending program and SBA 7(a) lending program are concentrated in certain geographic areas and we are sensitive to adverse changes in those regional economies.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success of our real estate lending programs depends substantially upon the general economic conditions in Utah, which we cannot predict.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face strong competition from financial services companies and other companies that offer banking services.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including the private credit lending market,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Fintech companies have been actively acquiring or pursuing bank charters to gain direct access to deposits, reduce reliance on partner banks, and lower capital costs, driven by a more permissive regulatory environment. This shift allows Fintech companies to scale and operate with the same authority as traditional banks. The number of federal bank charter applications in 2025 reached its highest level since 2020, with numerous, crypto-adjacent, and non-bank firms seeking licensing and the OCC and the FDIC are signaling increased openness to fintech charter applications, encouraging new entrants. As a result of this current trend, we may lose some of our banking clients and customers who are able to seek loans from some of these Fintech companies with newly acquired bank charters, which may have a material adverse effect on our business, results of operations and financial performance.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Furthermore, several online banking operations as well as the online banking programs of conventional banks have instituted Fintech Banking and Payment Solutions strategies similar to ours. As a consequence, we have encountered competition in this area and anticipate that we will continue to do so in the future. This competition may increase our costs, reduce our revenues or revenue growth or, because we are a relatively small banking operation without the name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3840"/>
                <wp:effectExtent l="0" t="0" r="0" b="0"/>
                <wp:wrapNone/>
                <wp:docPr id="23" name="Frame2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recognition of other, more established banking operations, make it difficult for us to compete effectively in obtaining these relationships.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not be able to measure and limit our credit risk adequately, which could lead to unexpected losses.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business substantially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ACL, each of which could adversely affect our net income. As a result, our inability to successfully manage credit risk could have an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ACL may prove to be insufficient to absorb potential losses in our loan portfolio.</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Financial Accounting Standards Board (the “FASB”) has issued an accounting standard for establishing an allowance for credit losses under </w:t>
      </w:r>
      <w:r>
        <w:rPr>
          <w:rFonts w:ascii="Times New Roman;serif" w:hAnsi="Times New Roman;serif"/>
          <w:b w:val="false"/>
          <w:color w:val="000000"/>
          <w:sz w:val="20"/>
        </w:rPr>
        <w:t>United States generally accepted accounting principles (“U.S. GAAP”)</w:t>
      </w:r>
      <w:r>
        <w:rPr>
          <w:rFonts w:ascii="Times New Roman;serif" w:hAnsi="Times New Roman;serif"/>
          <w:b w:val="false"/>
          <w:color w:val="000000"/>
          <w:sz w:val="20"/>
          <w:shd w:fill="FFFFFF" w:val="clear"/>
        </w:rPr>
        <w:t>, which generally estimates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requires us to record, at the time of origination, credit losses expected throughout the life of the asset portfolio on loans and held-to-maturity (“HTM”) securities. The CECL standard may create more volatility in the level of allowance for credit losses. If we are required to materially increase the level of our allowance for credit losses for any reason, such increase could have an adverse effect on our business, financial condition, and results of operations. For further information, see Note 1 - Summary of Significant Accounting Policies to the consolidated financial statements included in Part II, Item 8.</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maintain an ACL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ACL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ACL. If we are required to materially increase the level of our ACL for any reason, such increase could have an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SBA lending program is dependent upon the U.S. federal government, and we face specific risks associated with originating SBA loans.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SBA lending program is dependent upon the U.S. federal government. In 2025, we voluntarily relinquished our Preferred Lending Program (“PLP”) delegated authority. We are now an SBA-approved General Processing(“GP”) lender. As an SBA GP Lender, we submit all SBA loan applications to the Loan Guaranty Processing Center for final approval. There is a risk that we may lose loan applicants and existing customers to lenders who are SBA Preferred Lenders, and as a result we could experience a material adverse effect on 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3840"/>
                <wp:effectExtent l="0" t="0" r="0" b="0"/>
                <wp:wrapNone/>
                <wp:docPr id="24" name="Frame2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the funding and sale of the guaranteed portion of SBA 7(a) loans has been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Generally, we do not maintain reserves or loss allowances for such potential claims and any such claims could materially and adversely affect our business, financial condition and earnings. 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are subject to interest rate risk as fluctuations in interest rates may adversely affect our earnings.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to prevailing interest rates could influence not only the interest we receive on loans and investments and the amount of interest we pay on deposits and borrowings, but such changes could also affect (i) our ability to originate loans at competitive rates and obtain deposits; (ii) the fair value of our financial assets and liabilities; (iii) the average duration of our loan portfolios and other interest-earning assets; and (iv) the mix of lending products we originate. A prolonged period of extremely volatile and unstable market conditions could increase our funding costs and negatively affect market risk mitigation strategies. Increased interest rates may decrease borrower demand for certain of our lending products, even as inflation places pressure on consumer spending, borrowing and saving habits as consumers evaluate their prospects for future income growth and employment opportunities in the current economic environment, and as borrowers face uncertainty about the impact of rising prices on their ability to repay a loan. A change in demand for our lending products and any steps we may take to mitigate such change could impact our credit quality and overall growth.</w:t>
      </w:r>
    </w:p>
    <w:p>
      <w:pPr>
        <w:pStyle w:val="TextBody"/>
        <w:bidi w:val="0"/>
        <w:spacing w:lineRule="auto" w:line="288" w:before="200" w:after="283"/>
        <w:jc w:val="left"/>
        <w:rPr/>
      </w:pPr>
      <w:r>
        <w:rPr>
          <w:rFonts w:ascii="Times New Roman;serif" w:hAnsi="Times New Roman;serif"/>
          <w:b/>
          <w:i/>
          <w:color w:val="000000"/>
          <w:sz w:val="20"/>
        </w:rPr>
        <w:t>We rely on BFG for loan referrals associated with our SBA 7(a) lending program, any disruption of that relationship may adversely impact our SBA lending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BFG is a nationally significant referral source of small business loans. BFG has been the primary source of SBA loan referrals for the Bank since the Bank began its SBA lending program in 2014. BFG referred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 xml:space="preserve">of the Bank’s SBA 7(a) loan originations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Negative changes in the economy affecting real estate values and liquidity could impair the value of collateral securing our real estate loans and result in loan and other losses.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3840"/>
                <wp:effectExtent l="0" t="0" r="0" b="0"/>
                <wp:wrapNone/>
                <wp:docPr id="25" name="Frame2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approxim</w:t>
      </w:r>
      <w:r>
        <w:rPr>
          <w:rFonts w:ascii="Times New Roman;serif" w:hAnsi="Times New Roman;serif"/>
          <w:b w:val="false"/>
          <w:color w:val="000000"/>
          <w:sz w:val="20"/>
        </w:rPr>
        <w:t>ately $121.2 million, or 20.7%, of our total gross loans held-for-investment were local lending or owner occupied commercial lending program loans with real estate as a primary or secondary component of collateral. We also have approximately $199.0 million, or 34.0%, of our total gros</w:t>
      </w:r>
      <w:r>
        <w:rPr>
          <w:rFonts w:ascii="Times New Roman;serif" w:hAnsi="Times New Roman;serif"/>
          <w:b w:val="false"/>
          <w:color w:val="000000"/>
          <w:sz w:val="20"/>
          <w:shd w:fill="FFFFFF" w:val="clear"/>
        </w:rPr>
        <w:t xml:space="preserve">s loans held-for-investment in SBA loans that are secured, at least in part, with real estate collateral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Appraisals and other valuation techniques we use in evaluating and monitoring loans secured by real property, other real estate owned and repossessed business and personal property may not accurately describe the net value of the asset.</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ACL may not reflect accurate loan impairments. This could have a material adverse effect on our business, financial condition or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Additionally, consumer protection initiatives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origination of construction loans exposes us to increased lending risks.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originate commercial construction loans primarily to professional builders for the construction of one-to-four family residences, apartment buildings, and commercial real estate properties</w:t>
      </w:r>
      <w:r>
        <w:rPr>
          <w:rFonts w:ascii="Times New Roman;serif" w:hAnsi="Times New Roman;serif"/>
          <w:b w:val="false"/>
          <w:color w:val="000000"/>
          <w:sz w:val="20"/>
        </w:rPr>
        <w:t>. As of December 31, 2025, we had approximately $49.1 million of construction loans, which represents approximately 8.4% of o</w:t>
      </w:r>
      <w:r>
        <w:rPr>
          <w:rFonts w:ascii="Times New Roman;serif" w:hAnsi="Times New Roman;serif"/>
          <w:b w:val="false"/>
          <w:color w:val="000000"/>
          <w:sz w:val="20"/>
          <w:shd w:fill="FFFFFF" w:val="clear"/>
        </w:rPr>
        <w:t>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The small- to medium-sized businesses that we lend to may have fewer resources to weather adverse business developments, which may impair our borrowers’ ability to repay loans.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Small- to medium-sized businesses frequently have smaller market shares than their competition, may be more vulnerable to economic downturns, often need substantial additional capital to expand or compete and may experience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3840"/>
                <wp:effectExtent l="0" t="0" r="0" b="0"/>
                <wp:wrapNone/>
                <wp:docPr id="26" name="Frame2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concentration of large loans to a limited number of borrowers may increase our credit risk.</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s of December 31, 2025 our 10 largest borrowing relationships accounted for approximately 8.3% of our tota</w:t>
      </w:r>
      <w:r>
        <w:rPr>
          <w:rFonts w:ascii="Times New Roman;serif" w:hAnsi="Times New Roman;serif"/>
          <w:b w:val="false"/>
          <w:color w:val="000000"/>
          <w:sz w:val="20"/>
          <w:shd w:fill="FFFFFF" w:val="clear"/>
        </w:rPr>
        <w:t>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ACL could increase significantly, which could have a material adverse effect on our assets, business, financial condition and results of operations.</w:t>
      </w:r>
      <w:r>
        <w:rPr>
          <w:color w:val="000000"/>
        </w:rPr>
        <w:t xml:space="preserve">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 lack of liquidity could impair our ability to fund operations and adversely impact our business, financial condition and results of operations.</w:t>
      </w:r>
    </w:p>
    <w:p>
      <w:pPr>
        <w:pStyle w:val="TextBody"/>
        <w:bidi w:val="0"/>
        <w:spacing w:lineRule="auto" w:line="288" w:before="200" w:after="283"/>
        <w:jc w:val="left"/>
        <w:rPr/>
      </w:pPr>
      <w:r>
        <w:rPr>
          <w:rFonts w:ascii="Times New Roman;serif" w:hAnsi="Times New Roman;serif"/>
          <w:b w:val="false"/>
          <w:color w:val="000000"/>
          <w:sz w:val="20"/>
          <w:shd w:fill="FFFFFF" w:val="clear"/>
        </w:rPr>
        <w:t>Liquidity is essential to our business. We rely on our ability to generate deposits and effectively manage the repayment and maturity schedules of our loans and investment securities, respectively, to ensure that we have adequate liquidity to fund our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most important source of funds is deposits. A</w:t>
      </w:r>
      <w:r>
        <w:rPr>
          <w:rFonts w:ascii="Times New Roman;serif" w:hAnsi="Times New Roman;serif"/>
          <w:b w:val="false"/>
          <w:color w:val="000000"/>
          <w:sz w:val="20"/>
        </w:rPr>
        <w:t>s of December 31, 2025, approximately $168.4 million, or 22.3%, of ou</w:t>
      </w:r>
      <w:r>
        <w:rPr>
          <w:rFonts w:ascii="Times New Roman;serif" w:hAnsi="Times New Roman;serif"/>
          <w:b w:val="false"/>
          <w:color w:val="000000"/>
          <w:sz w:val="20"/>
          <w:shd w:fill="FFFFFF" w:val="clear"/>
        </w:rPr>
        <w:t>r total deposits were noninterest-bearing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balances are required to be maintained at an amount between 50% and 100% of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also may borrow funds from third-party lenders, such as other financial institutions. We currently utilize three secured lines of credit provided by the FHLB and the Federal Reserve and three unsecured lines of credit provided by Bankers Bank of the West, Pacific Coast Bankers’ Bank, and Zions Bank, that in the aggregate provided nearly immediate liquidity available of $230.4 million.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Further, the Federal Housing Finance Agency, the regulator of FHLB and other federal home loan banks, launched a comprehensive review of the Federal Home Loan Bank System including the mission, membership eligibility requirements, and operational efficiencies of the federal home loan banks in 2022. Any change to or termination of our ability to borrow from the FHLB or correspondent banks could have an adverse effect on our financial condition and liquidity.</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3840"/>
                <wp:effectExtent l="0" t="0" r="0" b="0"/>
                <wp:wrapNone/>
                <wp:docPr id="27" name="Frame2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i/>
          <w:color w:val="000000"/>
          <w:sz w:val="20"/>
          <w:shd w:fill="FFFFFF" w:val="clear"/>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s of December 31, 2025, approximately $130.8 million, or approximately 17.3%, of our total</w:t>
      </w:r>
      <w:r>
        <w:rPr>
          <w:color w:val="000000"/>
          <w:shd w:fill="FFFFFF" w:val="clear"/>
        </w:rPr>
        <w:t xml:space="preserve"> </w:t>
      </w:r>
      <w:r>
        <w:rPr>
          <w:rFonts w:ascii="Times New Roman;serif" w:hAnsi="Times New Roman;serif"/>
          <w:b w:val="false"/>
          <w:color w:val="000000"/>
          <w:sz w:val="20"/>
          <w:shd w:fill="FFFFFF" w:val="clear"/>
        </w:rPr>
        <w:t>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between 50% and 100%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be subject to certain risks in connection with growing through mergers and acquisitions.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could acquire other banking institutions,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executing on successful mergers and acquisitions involves a number of risks and challenges, including, but not limited to,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operations and negatively impact our financial results.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If we are unable to attract additional merchants and retain and grow our existing merchant relationships, our business, results of operations, financial condition, and future prospects could be materially and adversely affected.</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continued success is dependent, in part, on our ability to expand our merchant base and to grow our commercial leasing and POS lending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pStyle w:val="TextBody"/>
        <w:bidi w:val="0"/>
        <w:spacing w:lineRule="auto" w:line="288" w:before="200" w:after="283"/>
        <w:jc w:val="left"/>
        <w:rPr/>
      </w:pPr>
      <w:r>
        <w:rPr>
          <w:rFonts w:ascii="Times New Roman;serif" w:hAnsi="Times New Roman;serif"/>
          <w:b/>
          <w:i/>
          <w:color w:val="000000"/>
          <w:sz w:val="20"/>
          <w:shd w:fill="FFFFFF" w:val="clear"/>
        </w:rPr>
        <w:t>New lines of business or new products and services may subject us to additional risks.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3840"/>
                <wp:effectExtent l="0" t="0" r="0" b="0"/>
                <wp:wrapNone/>
                <wp:docPr id="28" name="Frame2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i/>
          <w:color w:val="000000"/>
          <w:sz w:val="20"/>
          <w:shd w:fill="FFFFFF" w:val="clear"/>
        </w:rPr>
        <w:t>The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U.S. GAAP. Weaknesses in our internal control over financial reporting have been discovered in the past and may be discovered in the future.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The accuracy of our financial statements and related disclosures could be affected if the judgments, assumptions or estimates used in our critical accounting policies are inaccurate.</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preparation of financial statements and related disclosures in conformity with U.S. GAAP requires us to make judgments, assumptions and estimates that affect the amounts reported in our consolidated financial statements and accompanying 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implemented segment reporting into our financial results during the three months ended September 30, 2025 and this change to our financial reporting could be confusing to investors and may not have the desired effects.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Beginning with the quarter ended September 30, 2025, we implemented segment reporting following the completion of a technology initiative to capture segment-specific financial data and develop reports used by our CODM to review our financial performance and determine how to allocate resources. Our operations are now comprised of three reportable segments: traditional banking, banking as a service and treasury and administration.</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have provided disclosures about our new segment reporting structure elsewhere in this Report, but there is no guarantee that investors or the market will understand this change to our financial reporting. There is also no guarantee that this change to our financial reporting will have the desired effect. In addition, for periods prior to July 1, 2025, our operations were managed and reported as a single segment, and historical financial data by segment was not maintained. Accordingly, it is not practicable to present segment information for prior periods. Failure of investors or analysts to understand our revised segment reporting structure may negatively affect their ability to understand our financial performance and operating results which could adversely affect our stock price.</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could recognize losses on investment securities held in our securities portfolio, particularly if interest rates increase or economic and market conditions deteriorate.</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invest a portion of our total assets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in investment securities with the primary objectives of providing a source of liquidity, providing an appropriate return on funds invested, managing interest rate risk and meeting pledging requirements.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are subject to certain operational risks, including, but not limited to, customer, employee or third-party fraud.</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Employee errors and employee or customer misconduct could subject us to financial losses or regulatory sanctions and seriously harm our reputation. Misconduct by our employees could include hiding unauthorized activities from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3840"/>
                <wp:effectExtent l="0" t="0" r="0" b="0"/>
                <wp:wrapNone/>
                <wp:docPr id="29" name="Frame2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 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rely heavily on our executive management team and other key employees, and we could be adversely affected by the unexpected loss of their services.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pStyle w:val="TextBody"/>
        <w:bidi w:val="0"/>
        <w:spacing w:lineRule="auto" w:line="288" w:before="200" w:after="283"/>
        <w:jc w:val="left"/>
        <w:rPr/>
      </w:pPr>
      <w:r>
        <w:rPr>
          <w:rFonts w:ascii="Times New Roman;serif" w:hAnsi="Times New Roman;serif"/>
          <w:b/>
          <w:i/>
          <w:color w:val="000000"/>
          <w:sz w:val="20"/>
          <w:shd w:fill="FFFFFF" w:val="clear"/>
        </w:rPr>
        <w:t>Negative public opinion regarding the Company or failure to maintain our reputation within the industries we serve and across our product lines could adversely affect our business and prevent us from growing our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prospects would be materially and adversely affected.</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be susceptible to deposit run-off risks, which could adversely affect our business and financial condition.</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Bank relies significantly upon deposits for liquidity and funding business operations. Generally, deposits are a relatively stable and cost-effective source of funding for banks due to many factors, including FDIC deposit insurance. Changes in deposit levels can be influenced substantially by many factors, including customer satisfaction and the interest rates offered to deposit customers. Those rates, in turn, generally reflect prevailing market conditions. During the first quarter of 2023, the media highlighted the risks of an extreme form of deposit run-off, sometimes referred to as a “run on the bank.”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other financial institutions. More moderate levels of run-off can adversely affect banks but are less dramatic and have been significantly less reported. The rapid rise in interest rates during 2022 and 2023 and the resulting industry-wide reduction in the fair value of securities portfolios, among other events, increased volatility and uncertainty with respect to the health of the U.S. banking system for a period of time. We believe these recent experiences has resulted in a continued heightened awareness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3840"/>
                <wp:effectExtent l="0" t="0" r="0" b="0"/>
                <wp:wrapNone/>
                <wp:docPr id="30" name="Frame3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around liquidity, uninsured deposits, deposit composition, unrecognized investment losses, and capital, , having increased the risk of some level of deposit run-off for depository institutions. That increased run-off risk applies both generally and in relation to deposits that exceed FDIC insurance coverage. While the Bank maintains cash reserves and access to other liquidity sources to accommodate normal and, to a degree, unusual withdrawal activity, and the Bank plans to respond promptly and accurately to any customer concerns that might arise, we cannot assure you that we will be able to manage a deposit run-off if it were to occur and could adversely affect our business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not be able to raise the additional capital needed, in absolute terms or on terms acceptable to us, to fund our growth strategy in the future if we continue to grow at our current pace.</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Any such events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Acts of war, global conflict, terrorism, geopolitical and other external events could impact our ability to conduct business.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Additionally, global conflicts, including the continuing conflicts involving Ukraine and the Russian Federation and those in the Middle East involving Israel and Iran, and now including the United States among other nations) or other similar events, as well as government actions of other restrictions in connection with such events, and trade negotiations between the U.S. and other nations could adversely impact economic and market conditions for the Company and its clients and counterparties. In addition, global supply chain disruptions resulting from these conflicts may cause prolonged inflation, adversely impact consumer and business confidence, and adversely affect the economy as well as our financial condition and results.</w:t>
      </w:r>
    </w:p>
    <w:p>
      <w:pPr>
        <w:pStyle w:val="TextBody"/>
        <w:bidi w:val="0"/>
        <w:spacing w:lineRule="auto" w:line="288" w:before="200" w:after="283"/>
        <w:jc w:val="left"/>
        <w:rPr/>
      </w:pPr>
      <w:r>
        <w:rPr>
          <w:rFonts w:ascii="Times New Roman;serif" w:hAnsi="Times New Roman;serif"/>
          <w:b/>
          <w:i/>
          <w:color w:val="000000"/>
          <w:sz w:val="20"/>
        </w:rPr>
        <w:t>Political differences within the federal government, both at the regulatory and Congressional level, create significant potential for major and abrupt shifts in federal policy regarding bank regulation, taxes, and the economy, any of which could have significant and adverse impacts on our business and financial performance.</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 </w:t>
      </w:r>
    </w:p>
    <w:p>
      <w:pPr>
        <w:pStyle w:val="TextBody"/>
        <w:bidi w:val="0"/>
        <w:spacing w:lineRule="auto" w:line="288" w:before="200" w:after="283"/>
        <w:jc w:val="left"/>
        <w:rPr/>
      </w:pPr>
      <w:r>
        <w:rPr>
          <w:rFonts w:ascii="Times New Roman;serif" w:hAnsi="Times New Roman;serif"/>
          <w:b/>
          <w:i/>
          <w:color w:val="000000"/>
          <w:sz w:val="20"/>
          <w:shd w:fill="FFFFFF" w:val="clear"/>
        </w:rPr>
        <w:t>We expect to derive a percentage of our deposits, total assets and income from deposit accounts generated through our Fintech Banking and Payment Solutions relationships.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to acquire deposit accounts through our Fintech Banking and Payment Solutions relationships and provide oversight over these relationships, which must meet our internal and regulatory requirements. We may exit relationships where such requirements are not met or be required by our regulators to exit such relationships. Also, our Fintech Banking and Payment Solutions customers could terminate their relationships with us for many reasons, including being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3840"/>
                <wp:effectExtent l="0" t="0" r="0" b="0"/>
                <wp:wrapNone/>
                <wp:docPr id="31" name="Frame3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obtain better terms from another provider or dissatisfaction with the level or quality of our services. If a relationship were to be terminated, it could materially reduce our deposits, assets and income. We cannot assure you that we would be able to acquire the deposits initially, or successfully replace such relationships. If we cannot acquire or replace such relationships, we may be required to seek higher rate funding sources and interest expense might increase. We may also be required to sell securities or other assets to meet funding needs which would reduce revenues or potentially generate losses.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agreements with Fintech Banking and Payment Solutions customers may expose us to credit risk.</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may enter into agreements with our Fintech Banking and Payment Solutions customers pursuant to which our Fintech Banking and Payment Solutions customers may market bank consumer checking and consumer or commercial line of credit (“LOC”) accounts using their brands and digital platforms, make underwriting determinations for the LOC accounts, cover any losses on the LOC accounts, provide cash collateral to the Bank to secure payment of such losses or be partial guarantors of losses on the LOC accounts. In the event the cash collateral amount is not adequately maintained or is insufficient to cover the losses on the LOC accounts and the Fintech Banking and Payment Solutions customer does not or cannot otherwise meet its obligations under its agreement with the Bank, the Bank may incur financial losses. Losses associated with the LOC accounts (or the portfolios of other third parties with whom we enter into comparable Fintech Banking and Payment Solutions relationships) in such circumstances could have a material adverse effect on our net income, results of operations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agreements with Fintech Banking and Payment Solutions customers may produce limited revenue and may expose us to liability for compliance violations by Fintech Banking and Payment Solutions customer.</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enter into agreements with Fintech Banking and Payment Solutions customers pursuant to which we will provide certain banking services for such Fintech Banking and Payment Solutions customers, including serving as the issuing bank for credit or debit cards issued to their customers and establishing one or more settlement accounts for the purpose of settling customer transactions. The agreements have varying terms and may be terminated by the parties under certain circumstances. If our Fintech Banking and Payment Solutions customers are not successful in achieving customer acceptance of their programs or terminate the agreement before the end of its term, our revenue under the agreement may be limited or may cease altogether. In addition, our bank regulators may hold us responsible for the activities of our Fintech Banking and Payment Solutions customers with respect to the marketing or administration of their programs, which may result in increased compliance costs for us or potentially compliance violations as a result of Fintech Banking and Payment Solutions customer activities. In recent years, a significant number of banks that provide Fintech Banking and Payment Solutions have become subject to enforcement actions relating to their customers’ activities, indicating that banking regulators have made banks’ oversight over their Fintech Banking and Payment Solutions customers a supervisory priority and that there is an increased risk that we could similarly become subject to additional regulatory scrutiny or enforcement. Additionally, financial weaknesses at our Fintech Banking and Payment Solutions customers could cause us to record greater expenses or losses or suffer reputational harm.</w:t>
      </w:r>
    </w:p>
    <w:p>
      <w:pPr>
        <w:pStyle w:val="TextBody"/>
        <w:bidi w:val="0"/>
        <w:spacing w:lineRule="auto" w:line="288" w:before="200" w:after="283"/>
        <w:jc w:val="left"/>
        <w:rPr/>
      </w:pPr>
      <w:r>
        <w:rPr>
          <w:rFonts w:ascii="Times New Roman;serif" w:hAnsi="Times New Roman;serif"/>
          <w:b/>
          <w:color w:val="000000"/>
          <w:sz w:val="20"/>
          <w:shd w:fill="FFFFFF" w:val="clear"/>
        </w:rPr>
        <w:t>Risks Relating to Our Strategic Programs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The Bank and our Strategic Program service providers are subject to borrower protection laws and federal and state consumer protection laws and may be subject to public criticism by consumer advocacy groups.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3840"/>
                <wp:effectExtent l="0" t="0" r="0" b="0"/>
                <wp:wrapNone/>
                <wp:docPr id="32" name="Frame3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indemnification right or other action against the service provider. The foregoing could adversely affect our growth, business prospects, financial condition and results of operations.</w:t>
      </w:r>
      <w:r>
        <w:rPr>
          <w:color w:val="000000"/>
        </w:rPr>
        <w:t xml:space="preserve"> </w:t>
      </w:r>
      <w:r>
        <w:rPr>
          <w:rFonts w:ascii="Times New Roman;serif" w:hAnsi="Times New Roman;serif"/>
          <w:b w:val="false"/>
          <w:color w:val="000000"/>
          <w:sz w:val="20"/>
          <w:shd w:fill="FFFFFF" w:val="clear"/>
        </w:rPr>
        <w:t xml:space="preserve">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w:t>
      </w:r>
    </w:p>
    <w:p>
      <w:pPr>
        <w:pStyle w:val="TextBody"/>
        <w:bidi w:val="0"/>
        <w:spacing w:lineRule="auto" w:line="288" w:before="200" w:after="283"/>
        <w:jc w:val="left"/>
        <w:rPr/>
      </w:pPr>
      <w:r>
        <w:rPr>
          <w:rFonts w:ascii="Times New Roman;serif" w:hAnsi="Times New Roman;serif"/>
          <w:b w:val="false"/>
          <w:color w:val="000000"/>
          <w:sz w:val="20"/>
          <w:shd w:fill="FFFFFF" w:val="clear"/>
        </w:rPr>
        <w:t>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 other forms of relief a competent tribunal may impose, or otherwise predict the impact of consumer claims on the Bank’s or any Strategic Program service provider’s operations or revenue.</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If we are unable to maintain our relationships with our Strategic Program service providers, our business will suffer.</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 significant portion of our loan origination is conducted through our Str</w:t>
      </w:r>
      <w:r>
        <w:rPr>
          <w:rFonts w:ascii="Times New Roman;serif" w:hAnsi="Times New Roman;serif"/>
          <w:b w:val="false"/>
          <w:color w:val="000000"/>
          <w:sz w:val="20"/>
        </w:rPr>
        <w:t>ategic Programs. Approximately $76.1 million, or 50.4% of our total revenues for the year ended December 31, 2025, were generated through our Strategic Programs. Our agreements with service providers to the Strategic Programs are non-exclu</w:t>
      </w:r>
      <w:r>
        <w:rPr>
          <w:rFonts w:ascii="Times New Roman;serif" w:hAnsi="Times New Roman;serif"/>
          <w:b w:val="false"/>
          <w:color w:val="000000"/>
          <w:sz w:val="20"/>
          <w:shd w:fill="FFFFFF" w:val="clear"/>
        </w:rPr>
        <w:t>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r>
        <w:rPr>
          <w:color w:val="000000"/>
        </w:rPr>
        <w:t xml:space="preserve"> </w:t>
      </w:r>
      <w:r>
        <w:rPr>
          <w:rFonts w:ascii="Times New Roman;serif" w:hAnsi="Times New Roman;serif"/>
          <w:b w:val="false"/>
          <w:color w:val="000000"/>
          <w:sz w:val="20"/>
          <w:shd w:fill="FFFFFF" w:val="clear"/>
        </w:rPr>
        <w:t>Furthermore, our agreements with third 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Inadequate oversight of our relationships with our Strategic Program service providers and POS merchants could result in regulatory actions against the Bank, which could adversely affect our business, financial condition and result of operations.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3840"/>
                <wp:effectExtent l="0" t="0" r="0" b="0"/>
                <wp:wrapNone/>
                <wp:docPr id="33" name="Frame3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form new relationships with other Strategic Program service providers or POS merchants, either of which could result in a decrease in our loan originations, which in turn could adversely affect our growth, business prospects,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The regulatory framework for Strategic Programs is evolving and uncertain as federal and state agencies consider new laws to regulate online marketplaces such as ours, as well as the withdrawal of certain proposed rules. New laws and regulations, including taxes on services provided through Strategic Programs, as well as continued uncertainty regarding potential new laws or regulations, or the withdrawal or rescission of proposed or final rules, may negatively affect our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r>
        <w:rPr>
          <w:color w:val="000000"/>
        </w:rPr>
        <w:t xml:space="preserve"> </w:t>
      </w:r>
      <w:r>
        <w:rPr>
          <w:rFonts w:ascii="Times New Roman;serif" w:hAnsi="Times New Roman;serif"/>
          <w:b w:val="false"/>
          <w:color w:val="000000"/>
          <w:sz w:val="20"/>
          <w:shd w:fill="FFFFFF" w:val="clear"/>
        </w:rPr>
        <w:t>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April 2022, the CFPB announced that it intends to examine nonbank financial companies, which may include some of our Strategic Program service providers, that pose risks to consumers and in June 2022, the Deputy Director of the CFPB indicated that relationships between banks and nonbank lenders will be an area of increased regulatory focus for the agency in the near future. Subsequently, in November 2022, the Treasury Department issued a report encouraging the CFPB to increase its supervisory activity with respect to larger nonbank lenders. State regulators have also increased the level of regulatory scrutiny on financial technology companies.</w:t>
      </w:r>
      <w:r>
        <w:rPr>
          <w:color w:val="000000"/>
        </w:rPr>
        <w:t xml:space="preserve"> </w:t>
      </w:r>
      <w:r>
        <w:rPr>
          <w:rFonts w:ascii="Times New Roman;serif" w:hAnsi="Times New Roman;serif"/>
          <w:b w:val="false"/>
          <w:color w:val="000000"/>
          <w:sz w:val="20"/>
          <w:shd w:fill="FFFFFF" w:val="clear"/>
        </w:rPr>
        <w:t>However, following the inauguration of the new President in January 2025, new acting federal financial regulators have signaled that they will take a different approach to regulation of the financial marketplace and financial technology companies compared to the prior administration. We cannot predict whether any legislation or proposed rulemaking will actually be introduced or how any legislation or rulemaking will impact our business and results of operations of marketplace lenders going forward.</w:t>
      </w:r>
    </w:p>
    <w:p>
      <w:pPr>
        <w:pStyle w:val="TextBody"/>
        <w:bidi w:val="0"/>
        <w:spacing w:lineRule="auto" w:line="288" w:before="200" w:after="283"/>
        <w:jc w:val="left"/>
        <w:rPr/>
      </w:pPr>
      <w:r>
        <w:rPr>
          <w:rFonts w:ascii="Times New Roman;serif" w:hAnsi="Times New Roman;serif"/>
          <w:b/>
          <w:i/>
          <w:color w:val="000000"/>
          <w:sz w:val="20"/>
          <w:shd w:fill="FFFFFF" w:val="clear"/>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w:t>
      </w:r>
      <w:r>
        <w:rPr>
          <w:color w:val="000000"/>
        </w:rPr>
        <w:t xml:space="preserve"> </w:t>
      </w:r>
      <w:r>
        <w:rPr>
          <w:rFonts w:ascii="Times New Roman;serif" w:hAnsi="Times New Roman;serif"/>
          <w:b w:val="false"/>
          <w:color w:val="000000"/>
          <w:sz w:val="20"/>
        </w:rPr>
        <w:t xml:space="preserve">Strategic Programs. If the laws of such jurisdictions were found to apply to the loans originated by the Bank through a marketplace, those loans could be in violation of such laws or it could impact the ability to sell such loans to investors. </w:t>
      </w:r>
    </w:p>
    <w:p>
      <w:pPr>
        <w:pStyle w:val="TextBody"/>
        <w:bidi w:val="0"/>
        <w:spacing w:lineRule="auto" w:line="288" w:before="200" w:after="283"/>
        <w:jc w:val="left"/>
        <w:rPr/>
      </w:pPr>
      <w:r>
        <w:rPr>
          <w:rFonts w:ascii="Times New Roman;serif" w:hAnsi="Times New Roman;serif"/>
          <w:b w:val="false"/>
          <w:color w:val="000000"/>
          <w:sz w:val="20"/>
          <w:shd w:fill="FFFFFF" w:val="clear"/>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3840"/>
                <wp:effectExtent l="0" t="0" r="0" b="0"/>
                <wp:wrapNone/>
                <wp:docPr id="34" name="Frame3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On May 25, 2020,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Several states have also adopted legislation that impacts our Strategic Programs. In 2021, Illinois and Maine enacted laws that regulate any person who holds, acquires, or maintains, directly or indirectly, the predominant economic interest in a loan originated by an otherwise-exempt entity like a bank.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r>
        <w:rPr>
          <w:color w:val="000000"/>
        </w:rPr>
        <w:t xml:space="preserve">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Fraudulent activity associated with a Strategic Program service provider could negatively impact operating results, brand and reputation and cause the use of a Strategic Program’s loan products and services to decrease and its fraud losses to increase.</w:t>
      </w:r>
    </w:p>
    <w:p>
      <w:pPr>
        <w:pStyle w:val="TextBody"/>
        <w:bidi w:val="0"/>
        <w:spacing w:lineRule="auto" w:line="288" w:before="200" w:after="283"/>
        <w:jc w:val="left"/>
        <w:rPr/>
      </w:pPr>
      <w:r>
        <w:rPr>
          <w:rFonts w:ascii="Times New Roman;serif" w:hAnsi="Times New Roman;serif"/>
          <w:b w:val="false"/>
          <w:color w:val="000000"/>
          <w:sz w:val="20"/>
          <w:shd w:fill="FFFFFF" w:val="clear"/>
        </w:rPr>
        <w:t>Our Strategic Program service providers are subject to the risk of fraudulent activity associated with the handling of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depend on the accuracy and completeness of information provided by our Fintech Banking and Payment Solutions service providers for our lending, payments and BIN programs.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rely on the effective and timely functioning of the operational and financial reporting of our Fintech Banking and Payment Solutions service providers for financial, accounting, transaction execution, data processing and other operational information to process, record, monitor and report a large number of transactions on a continuous basis, and to do so accurately, quickly and securely. Any errors or failures in such reporting could result in the erroneous execution of transactions, financial losses, regulatory scrutiny, increased costs or harm to our reputation.</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Differences between the accounting policies of our Fintech Banking and Payment Solutions service providers and the Company’s accounting policies could result in us not recognizing amounts in our financial statements in accordance with U.S. GAAP or other errors in our financial statements. Although we have implemented controls to enhance our risk assessment, control and evaluation procedures over third-party reports to ensure compliance with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3840"/>
                <wp:effectExtent l="0" t="0" r="0" b="0"/>
                <wp:wrapNone/>
                <wp:docPr id="35" name="Frame3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accounting policies, any control, design or implementation deficiencies with respect to third-party reports could adversely impact our results of operations or financial condition, or result in our failure to meet our periodic reporting obligations.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In deciding whether to extend credit or enter into other transactions with borrowers and counterparties in our Strategic Programs, we may rely on information furnished to us by our Strategic Program service providers, including credit profile, financial statements and other financial information, as well as with respect to the accuracy and completeness of that information. Any review and analyses of such information in connection with our lending decisions may not detect or highlight all relevant facts or risks that are necessary in evaluating such credit or other transactions. In some cases, we may have little or no control over the data collection or due diligence processes of our Strategic Program services providers, and any shortcomings in such processes could be reflected in the lending decisions that we make.</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quality of our loan portfolios, our financial condition, results of operations, financial reporting and reputation could be materially adversely affected if we receive and rely on materially misleading, false, inaccurate, incomplete, outdated or fraudulent information. If we receive any such information and our fraud detection processes do not flag the related loan applications, repayments on the corresponding loans may be lower, in some cases significantly lower, than expected, leading to losses for us or the Strategic Program service provider. Moreover, our reliance on any such information could result in suboptimally and inefficiently priced loans or incorrect approvals or denials of loans, which in turn could adversely affect our reputation and ability to attract new borrowers, counterparties or Strategic Program service providers.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credit enhancement arrangements with certain of our Strategic Program service providers exposes us to counterparty risk which may result in increased credit or fraud risk or losses to us.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have entered into agreements with certain of our Strategic Program service providers pursuant to which the service providers provide credit enhancement on loans which protects the Bank by indemnifying or reimbursing the Bank for incurred credit and fraud losses. Reimbursement or indemnification for incurred losses is provided for through a deposit reserve account that is replenished periodically by the respective service provider. In the event that cash flow from the loans covered by the agreement is insufficient to fund the deposit reserve account in an amount required to support the service provider’s indemnification or reimbursement obligations due to deterioration of the performance of such loans or otherwise, and the service provider is unable or unwilling to fund any shortfalls or otherwise breaches its obligations under the agreement, we will generally retain all income related to such loans (which may be reduced) and assume responsibility for primarily servicing the loans. Consequently, we would retain all the contractual interest but would be exposed to increased credit or fraud risk or losses on such loans as a result of this counterparty risk.</w:t>
      </w:r>
      <w:r>
        <w:rPr>
          <w:color w:val="000000"/>
        </w:rPr>
        <w:t xml:space="preserve"> </w:t>
      </w:r>
    </w:p>
    <w:p>
      <w:pPr>
        <w:pStyle w:val="TextBody"/>
        <w:bidi w:val="0"/>
        <w:spacing w:lineRule="auto" w:line="288" w:before="200" w:after="283"/>
        <w:jc w:val="left"/>
        <w:rPr/>
      </w:pPr>
      <w:r>
        <w:rPr>
          <w:rFonts w:ascii="Times New Roman;serif" w:hAnsi="Times New Roman;serif"/>
          <w:b/>
          <w:color w:val="000000"/>
          <w:sz w:val="20"/>
          <w:shd w:fill="FFFFFF" w:val="clear"/>
        </w:rPr>
        <w:t>Risks Related to Technology</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System failure or cybersecurity breaches of our network security could subject us to increased operating costs as well as litigation and other potential losses.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The importance of our online banking systems to the Company’s operations means that any problems in its functionality would have a material adverse effect on the Company’s operations, business model and growth strategy.</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3840"/>
                <wp:effectExtent l="0" t="0" r="0" b="0"/>
                <wp:wrapNone/>
                <wp:docPr id="36" name="Frame3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Despite the implementation of security measures, our internal computer systems and those of our Strategic Program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proprietary technologies and analytic models have not yet been exposed to longer term down-cycle economic conditions. If these do not, or are perceived not to, accurately gather and interpret performance data for loans and identify attractive risk-adjusted market sectors, our performance may be worse than anticipated.</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technologies created by and relied upon by us may not function properly, or at all, which may have a material impact on our operations and financial conditions. The performance of loans originated by us is dependent on the effectiveness of our credit underwriting systems used to evaluate borrowers’ credit profiles and likelihood of default. While our proprietary technologies and analytic models are continually adjusted to account for changes in various macroeconomic conditions, the bulk of the data gathered and the development of our enterprise data warehouse have largely occurred during a period of sustained economic growth or during the COVID-19 pandemic when extraordinary government stimulus impacted the economy. Our proprietary technologies have not been exposed to other adverse economic cycles. There is no assurance that our proprietary technologies can accurately predict loan performance during periods of adverse economic conditions. If our proprietary technologies are unable to accurately reflect the credit risk of loans under such economic conditions, we may experience greater than expected losses on such loans. </w:t>
      </w:r>
    </w:p>
    <w:p>
      <w:pPr>
        <w:pStyle w:val="TextBody"/>
        <w:bidi w:val="0"/>
        <w:spacing w:lineRule="auto" w:line="288" w:before="200" w:after="283"/>
        <w:jc w:val="left"/>
        <w:rPr/>
      </w:pPr>
      <w:r>
        <w:rPr>
          <w:rFonts w:ascii="Times New Roman;serif" w:hAnsi="Times New Roman;serif"/>
          <w:b/>
          <w:i/>
          <w:color w:val="000000"/>
          <w:sz w:val="20"/>
          <w:shd w:fill="FFFFFF" w:val="clear"/>
        </w:rPr>
        <w:t>We may not be able to protect our intellectual property rights, including our proprietary technologies and analytic models, and may become involved in lawsuits to protect or enforce our proprietary rights and information, which could be expensive, time consuming and unsuccessful.</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rely on a combination of copyright, trademark, trade secret laws and confidentiality provisions to establish and protect our intellectual property rights, including our proprietary technologies and our analytic models.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analytic model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including the use of AI, aspects of our business and our products and services rely on technologies developed or licensed by third parties, and we may not be able to obtain or continue to obtain licenses and technologies from these third parties on reasonable terms or at all.</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not have the resources to keep pace with rapid technological changes in the industry or implement new technology effectively.</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financial services industry is undergoing rapid technological changes with frequent introductions of new technology-driven products and services. Our future success will depend, at least in part, upon our ability to address the needs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3840"/>
                <wp:effectExtent l="0" t="0" r="0" b="0"/>
                <wp:wrapNone/>
                <wp:docPr id="37" name="Frame3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r>
        <w:rPr>
          <w:color w:val="000000"/>
        </w:rPr>
        <w:t xml:space="preserve"> </w:t>
      </w:r>
      <w:r>
        <w:rPr>
          <w:rFonts w:ascii="Times New Roman;serif" w:hAnsi="Times New Roman;serif"/>
          <w:b w:val="false"/>
          <w:color w:val="000000"/>
          <w:sz w:val="20"/>
        </w:rPr>
        <w:t xml:space="preserve">The use of AI in the banking industry is developing and growing. Customer demand may cause us and others to offer products or services incorporating AI. As with many developing technologies, artificial intelligence presents risks and challenges that could affect its further development, adoption, and use, and therefore our business. Our future success will depend, in part, upon our ability to invest in and use appropriate technology, which may include AI. To effectively make such investments, we may need to expend significant financial, human, and other resources. However, we may not be able to implement AI in an effective or timely way, thus adversely impacting our operations. This may also adversely impact our ability to compete with financial institutions which have greater resources to invest in such technological improvements. Ultimately, any AI we develop or use may be flawed. If our use of AI, or its use by third parties with which we do business or otherwise interact, is deficient, biased, or inaccurate, or compromises customer privacy or implicates other ethics issues, we could be subject to competitive harm, potential legal liability, and brand or reputational harm. </w:t>
      </w:r>
    </w:p>
    <w:p>
      <w:pPr>
        <w:pStyle w:val="TextBody"/>
        <w:bidi w:val="0"/>
        <w:spacing w:lineRule="auto" w:line="288" w:before="200" w:after="283"/>
        <w:jc w:val="left"/>
        <w:rPr/>
      </w:pPr>
      <w:r>
        <w:rPr>
          <w:rFonts w:ascii="Times New Roman;serif" w:hAnsi="Times New Roman;serif"/>
          <w:b/>
          <w:i/>
          <w:color w:val="000000"/>
          <w:sz w:val="20"/>
          <w:shd w:fill="FFFFFF" w:val="clear"/>
        </w:rPr>
        <w:t>The development and use of artificial intelligence present risks and challenges that may adversely impact our business.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selectively employ AI through productivity tools, third-party solutions, and internal systems. We use generative AI for certain tasks like document drafting and data analysis, with an implementation of strict controls to protect customer data. Third-party AI assists us in cybersecurity, fraud detection, and code review, while our own agents handle compliance, policy analysis, and workflow optimization. A disciplined AI adoption approach remains the most effective strategy for us. However, the advances in generative AI are opening new opportunities for efficiency and automation. We are actively exploring opportunities to broaden the deployment of these capabilities across our Company to drive efficiency and long term value, with a disciplined focus on safeguarding sensitive data through secure and controlled implementation. However, the continued development and use of AI presents a number of risks and challenges to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legal and regulatory environment relating to AI is uncertain and rapidly evolving and includes regulation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 including in relation to data privacy and security laws, which mandate the protection of consumer financial information.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AI models, particularly generative AI models, may produce output or take action that is incorrect, that results in the release of private, confidential or proprietary information, that reflects biases included in the data on which they are trained, that produces output that is, or is perceived to be, discriminatory or unfair, that infringes on the intellectual property rights of others, or that is otherwise harmful.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policies prohibiting our employees from using non-approved generative AI applications or websites on the Company or the Bank’s network, there can be no assurances that our employees will adhere to these policies or that such policies will be effective in mitigating the risks associated with using AI technology. Furthermore, although we have not authorized the use of any AI tools with personally identifiable or nonpublic information, employees may intentionally or inadvertently violate our policy by using personally identifiable or nonpublic information, including sensitive client information, with AI technologies.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personally identifiable or nonpublic information may be used with such technologies, these technologies are capable of generating output that improperly discloses such personally identifiable or nonpublic information. The use of personally identifiable or nonpublic information could result in a violation of certain laws, including data privacy laws and the data privacy and security laws, exposing us to legal liability or regulatory penalties. Furthermore, we may rely on AI models developed by third parties, and, to that extent, would be dependent in part on the manner in which those third parties develop and train their models, including risks arising from the inclusion of any unauthorized material in the training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3840"/>
                <wp:effectExtent l="0" t="0" r="0" b="0"/>
                <wp:wrapNone/>
                <wp:docPr id="38" name="Frame3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their models, and the effectiveness of the steps these third parties have taken to limit the risks associated with the output of their models, matters over which we may have limited visibility. Any of these risks could expose us to liability or adverse legal or regulatory consequences and harm our reputation and the public perception of our business or the effectiveness of our security measures, which could have an adverse effect on our business, financial condition or results of operations. </w:t>
      </w:r>
    </w:p>
    <w:p>
      <w:pPr>
        <w:pStyle w:val="TextBody"/>
        <w:bidi w:val="0"/>
        <w:spacing w:lineRule="auto" w:line="288" w:before="200" w:after="283"/>
        <w:jc w:val="left"/>
        <w:rPr/>
      </w:pPr>
      <w:r>
        <w:rPr>
          <w:rFonts w:ascii="Times New Roman;serif" w:hAnsi="Times New Roman;serif"/>
          <w:b/>
          <w:i/>
          <w:color w:val="000000"/>
          <w:sz w:val="20"/>
          <w:shd w:fill="FFFFFF" w:val="clear"/>
        </w:rPr>
        <w:t>Our operations could be interrupted if our third-party service providers or Strategic Program service providers experience operational or other systems difficulties or terminate their services.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r>
        <w:rPr>
          <w:rFonts w:ascii="Times New Roman;serif" w:hAnsi="Times New Roman;serif"/>
          <w:b w:val="false"/>
          <w:color w:val="000000"/>
          <w:sz w:val="20"/>
        </w:rPr>
        <w:t xml:space="preserve">. </w:t>
      </w:r>
    </w:p>
    <w:p>
      <w:pPr>
        <w:pStyle w:val="TextBody"/>
        <w:bidi w:val="0"/>
        <w:spacing w:lineRule="auto" w:line="288" w:before="200" w:after="283"/>
        <w:jc w:val="left"/>
        <w:rPr/>
      </w:pPr>
      <w:r>
        <w:rPr>
          <w:rFonts w:ascii="Times New Roman;serif" w:hAnsi="Times New Roman;serif"/>
          <w:b/>
          <w:color w:val="000000"/>
          <w:sz w:val="20"/>
          <w:shd w:fill="FFFFFF" w:val="clear"/>
        </w:rPr>
        <w:t xml:space="preserve">Risks Related to </w:t>
      </w:r>
      <w:r>
        <w:rPr>
          <w:rFonts w:ascii="Times New Roman;serif" w:hAnsi="Times New Roman;serif"/>
          <w:b/>
          <w:color w:val="000000"/>
          <w:sz w:val="20"/>
        </w:rPr>
        <w:t>Regulatory, Legal and Compliance</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are subject to substantial regulation, which increases the cost and expense of regulatory compliance and therefore reduces our net income and may negatively impact our opportunity to grow our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Utah state-chartered bank that is not a member of the Federal Reserve System, the Bank is separately subject to regulation by both the FDIC and the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The allocation of our resources to address regulatory compliance, as well as any failure to comply with applicable requirements, may negatively impact our results of operations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Legislative and regulatory actions taken now or in the future, including deregulation, may increase our competition and costs and impact our business, governance structure, financial condition or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Federal and state regulatory agencies frequently adopt changes to their regulations or change the way existing regulations are applied, which are more fully discussed above in Item I. Business -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In addition, recent </w:t>
      </w:r>
      <w:r>
        <w:rPr>
          <w:rFonts w:ascii="Times New Roman;serif" w:hAnsi="Times New Roman;serif"/>
          <w:b w:val="false"/>
          <w:color w:val="000000"/>
          <w:sz w:val="20"/>
        </w:rPr>
        <w:t xml:space="preserve">changes in the U.S. political landscape have increased the risk of deregulation of certain aspects of the financial services and banking sector, including a more relaxed enforcement policy with respect to digital assets and FinTech companies. Our profitability depends, in part, upon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3840"/>
                <wp:effectExtent l="0" t="0" r="0" b="0"/>
                <wp:wrapNone/>
                <wp:docPr id="39" name="Frame3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ability to successfully compete with these other financial service providers and to maintain and increase market share and less regulation lowers the barrier for entry in the financial services and banking sectors, increasing our competition. </w:t>
      </w:r>
    </w:p>
    <w:p>
      <w:pPr>
        <w:pStyle w:val="TextBody"/>
        <w:bidi w:val="0"/>
        <w:spacing w:lineRule="auto" w:line="288" w:before="200" w:after="283"/>
        <w:jc w:val="left"/>
        <w:rPr/>
      </w:pPr>
      <w:r>
        <w:rPr>
          <w:rFonts w:ascii="Times New Roman;serif" w:hAnsi="Times New Roman;serif"/>
          <w:b w:val="false"/>
          <w:color w:val="000000"/>
          <w:sz w:val="20"/>
          <w:shd w:fill="FFFFFF" w:val="clear"/>
        </w:rPr>
        <w:t>These legislative and regulatory changes, both the adoption and repeal of laws, may require us to invest significant management attention and resources to make any necessary changes to operate appropriately and efficiently and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Due to Section 162(m) of the Internal Revenue Code (the “Code”), we may not be able to deduct all of the compensation of some executives, including executives of companies we may acquire in the future.</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162(m) of the Code generally limits to $1.0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limited the deductibility of compensation to our covered employees to $1.0 million beginning with the year ended December 31, 2021. The definition of “covered employees” generally includes anyone who served as the chief executive officer during the taxable year; the two highest compensated executive officers (other than the chief executive officer), determined under SEC rules; and any individual who was a covered employee, including of a “predecessor company,” at any point during a taxable year beginning on or after January 1, 2017, even after the employee terminates employment.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Notably, under the American Rescue Plan Act of 2021, or the ARPA, which was signed into law on March 11, 2021, for tax years beginning after December 31, 2026, the definition of “covered employees” will be expanded to include FinWise Bancorp’s next five highest paid employees (in addition, pursuant to proposed Treasury Regulations, to the chief executive officer, the chief financial officer and the </w:t>
      </w:r>
      <w:r>
        <w:rPr>
          <w:rFonts w:ascii="Times New Roman;serif" w:hAnsi="Times New Roman;serif"/>
          <w:b w:val="false"/>
          <w:color w:val="000000"/>
          <w:sz w:val="20"/>
        </w:rPr>
        <w:t>three other highest compensated executive officers</w:t>
      </w:r>
      <w:r>
        <w:rPr>
          <w:rFonts w:ascii="Times New Roman;serif" w:hAnsi="Times New Roman;serif"/>
          <w:b w:val="false"/>
          <w:color w:val="000000"/>
          <w:sz w:val="20"/>
          <w:shd w:fill="FFFFFF" w:val="clear"/>
        </w:rPr>
        <w:t>).</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result of the foregoing, we may not be able to deduct all of the compensation paid in 2025 and future years if compensation paid to “covered employees” exceeds the thresholds established by Section 162(m) of the Code. Losing deductions under Section 162(m) of the Code could increase our income taxes and reduce our net income. A reduction in net income could negatively affect our results of operations and the price of our stock.</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Because of the Dodd-Frank Act and related rulemaking, the Company is subject to more stringent capital requirements.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Federal and state banking agencies periodically conduct examinations of our business, including our compliance with laws and regulations, and our failure to comply with any regulatory actions, if any, could adversely impact us.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part of the bank regulatory process, the Federal Reserve, the FDIC and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Financial institutions, such as the Bank, face risks of noncompliance and enforcement actions related to the Bank Secrecy Act and other anti-money laundering statutes and regulations.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3840"/>
                <wp:effectExtent l="0" t="0" r="0" b="0"/>
                <wp:wrapNone/>
                <wp:docPr id="40" name="Frame4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Administration and the IRS. There is also increased scrutiny of compliance with the sanctions programs and rules administered and enforced by the Treasury Department’s Office of Foreign Assets Control.</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Regulations relating to privacy, information security and data protection could increase our costs, affect or limit how we collect and use personal information and adversely affect our business opportunities.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For example, in March 2022, Utah enacted the Utah Consumer Privacy Act, which provides for an additional state level regulation. Also, the Federal Trade Commission has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Federal Trade Commission claimed were deceptive because of their use of dark patterns, and this has led to numerous enforcement actions, staff reports, and statements by Federal Trade Commission officials scrutinizing marketing and disclosure practices of financial technology companies.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r>
        <w:rPr>
          <w:color w:val="000000"/>
        </w:rPr>
        <w:t xml:space="preserve"> </w:t>
      </w:r>
    </w:p>
    <w:p>
      <w:pPr>
        <w:pStyle w:val="TextBody"/>
        <w:bidi w:val="0"/>
        <w:spacing w:lineRule="auto" w:line="288" w:before="200" w:after="283"/>
        <w:jc w:val="left"/>
        <w:rPr/>
      </w:pPr>
      <w:r>
        <w:rPr>
          <w:rFonts w:ascii="Times New Roman;serif" w:hAnsi="Times New Roman;serif"/>
          <w:b/>
          <w:color w:val="000000"/>
          <w:sz w:val="20"/>
          <w:shd w:fill="FFFFFF" w:val="clear"/>
        </w:rPr>
        <w:t>We</w:t>
      </w:r>
      <w:r>
        <w:rPr>
          <w:color w:val="000000"/>
        </w:rPr>
        <w:t xml:space="preserve"> </w:t>
      </w:r>
      <w:r>
        <w:rPr>
          <w:rFonts w:ascii="Times New Roman;serif" w:hAnsi="Times New Roman;serif"/>
          <w:b/>
          <w:i/>
          <w:color w:val="000000"/>
          <w:sz w:val="20"/>
        </w:rPr>
        <w:t>are subject to numerous laws and regulations, designed to protect consumers, including the Community Reinvestment Act and fair lending laws, and failure to comply with these laws or regulations could lead to a wide variety of sanctions.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3840"/>
                <wp:effectExtent l="0" t="0" r="0" b="0"/>
                <wp:wrapNone/>
                <wp:docPr id="41" name="Frame4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Private parties may also challenge an institution’s performance under fair lending laws in private class action litigation. Such actions could have a material adverse effect on our reputation,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may be subject to liability for potential violations of predatory lending laws, which could adversely impact our results of operations, financial condition and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 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Regulatory agencies and consumer advocacy groups have asserted claims that the practices of lenders and loan servicers result in a disparate impact on protected classes.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 Further, the CFPB has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In addition to reputational harm, violations of FHA and ECOA can result in actual damages, punitive damages, injunctive or equitable relief, attorneys’ fees and civil money penalties.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Increases in FDIC insurance premiums could adversely affect our earnings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The deposits of our Bank are insured by the FDIC up to legal limits and, accordingly, subject it to the payment of FDIC deposit insurance assessments as determined according to the calculation described in “Supervision and Regulation—Deposit Insurance.” In October 2022, the FDIC issued a final rule to increase the initial base deposit insurance assessment rate by two basis points for all insured depository institutions beginning in 2023.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rPr>
        <w:t>Climate change</w:t>
      </w:r>
      <w:r>
        <w:rPr>
          <w:color w:val="000000"/>
        </w:rPr>
        <w:t xml:space="preserve"> </w:t>
      </w:r>
      <w:r>
        <w:rPr>
          <w:rFonts w:ascii="Times New Roman;serif" w:hAnsi="Times New Roman;serif"/>
          <w:b/>
          <w:color w:val="000000"/>
          <w:sz w:val="20"/>
        </w:rPr>
        <w:t>a</w:t>
      </w:r>
      <w:r>
        <w:rPr>
          <w:rFonts w:ascii="Times New Roman;serif" w:hAnsi="Times New Roman;serif"/>
          <w:b/>
          <w:i/>
          <w:color w:val="000000"/>
          <w:sz w:val="20"/>
        </w:rPr>
        <w:t>nd related legislative and regulatory initiatives may materially affect our business and results of operations.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effects of climate change continue to raise significant concerns about the state of the environment. Federal and state policy approaches to climate change continue to evolve, and changes in legislative or regulatory priorities could alter the requirements and expectations placed on businesses, including banks, to address climate-related risks. The lack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3840"/>
                <wp:effectExtent l="0" t="0" r="0" b="0"/>
                <wp:wrapNone/>
                <wp:docPr id="42" name="Frame4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empirical data regarding the financial and credit risks posed by climate change still makes it difficult to predict its specific impact on our financial condition and results of operations. However, the physical effects of climate change, such as more frequent and severe weather disasters, could directly affect us. For instance, such events may damage real property securing loans in our portfolios or reduce the value of that collateral. If our borrowers’ insurance is insufficient to cover these losses or if insurance becomes unavailable, the value of the collateral securing our loans could be negatively affected, potentially impacting our financial condition and results of operations. Moreover, climate change may adversely affect regional and local economic activity, harming our clients and the communities in which we operate. </w:t>
      </w:r>
    </w:p>
    <w:p>
      <w:pPr>
        <w:pStyle w:val="TextBody"/>
        <w:bidi w:val="0"/>
        <w:spacing w:lineRule="auto" w:line="288" w:before="200" w:after="283"/>
        <w:jc w:val="left"/>
        <w:rPr/>
      </w:pPr>
      <w:r>
        <w:rPr>
          <w:rFonts w:ascii="Times New Roman;serif" w:hAnsi="Times New Roman;serif"/>
          <w:b w:val="false"/>
          <w:color w:val="000000"/>
          <w:sz w:val="20"/>
          <w:shd w:fill="FFFFFF" w:val="clear"/>
        </w:rPr>
        <w:t>In addition, our offices may be vulnerable to the adverse effects of climate change. We have a substantial physical presence in the Salt Lake City, Utah, region that is prone to events such as seismic activity, drought, water scarcity and severe weather. This region has experienced and may continue to experience, climate-related events at an increasing rate. Although we maintain a disaster response plan and insurance, such events could disrupt our business, the business of our customers or third-party suppliers, and may cause us to experience losses and additional costs to maintain and resume operations.</w:t>
      </w:r>
      <w:r>
        <w:rPr>
          <w:color w:val="000000"/>
        </w:rPr>
        <w:t xml:space="preserve"> </w:t>
      </w:r>
      <w:r>
        <w:rPr>
          <w:rFonts w:ascii="Times New Roman;serif" w:hAnsi="Times New Roman;serif"/>
          <w:b w:val="false"/>
          <w:color w:val="000000"/>
          <w:sz w:val="20"/>
        </w:rPr>
        <w:t xml:space="preserve">Regardless of changes in federal policy, the effects of climate change and its unknown long-term impacts could still have a material adverse effect on our financial condition and results of operations. </w:t>
      </w:r>
    </w:p>
    <w:p>
      <w:pPr>
        <w:pStyle w:val="TextBody"/>
        <w:bidi w:val="0"/>
        <w:spacing w:lineRule="auto" w:line="288" w:before="200" w:after="283"/>
        <w:jc w:val="left"/>
        <w:rPr/>
      </w:pPr>
      <w:r>
        <w:rPr>
          <w:rFonts w:ascii="Times New Roman;serif" w:hAnsi="Times New Roman;serif"/>
          <w:b/>
          <w:i/>
          <w:color w:val="000000"/>
          <w:sz w:val="20"/>
        </w:rPr>
        <w:t>Evolving ESG expectations could increase our costs and risks.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investor, and stakeholder expectations around environmental, social, and governance (“ESG”) practices continue to evolve, potentially increasing compliance costs and operational burdens. Recent shifts in U.S. policies have altered the landscape of ESG practices. The Trump Administration has rolled back several climate initiatives and withdrawn from international agreements, such as the Paris Climate Accord. These changes may reduce certain compliance requirements but also introduce uncertainty regarding future regulations. Stakeholders, including investors and customers, continue to scrutinize corporate ESG practices, and failure to meet their evolving expectations could impact our reputation and financial performance. Additionally, state-level regulations and international standards may impose differing ESG requirements, leading to potential operational complexities. </w:t>
      </w:r>
    </w:p>
    <w:p>
      <w:pPr>
        <w:pStyle w:val="TextBody"/>
        <w:bidi w:val="0"/>
        <w:spacing w:lineRule="auto" w:line="288" w:before="200" w:after="283"/>
        <w:jc w:val="left"/>
        <w:rPr/>
      </w:pPr>
      <w:r>
        <w:rPr>
          <w:rFonts w:ascii="Times New Roman;serif" w:hAnsi="Times New Roman;serif"/>
          <w:b/>
          <w:color w:val="000000"/>
          <w:sz w:val="20"/>
          <w:shd w:fill="FFFFFF" w:val="clear"/>
        </w:rPr>
        <w:t>Risks Related to Ownership of Our Common Stock</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The market price of our common stock may be subject to substantial fluctuations, which may make it difficult for you to sell your shares at the volume, prices and times desired.</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pStyle w:val="TextBody"/>
        <w:bidi w:val="0"/>
        <w:spacing w:lineRule="auto" w:line="288" w:before="200" w:after="283"/>
        <w:jc w:val="left"/>
        <w:rPr/>
      </w:pPr>
      <w:r>
        <w:rPr>
          <w:rFonts w:ascii="Times New Roman;serif" w:hAnsi="Times New Roman;serif"/>
          <w:b w:val="false"/>
          <w:color w:val="000000"/>
          <w:sz w:val="20"/>
          <w:shd w:fill="FFFFFF" w:val="clear"/>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executive management and board of directors have significant control over our business.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 xml:space="preserve">of December 31, 2025, our directors and executive officers beneficially owned an aggregate of 3,183,677 shares, or approximately 23.3% of our </w:t>
      </w:r>
      <w:r>
        <w:rPr>
          <w:rFonts w:ascii="Times New Roman;serif" w:hAnsi="Times New Roman;serif"/>
          <w:b w:val="false"/>
          <w:color w:val="000000"/>
          <w:sz w:val="20"/>
          <w:shd w:fill="FFFFFF" w:val="clear"/>
        </w:rPr>
        <w:t>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We are an emerging growth company and smaller reporting company, and the reduced regulatory and reporting requirements applicable to emerging growth companies and smaller reporting companies may make our common stock less attractive to investors.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3840"/>
                <wp:effectExtent l="0" t="0" r="0" b="0"/>
                <wp:wrapNone/>
                <wp:docPr id="43" name="Frame4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advisory votes on executive compensation or golden parachute payments. The JOBS </w:t>
      </w:r>
      <w:r>
        <w:rPr>
          <w:rFonts w:ascii="Times New Roman;serif" w:hAnsi="Times New Roman;serif"/>
          <w:b w:val="false"/>
          <w:color w:val="000000"/>
          <w:sz w:val="20"/>
        </w:rPr>
        <w:t>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w:t>
      </w:r>
      <w:r>
        <w:rPr>
          <w:rFonts w:ascii="Times New Roman;serif" w:hAnsi="Times New Roman;serif"/>
          <w:b w:val="false"/>
          <w:color w:val="000000"/>
          <w:sz w:val="20"/>
          <w:shd w:fill="FFFFFF" w:val="clear"/>
        </w:rPr>
        <w:t>her, the JOBS Act allows us to present only two years of audited financial statements and only two years of related management’s discussion and analysis of financial condition and results of operations.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We may take advantage of some or all of these provisions for up to five years or such earlier time as we cease to qualify as an emerging growth company, which will occur if we have more than $1.235 billion in total annual gross revenue, if we issue more than $1.0 billion of non-convertible debt in a three-year period, or if we become a “large accelerated filer,” in which case we would no longer be an emerging growth company as of the following December 31.</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Provisions in our governing documents and Utah law may have an anti-takeover effect, and there are substantial regulatory limitations on changes of control of bank holding companies.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pStyle w:val="TextBody"/>
        <w:bidi w:val="0"/>
        <w:spacing w:lineRule="auto" w:line="288" w:before="200" w:after="283"/>
        <w:jc w:val="left"/>
        <w:rPr/>
      </w:pPr>
      <w:r>
        <w:rPr>
          <w:rFonts w:ascii="Times New Roman;serif" w:hAnsi="Times New Roman;serif"/>
          <w:b w:val="false"/>
          <w:color w:val="000000"/>
          <w:sz w:val="20"/>
          <w:shd w:fill="FFFFFF" w:val="clear"/>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Articles and Bylaws contain an exclusive forum provision that limits the judicial forums where our shareholders may initiate derivative actions and certain other legal proceedings against us and our directors and officers.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Articles and Bylaws provide that the United States District Court for the District of Utah and any Utah state court sitting in Salt Lake County, Utah will, to the fullest extent permitted by law, be the sole and exclusive forum for (a)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3840"/>
                <wp:effectExtent l="0" t="0" r="0" b="0"/>
                <wp:wrapNone/>
                <wp:docPr id="44" name="Frame4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derivative action or proceeding brought on our behalf, (b) any action asserting a claim of breach of a fiduciary duty owed by any of our directors, officers or other employees to the Company or the Company’s shareholders, (c) any action asserting a claim against us or any of our directors or officers arising pursuant to the Utah Revised Business Corporation Act, our Articles, or our Bylaws, or (d) any other action asserting a claim against us or any of our directors or officers that is governed by the internal affairs doctrine. The choice of forum provision in our Articles and Bylaws may limit our shareholders’ ability to obtain a favorable judicial forum for disputes with us. Alternatively, if a court were to find the 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r>
        <w:rPr>
          <w:color w:val="000000"/>
        </w:rPr>
        <w:t xml:space="preserve"> </w:t>
      </w:r>
    </w:p>
    <w:p>
      <w:pPr>
        <w:pStyle w:val="TextBody"/>
        <w:bidi w:val="0"/>
        <w:spacing w:lineRule="auto" w:line="288" w:before="200" w:after="283"/>
        <w:jc w:val="left"/>
        <w:rPr/>
      </w:pPr>
      <w:r>
        <w:rPr>
          <w:rFonts w:ascii="Times New Roman;serif" w:hAnsi="Times New Roman;serif"/>
          <w:b/>
          <w:i/>
          <w:color w:val="000000"/>
          <w:sz w:val="20"/>
          <w:shd w:fill="FFFFFF" w:val="clear"/>
        </w:rPr>
        <w:t>Our common stock is not an insured deposit and is subject to risk of loss.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 is exposed to cybersecurity threats and incidents that can range from uncoordinated individual attempts to gain unauthorized access to information systems to sophisticated and targeted measures known as advanced persistent threats, directed at the Company or its third party service providers. Our customers, strategic relationships and regulators expect us to maintain a suitable cybersecurity posture to identify, protect, detect, respond and recover from incidents that may impact the confidentiality, integrity and availability of sensitive information we possess.</w:t>
      </w:r>
      <w:r>
        <w:rPr>
          <w:color w:val="000000"/>
        </w:rPr>
        <w:t xml:space="preserve"> </w:t>
      </w:r>
      <w:r>
        <w:rPr>
          <w:rFonts w:ascii="Times New Roman;serif" w:hAnsi="Times New Roman;serif"/>
          <w:b w:val="false"/>
          <w:color w:val="000000"/>
          <w:sz w:val="20"/>
          <w:shd w:fill="FFFFFF" w:val="clear"/>
        </w:rPr>
        <w:t>We evaluate the risks of data theft (including theft of sensitive, proprietary and other data categories, in addition to personal data), harm to customer or third party relationships and litigation or regulatory investigation or actions that could materially adversely affect our financial condition, results of operations and reputation. Cybersecurity risk is assessed and managed primarily through our technology, risk management, and audit teams and is overseen by our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Bank’s Information Security Officer (“ISO”), who reports to our Chief Compliance &amp; Risk Officer, is directly responsible for assessing and managing cybersecurity risks pursuant to the Company’s Information Security Program, which is approved by our Board of Directors periodically. The current ISO has more than 5 years of cybersecurity experience and holds multiple industry certifications.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ISO provides our Board of Directors with periodic reports regarding the Company’s cybersecurity condition, key activities and recommendations for improvement of the Information Security Program. The ISO coordinates any incident responses with members of the Company’s executive management, regulators and third parties. The ISO also reports any matter relating to cybersecurity incident responses and control deficiencies to our Board of Directors and its Audit Committee,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cybersecurity department of the Bank’s Information Technology (“IT”) department is responsible for the day-to-day operations of our cybersecurity controls and defenses. The department is managed by the Bank’s IT Security Manager, who reports to the Bank’s Chief Technology Officer. The current IT Security Manager has more than 14 years of technology and cybersecurity experience. Our Chief Technology Officer periodically reports information about the Company’s cybersecurity risks and operational developments to our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IT department provides the ISO with access to its operations and alerts regarding cybersecurity events. Events that could become cybersecurity incidents are reviewed and evaluated by the ISO in consultation with the IT department. Documented escalation procedures are tested regularly as part of tabletop exercises and other activities and include notification to executive management during qualifying cybersecurity incidents. The IT department shares responsibility with the ISO for identifying and prioritizing improvements to the Company’s cybersecurity capabilities and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Bank’s IT Steering Committee, comprising the ISO and members of the Company’s executive management and IT department, generally meets on a monthly basis to review developments regarding the Company’s cybersecurity risks, defenses and remediation activities. Minutes of the meetings of the IT Steering Committee are regularly reviewed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3840"/>
                <wp:effectExtent l="0" t="0" r="0" b="0"/>
                <wp:wrapNone/>
                <wp:docPr id="45" name="Frame4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perform periodic risk assessments of the Company’s information systems based on regulatory guidance issued by the Federal Financial Institutions Examination Council (“FFIEC”) and state and federal regulators, including the FDIC and the UDFI. We use multiple real-time and interval-based monitoring and reporting mechanisms to detect and respond to cybersecurity incidents. We also engage multiple independent third parties or cyber experts to detect and defend against cybersecurity threats and to assess information security programs and practices including penetration testing. Additionally, we participate in various cybersecurity industry forums and have access to law enforcement analyses regarding current threats.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ISO, along with the Bank’s Third-Party Oversight Committee, evaluates cybersecurity risks and information systems of third parties whose information systems support important Company operations or with whom the Company has significant business relationships at onboarding, on an ongoing basis and upon termination of the business relationship. Such evaluations may include reviews of reports or performing assessments of a third party’s information systems pursuant to established cybersecurity frameworks such as International Organization for Standardization (“ISO”) ISO 27001 or Cybersecurity Framework (“CSF”) published by the US National Institute of Standards and Technology, as well as reviews of reports issued by a third party’s auditors developed under the attestation standards issued by the American Institute of Certified Public Accountants (“AICPA”). When appropriate, the Company may include additional risk mitigation measures in its onboarding requirements for third parties to address any identified risk factors, such as minimum required information security performance agreements to enable cybersecurity threats and incidents to be managed within applicable industry or regulatory standards, disclosure obligations requiring reporting to the Company of the occurrence and mitigation of cybersecurity threats and incidents, and requirements to maintain adequate levels of cybersecurity insurance coverage.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a cybersecurity incident occurs, whether detected internally or from a third party, we evaluate the incident for criticality and potential materiality and disclosure. We consider various factors in assessing the materiality of a cybersecurity incident, including the potential for misappropriation, destruction, corruption or unavailability of critical data and confidential or proprietary information (our own or that of third parties) and business operation disruption, and may consult with external advisors, experts or legal counsel in connection with our assessment. We have escalation procedures to notify members of our executive management, Board of Directors and regulators in a timely manner based on the criticality and materiality of any cybersecurity incident.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we have experienced, and expect to continue to experience, cybersecurity threats, we did not experience any material cybersecurity incident in the year ended December 31, 2025. We may nevertheless be unsuccessful in the future in preventing or mitigating a cybersecurity incident that could have a material adverse effect on us. For additional information regarding cybersecurity risks, see “Risk Factors - Risks Related to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headquarters office is currently located at 756 East Winchester, Suite 100, Murray, UT 84107. The following table summarizes pertinent details of our leased office properties.</w:t>
      </w:r>
    </w:p>
    <w:tbl>
      <w:tblPr>
        <w:tblW w:w="6516" w:type="dxa"/>
        <w:jc w:val="left"/>
        <w:tblInd w:w="0" w:type="dxa"/>
        <w:tblLayout w:type="fixed"/>
        <w:tblCellMar>
          <w:top w:w="28" w:type="dxa"/>
          <w:left w:w="28" w:type="dxa"/>
          <w:bottom w:w="28" w:type="dxa"/>
          <w:right w:w="28" w:type="dxa"/>
        </w:tblCellMar>
      </w:tblPr>
      <w:tblGrid>
        <w:gridCol w:w="435"/>
        <w:gridCol w:w="382"/>
        <w:gridCol w:w="383"/>
        <w:gridCol w:w="109"/>
        <w:gridCol w:w="109"/>
        <w:gridCol w:w="109"/>
        <w:gridCol w:w="250"/>
        <w:gridCol w:w="250"/>
        <w:gridCol w:w="251"/>
        <w:gridCol w:w="109"/>
        <w:gridCol w:w="109"/>
        <w:gridCol w:w="109"/>
        <w:gridCol w:w="504"/>
        <w:gridCol w:w="504"/>
        <w:gridCol w:w="506"/>
        <w:gridCol w:w="109"/>
        <w:gridCol w:w="109"/>
        <w:gridCol w:w="109"/>
        <w:gridCol w:w="604"/>
        <w:gridCol w:w="604"/>
        <w:gridCol w:w="86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Owned/</w:t>
              <w:b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Lease</w:t>
              <w:b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Office</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Murray,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Headquarters</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Sandy, 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Retail Bank Branch</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w:t>
      </w:r>
      <w:r>
        <w:rPr>
          <w:color w:val="000000"/>
        </w:rPr>
        <w:t xml:space="preserve"> </w:t>
      </w:r>
      <w:r>
        <w:rPr>
          <w:rFonts w:ascii="Times New Roman;serif" w:hAnsi="Times New Roman;serif"/>
          <w:b w:val="false"/>
          <w:color w:val="000000"/>
          <w:sz w:val="20"/>
        </w:rPr>
        <w:t xml:space="preserve">facilities, which are used by each of our reportable segments, are in </w:t>
      </w:r>
      <w:r>
        <w:rPr>
          <w:rFonts w:ascii="Times New Roman;serif" w:hAnsi="Times New Roman;serif"/>
          <w:b w:val="false"/>
          <w:color w:val="000000"/>
          <w:sz w:val="20"/>
          <w:shd w:fill="FFFFFF" w:val="clear"/>
        </w:rPr>
        <w:t>good condition and</w:t>
      </w:r>
      <w:r>
        <w:rPr>
          <w:color w:val="000000"/>
        </w:rPr>
        <w:t xml:space="preserve"> </w:t>
      </w:r>
      <w:r>
        <w:rPr>
          <w:rFonts w:ascii="Times New Roman;serif" w:hAnsi="Times New Roman;serif"/>
          <w:b w:val="false"/>
          <w:color w:val="000000"/>
          <w:sz w:val="20"/>
        </w:rPr>
        <w:t xml:space="preserve">are adequate to meet our operating needs for the foreseeable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Between July and August 2025, several lawsuits were filed against the Company in the United States District Court for the District of Utah. The complaints generally assert claims of negligence, breach of implied contract and unjust enrichment, on behalf of various classes of putative individuals who claimed to have been harmed in connection with an alleged data breach involving the Company. The plaintiffs are seeking equitable and injunctive relief as well as an unspecified amount of monetary damages in connection with their claims, which include an award of attorneys’ fees and costs. On October 3, 2025, the Court entered an Order consolidating the pending cases and all subsequently filed putative class actions involving the same or substantially the same obligations into the pending matter into Minter et. al v. FinWise Bank et. al, Case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3840"/>
                <wp:effectExtent l="0" t="0" r="0" b="0"/>
                <wp:wrapNone/>
                <wp:docPr id="46" name="Frame4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2:25-cv-00569-JNP-CMR. The Company has disputed the claims and is vigorously defending the lawsuit. The parties engaged in voluntary mediation on March 17, 2026, but were unable to reach an agreement on that date.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outcome of the pending litigation described above is uncertain. We intend to defend vigorously against the foregoing pending lawsuit and any other lawsuits as they may arise in the ordinary course of business. However, litigation is inherently uncertain, and we are unable to predict the outcome of these lawsuits. We also cannot provide any assurance that the ultimate resolution of any lawsuits will not have a material adverse effect on our reputation, business, prospects, results of operations or financial condition. For additional information concerning contingencies and uncertainties, see Note 9 - Commitments and Contingencies, of the Notes to the Consolidated Financial Statements included in Part II,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3840"/>
                <wp:effectExtent l="0" t="0" r="0" b="0"/>
                <wp:wrapNone/>
                <wp:docPr id="47" name="Frame4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Market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common stock has been publicly traded since November 19, 2021 and is currently traded on the Nasdaq Global Market under the Symbol “FINW.”</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Holders of Record</w:t>
      </w:r>
    </w:p>
    <w:p>
      <w:pPr>
        <w:pStyle w:val="TextBody"/>
        <w:bidi w:val="0"/>
        <w:spacing w:lineRule="auto" w:line="288" w:before="200" w:after="283"/>
        <w:jc w:val="left"/>
        <w:rPr/>
      </w:pPr>
      <w:r>
        <w:rPr>
          <w:rFonts w:ascii="Times New Roman;serif" w:hAnsi="Times New Roman;serif"/>
          <w:b w:val="false"/>
          <w:color w:val="000000"/>
          <w:sz w:val="20"/>
          <w:shd w:fill="FFFFFF" w:val="clear"/>
        </w:rPr>
        <w:t>There were approximat</w:t>
      </w:r>
      <w:r>
        <w:rPr>
          <w:rFonts w:ascii="Times New Roman;serif" w:hAnsi="Times New Roman;serif"/>
          <w:b w:val="false"/>
          <w:color w:val="000000"/>
          <w:sz w:val="20"/>
        </w:rPr>
        <w:t>ely 88 shareholders of record of the Company’s common stock as of March 16, 2026. This nu</w:t>
      </w:r>
      <w:r>
        <w:rPr>
          <w:rFonts w:ascii="Times New Roman;serif" w:hAnsi="Times New Roman;serif"/>
          <w:b w:val="false"/>
          <w:color w:val="000000"/>
          <w:sz w:val="20"/>
          <w:shd w:fill="FFFFFF" w:val="clear"/>
        </w:rPr>
        <w:t>mber does not reflect the number of persons or entities holding stock in nominee name through banks, brokerage firms or other nominees.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Sales of Unregistered Securities and Issuer Repurchases of Equity Securities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There were no unregistered sales of the Company’s common stock during the fourth 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does not obligate us to purchase any particular number of shares. There were no repurchases of our common stock during the </w:t>
      </w:r>
      <w:r>
        <w:rPr>
          <w:rFonts w:ascii="Times New Roman;serif" w:hAnsi="Times New Roman;serif"/>
          <w:b w:val="false"/>
          <w:color w:val="000000"/>
          <w:sz w:val="20"/>
        </w:rPr>
        <w:t>three months ended December 31, 2025</w:t>
      </w:r>
      <w:r>
        <w:rPr>
          <w:rFonts w:ascii="Times New Roman;serif" w:hAnsi="Times New Roman;serif"/>
          <w:b w:val="false"/>
          <w:color w:val="000000"/>
          <w:sz w:val="20"/>
          <w:shd w:fill="FFFFFF" w:val="clear"/>
        </w:rPr>
        <w:t xml:space="preserve">. At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597,224 shares remain available for repurchase.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Compensation Plan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information regarding securities authorized for issuance under the Company’s equity compensation plans, see Part III, 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3840"/>
                <wp:effectExtent l="0" t="0" r="0" b="0"/>
                <wp:wrapNone/>
                <wp:docPr id="48" name="Frame4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of our financial condition and results of operations should be read together with our consolidated financial statements and related notes thereto and other financial information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FinWise Bancorp, Inc. is a Utah corporation and the parent company of FinWise Bank and FinWise Investment, LLC. The Company is a registered bank holding company that is subject to supervision by Utah Department of Financial Institutions (“UDFI”) and the Federal Reserve. The Company’s assets consist primarily of its investment in the Bank and all of its material business activities are conducted through the Bank. As a Utah state-chartered bank that is not a member of the Federal Reserve System, the Bank is separately subject to regulations and supervision by both the UDFI and the Federal Deposit Insurance Corporation (“FDIC”). The Bank’s deposits are federally insured up to the maximum legal limits.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capital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markets across the United States. These relationships were developed to support our ability to generate significant loan volume across diverse consumer and commercial markets and have been the primary source of our growth and our consistent ability to operate profitability since developing our third-party loan origination business. Our track record has demonstrated that our products and delivery of the products help deliver sustainable asset growth and strong profitability, and that the characteristics of our business model enhances our ability to manage credit risk. </w:t>
      </w:r>
      <w:r>
        <w:rPr>
          <w:rFonts w:ascii="Times New Roman;serif" w:hAnsi="Times New Roman;serif"/>
          <w:b w:val="false"/>
          <w:color w:val="000000"/>
          <w:sz w:val="20"/>
        </w:rPr>
        <w:t>We gather deposits in the Salt Lake City, Utah MSA through our one branch and nationwide from our Strategic Program service providers, SBA 7(a) borrowers, institutional deposit exchanges, brokered deposit arrangements and other deposit sources.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condition and results of operations depend primarily on our ability to (i) originate loans and leases directly, or by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lending focuses on two main lending areas: (i) traditional lending which includes SBA 7(a) loans, residential and commercial real estate, and commercial leasing; and (ii) Strategic Programs lending which includes held-for-sale, credit enhanced, and retained loans. For a description and analysis of the Company’s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our consolidated financial statements in accordance with U.S. GAAP requires us to make estimates and judgments that affect our reported amounts of assets, liabilities, revenues, expenses and related disclosures of contingent assets and liabilities. These estimates are based on historical experience and other reasonable assumptions under current circumstances, the results of which form the basis for making judgments about the carrying value of certain assets and liabilities that are not readily determinable from other sources. We review these estimates regularly. Actual results may differ from these estimates.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considers the determination of our allowance for credit losses to be a critical accounting estimate, as it involves making difficult, subjective, or complex judgments about inherently uncertain matters. Changes in this estimate, whether due to evolving circumstances from period to period or the use of other reasonable assumptions, could materially affect our financial position, results of operations, or liquidity. For further details on our accounting policy related to this estimate, refer to Note 1 – Summary of Significant Accounting Policies to the consolidated financial statements included in Part II, Item 8.</w:t>
      </w:r>
    </w:p>
    <w:p>
      <w:pPr>
        <w:pStyle w:val="TextBody"/>
        <w:bidi w:val="0"/>
        <w:spacing w:lineRule="auto" w:line="288" w:before="200" w:after="283"/>
        <w:jc w:val="left"/>
        <w:rPr/>
      </w:pPr>
      <w:r>
        <w:rPr>
          <w:rFonts w:ascii="Times New Roman;serif" w:hAnsi="Times New Roman;serif"/>
          <w:b/>
          <w:i/>
          <w:color w:val="000000"/>
          <w:sz w:val="20"/>
          <w:shd w:fill="FFFFFF" w:val="clear"/>
        </w:rPr>
        <w:t>Allowance for Credit Losses (“ACL”).</w:t>
      </w:r>
      <w:r>
        <w:rPr>
          <w:color w:val="000000"/>
          <w:shd w:fill="FFFFFF" w:val="clear"/>
        </w:rPr>
        <w:t xml:space="preserve"> </w:t>
      </w:r>
      <w:r>
        <w:rPr>
          <w:rFonts w:ascii="Times New Roman;serif" w:hAnsi="Times New Roman;serif"/>
          <w:b w:val="false"/>
          <w:color w:val="000000"/>
          <w:sz w:val="20"/>
          <w:shd w:fill="FFFFFF" w:val="clear"/>
        </w:rPr>
        <w:t xml:space="preserve">The ACL represents management’s estimate of expected credit losses on financial assets measured at amortized cost. The ACL is evaluated and measured on a collective basis for loans that share similar risk characteristics. At each reporting date, we assess whether loans within a given pool continue to exhibit similar risk characteristics or whether certain loans should be evaluated individually. Expected credit losses are estimated over the contractual term of each loan, adjusted for expected prepayments. Accordingly, assumptions regarding loan life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3840"/>
                <wp:effectExtent l="0" t="0" r="0" b="0"/>
                <wp:wrapNone/>
                <wp:docPr id="49" name="Frame4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significant impact on the ACL. The Company segments its loan portfolio in a manner consistent with how credit risk is managed.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utilizes multiple approaches to estimate expected credit losses, depending on the loan segment: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Approach: For certain loan segments, the Company applies a non-discounted cash flow approach using loan</w:t>
        <w:noBreakHyphen/>
        <w:t xml:space="preserve">level assumptions and relevant information from internal and external sources related to historical experience, current conditions, and reasonable and supportable forecasts.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Approach: For other loan segments, the Company employs a vintage</w:t>
        <w:noBreakHyphen/>
        <w:t xml:space="preserve">based approach that evaluates cumulative loss performance by origination period. Expected losses for each product are anchored to the most severe loss experience observed for comparable vintages at a similar stage of seasoning. This methodology is designed to conservatively estimate losses over the life of the product, even for unseasoned vintages.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ACL also includes qualitative reserves for expected losses that may not be fully captured by the quantitative models. Qualitative factors considered include, among others, general business and economic conditions, borrower financial condition, and the volume and severity of past</w:t>
        <w:noBreakHyphen/>
        <w:t xml:space="preserve">due and nonaccrual loans. Based on this assessment, the Company records a provision for credit losses to maintain the ACL at a level deemed appropriate by management. </w:t>
      </w:r>
    </w:p>
    <w:p>
      <w:pPr>
        <w:pStyle w:val="TextBody"/>
        <w:bidi w:val="0"/>
        <w:spacing w:lineRule="auto" w:line="288" w:before="200" w:after="283"/>
        <w:jc w:val="left"/>
        <w:rPr/>
      </w:pPr>
      <w:r>
        <w:rPr>
          <w:rFonts w:ascii="Times New Roman;serif" w:hAnsi="Times New Roman;serif"/>
          <w:b w:val="false"/>
          <w:color w:val="000000"/>
          <w:sz w:val="20"/>
          <w:shd w:fill="FFFFFF" w:val="clear"/>
        </w:rPr>
        <w:t>The determination of the ACL is considered a critical accounting estimate, as it requires significant judgment and the use of subjective assumptions, including management’s evaluation of overall portfolio quality. The Company maintains the ACL at an amount it believes is sufficient to cover expected credit losses inherent in the loan portfolio as of each balance sheet date. Chang</w:t>
      </w:r>
      <w:r>
        <w:rPr>
          <w:rFonts w:ascii="Times New Roman;serif" w:hAnsi="Times New Roman;serif"/>
          <w:b w:val="false"/>
          <w:color w:val="000000"/>
          <w:sz w:val="20"/>
        </w:rPr>
        <w:t xml:space="preserve">es in economic conditions or portfolio composition may result in fluctuations in the provision for credit losses. </w:t>
      </w:r>
    </w:p>
    <w:p>
      <w:pPr>
        <w:pStyle w:val="TextBody"/>
        <w:bidi w:val="0"/>
        <w:spacing w:lineRule="auto" w:line="288" w:before="200" w:after="283"/>
        <w:jc w:val="left"/>
        <w:rPr/>
      </w:pPr>
      <w:r>
        <w:rPr>
          <w:rFonts w:ascii="Times New Roman;serif" w:hAnsi="Times New Roman;serif"/>
          <w:b w:val="false"/>
          <w:color w:val="000000"/>
          <w:sz w:val="20"/>
        </w:rPr>
        <w:t>The ACL increased from $13.2 million at December 31, 2024, to $36.8 million at December 31, 2025. This increase was primarily driven by growth in loan balances, including a significant increase in credit</w:t>
        <w:noBreakHyphen/>
        <w:t>enhanced balances, which increased from $0.9 million at December 31, 2024 to $108.1 million at December 31, 2025</w:t>
      </w:r>
      <w:r>
        <w:rPr>
          <w:rFonts w:ascii="Times New Roman;serif" w:hAnsi="Times New Roman;serif"/>
          <w:b w:val="false"/>
          <w:color w:val="000000"/>
          <w:sz w:val="20"/>
          <w:shd w:fill="FFFFFF" w:val="clear"/>
        </w:rPr>
        <w:t>. For additional information, see Note 3 – Loans to the consolidated financial statements included in Part II, Item 8.</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Changes in assumptions and estimates may materially affect the ACL and, in turn, the Company’s financial position, liquidity, and results of operations. To assess the sensitivity of the ACL to changes in key assumptions, management performed a hypothetical sensitivity analysis focused on the national unemployment forecast. All model inputs and assumptions were held constant except for unemployment, which was stressed from the baseline 12-month forecast provided by Fannie Mae (ranging from 4.5% to 4.6%) to a theoretical 9.0% over the full 12 month forecast period. Incorporating this stressed forecast into both the quantitative and qualitative components of the CECL framework resulted in an incremental $1.7 million increase in the ACL, representing an approximate 4.7% increase. This stressed forecast scenario would have the allowance to total loans and leases increase </w:t>
      </w:r>
      <w:r>
        <w:rPr>
          <w:rFonts w:ascii="Times New Roman;serif" w:hAnsi="Times New Roman;serif"/>
          <w:b w:val="false"/>
          <w:color w:val="000000"/>
          <w:sz w:val="20"/>
        </w:rPr>
        <w:t>from 6.3% to 6.5% at</w:t>
      </w:r>
      <w:r>
        <w:rPr>
          <w:color w:val="000000"/>
          <w:shd w:fill="FFFFFF" w:val="clear"/>
        </w:rPr>
        <w:t xml:space="preserve">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executive summary provides certain 2025 and 2024 consolidated financial highlights from the discussion and analysis that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Originations of total loans increased by $1.1 billion to $6.1 billion for the year ended December 31, 2025 compared to the year ended December 31, 2024. New strategic programs and organic growth through certain established strategic programs contributed to the increase in loan originations.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interest margin (“NIM”) was 9.23% for the year ended December 31, 2025, compared to 9.99% for the year ended December 31, 2024. NIM is impacted by income earned from interest-earning assets and interest costs incurred on interest-bearing liabilities.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FinWise generated net income of $16.1 million and $12.7 million for the year ended December 31, 2025 and 2024, respectively. Net income increased as we benefited from the past investment in expansion of our product offerings.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assets increased by $231.2 million to $977.1 million as of December 31, 2025 compared to December 31, 2024, principally in our Strategic Program loans held-for-sale and credit enhanced Strategic Program loans held-for-investment. We believe our strong capital levels support our current and planned growth strategy.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3840"/>
                <wp:effectExtent l="0" t="0" r="0" b="0"/>
                <wp:wrapNone/>
                <wp:docPr id="50" name="Frame5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Fintech Relationships and Program Launches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developed the following relationships and program offerings with fintech companies: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announced our new strategic lending program with Backd Business Funding (“Backd”) to provide business installment loans to small and medium-sized businesses. We also provided Backd with access to our credit enhanced balance sheet program.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entered into a strategic program agreement with DreamFi, Inc. to support underserved and underbanked communities.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entered into a program management, network issuer processor and servicer agreement with Tallied Technologies, Inc. (“Tallied”) with the intent to deliver credit card products and card processing solutions to Fintechs, their businesses, and their customers. As a result of this partnership, FinWise issued two Mastercard co-branded credit cards and purchased an existing credit card portfolio. FinWise will serve as the issuing bank, provide compliance and risk management oversight and credit enhanced balance sheet support for the card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Launched existing partner Plannery on MoneyRails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payment servicing of loans that the Bank originates.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entered into the following new strategic program relationships: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FinWise Bank and Albert entered into a strategic partnership to jointly launch lending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enhanced our portfolio of private student loan products through our new strategic lending program with Earnest, to help students and their families with education financing.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announced our strategic payments program with FUTR Payments (formerly Hank Payments Corp.) to support automated payment processing and remittance capabilities.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announced our new strategic lending program with Plannery to offer a debt consolidation platform exclusively for healthcare professionals. Additionally, we are providing Plannery with access to our Credit Enhancement Program.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announced the launch of a new strategic lending program with PowerPay to offer consumers a simple and affordable lending solution for home improvement and elective health care purchases.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Payments (MoneyRails™) and Bank Identification Number (“BIN”) Sponsorship products which, together with our Strategic Programs, comprise the Bank’s Fintech Banking and Payment Solutions offerings. Payments (MoneyRails™) connects our customers to the Bank’s API-driven banking services ledger.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3840"/>
                <wp:effectExtent l="0" t="0" r="0" b="0"/>
                <wp:wrapNone/>
                <wp:docPr id="51" name="Frame5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color w:val="000000"/>
          <w:sz w:val="20"/>
          <w:shd w:fill="FFFFFF" w:val="clear"/>
        </w:rPr>
        <w:t xml:space="preserve">Results of Operations for the Years Ended December 31, </w:t>
      </w:r>
      <w:r>
        <w:rPr>
          <w:rFonts w:ascii="Times New Roman;serif" w:hAnsi="Times New Roman;serif"/>
          <w:b/>
          <w:color w:val="000000"/>
          <w:sz w:val="20"/>
        </w:rPr>
        <w:t>2025</w:t>
      </w:r>
      <w:r>
        <w:rPr>
          <w:color w:val="000000"/>
          <w:shd w:fill="FFFFFF" w:val="clear"/>
        </w:rPr>
        <w:t xml:space="preserve"> </w:t>
      </w:r>
      <w:r>
        <w:rPr>
          <w:rFonts w:ascii="Times New Roman;serif" w:hAnsi="Times New Roman;serif"/>
          <w:b/>
          <w:color w:val="000000"/>
          <w:sz w:val="20"/>
          <w:shd w:fill="FFFFFF" w:val="clear"/>
        </w:rPr>
        <w:t xml:space="preserve">and </w:t>
      </w:r>
      <w:r>
        <w:rPr>
          <w:rFonts w:ascii="Times New Roman;serif" w:hAnsi="Times New Roman;serif"/>
          <w:b/>
          <w:color w:val="000000"/>
          <w:sz w:val="20"/>
        </w:rPr>
        <w:t>2024</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principal components of net income for the periods indicated:</w:t>
      </w:r>
    </w:p>
    <w:tbl>
      <w:tblPr>
        <w:tblW w:w="4734" w:type="dxa"/>
        <w:jc w:val="left"/>
        <w:tblInd w:w="0" w:type="dxa"/>
        <w:tblLayout w:type="fixed"/>
        <w:tblCellMar>
          <w:top w:w="28" w:type="dxa"/>
          <w:left w:w="28" w:type="dxa"/>
          <w:bottom w:w="28" w:type="dxa"/>
          <w:right w:w="28" w:type="dxa"/>
        </w:tblCellMar>
      </w:tblPr>
      <w:tblGrid>
        <w:gridCol w:w="826"/>
        <w:gridCol w:w="725"/>
        <w:gridCol w:w="729"/>
        <w:gridCol w:w="211"/>
        <w:gridCol w:w="721"/>
        <w:gridCol w:w="109"/>
        <w:gridCol w:w="109"/>
        <w:gridCol w:w="109"/>
        <w:gridCol w:w="109"/>
        <w:gridCol w:w="211"/>
        <w:gridCol w:w="721"/>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 xml:space="preserve">December 31, </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Interest Income and NIM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was the primary contributor to our earnings in 2025 and 2024.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increased $13.3 million for the year ended December 31, 2025, compared to the year ended December 31, 2024 primarily due to volume increases in the loans held-for-investment and loans held-for-sale portfolios and was partially offset by increased volume in the certificates of deposit portfolio. Average interest-earning assets increased by $192.1 million for the year ended December 31, 2025 compared to the year ended December 31, 2024, while the related yield on average interest earning assets decreased by 77 basis points to 11.83%. Average interest-bearing liabilities increased by $166.4 million for the year ended December 31, 2025 compared to the year ended December 31, 2024, while the related cost of funds decreased 55 basis points to 4.02%.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NIM decreased to 9.23% for the year ended December 31, 2025 from 9.99% for the year ended December 31, 2024 primarily as a result of our increased lending to lower risk borrowers with lower yields on loans as part of our strategy to reduce average credit risk in the loan portfolio, which was offset in part by the growth in the higher yielding credit enhanced portfolio of $107.2 million.</w:t>
      </w:r>
    </w:p>
    <w:p>
      <w:pPr>
        <w:pStyle w:val="TextBody"/>
        <w:bidi w:val="0"/>
        <w:spacing w:lineRule="auto" w:line="288" w:before="200" w:after="283"/>
        <w:jc w:val="left"/>
        <w:rPr/>
      </w:pPr>
      <w:r>
        <w:rPr>
          <w:rFonts w:ascii="Times New Roman;serif" w:hAnsi="Times New Roman;serif"/>
          <w:b w:val="false"/>
          <w:i/>
          <w:color w:val="000000"/>
          <w:sz w:val="20"/>
          <w:shd w:fill="FFFFFF" w:val="clear"/>
        </w:rPr>
        <w:t>Average Balances and Yields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following table presents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 Loan fees are included in interest income on loans and represent net fees of approximately $2.0 million and $2.8 million for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3840"/>
                <wp:effectExtent l="0" t="0" r="0" b="0"/>
                <wp:wrapNone/>
                <wp:docPr id="52" name="Frame5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97"/>
        <w:gridCol w:w="617"/>
        <w:gridCol w:w="449"/>
        <w:gridCol w:w="211"/>
        <w:gridCol w:w="826"/>
        <w:gridCol w:w="109"/>
        <w:gridCol w:w="109"/>
        <w:gridCol w:w="109"/>
        <w:gridCol w:w="109"/>
        <w:gridCol w:w="211"/>
        <w:gridCol w:w="721"/>
        <w:gridCol w:w="109"/>
        <w:gridCol w:w="109"/>
        <w:gridCol w:w="109"/>
        <w:gridCol w:w="109"/>
        <w:gridCol w:w="338"/>
        <w:gridCol w:w="338"/>
        <w:gridCol w:w="460"/>
        <w:gridCol w:w="109"/>
        <w:gridCol w:w="109"/>
        <w:gridCol w:w="109"/>
        <w:gridCol w:w="211"/>
        <w:gridCol w:w="826"/>
        <w:gridCol w:w="109"/>
        <w:gridCol w:w="109"/>
        <w:gridCol w:w="109"/>
        <w:gridCol w:w="109"/>
        <w:gridCol w:w="211"/>
        <w:gridCol w:w="721"/>
        <w:gridCol w:w="109"/>
        <w:gridCol w:w="109"/>
        <w:gridCol w:w="109"/>
        <w:gridCol w:w="109"/>
        <w:gridCol w:w="337"/>
        <w:gridCol w:w="339"/>
        <w:gridCol w:w="521"/>
      </w:tblGrid>
      <w:tr>
        <w:trPr/>
        <w:tc>
          <w:tcPr>
            <w:tcW w:w="7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 xml:space="preserve">Yield/Rate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Yield/Rate</w:t>
            </w:r>
          </w:p>
        </w:tc>
      </w:tr>
      <w:tr>
        <w:trPr/>
        <w:tc>
          <w:tcPr>
            <w:tcW w:w="1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Loans held-for-investment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income and interest rate spread</w:t>
            </w:r>
            <w:r>
              <w:rPr>
                <w:rFonts w:ascii="Times New Roman;serif" w:hAnsi="Times New Roman;serif"/>
                <w:b w:val="false"/>
                <w:color w:val="000000"/>
                <w:sz w:val="13"/>
              </w:rPr>
              <w:t>(2)</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interest margin</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5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155.07</w:t>
            </w:r>
          </w:p>
        </w:tc>
        <w:tc>
          <w:tcPr>
            <w:tcW w:w="4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174.58</w:t>
            </w:r>
          </w:p>
        </w:tc>
        <w:tc>
          <w:tcPr>
            <w:tcW w:w="5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Loans placed on nonaccrual status are included in loan balances. See “Nonperforming Assets” below.</w:t>
      </w:r>
    </w:p>
    <w:p>
      <w:pPr>
        <w:pStyle w:val="TextBody"/>
        <w:bidi w:val="0"/>
        <w:spacing w:lineRule="auto" w:line="288" w:before="20" w:after="283"/>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Net interest margin is net interest income, expressed as a percentage of average earning assets.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Rate/Volume Analysis. </w:t>
      </w:r>
      <w:r>
        <w:rPr>
          <w:rFonts w:ascii="Times New Roman;serif" w:hAnsi="Times New Roman;serif"/>
          <w:b w:val="false"/>
          <w:color w:val="000000"/>
          <w:sz w:val="20"/>
          <w:shd w:fill="FFFFFF" w:val="clear"/>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3840"/>
                <wp:effectExtent l="0" t="0" r="0" b="0"/>
                <wp:wrapNone/>
                <wp:docPr id="53" name="Frame5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56"/>
        <w:gridCol w:w="1811"/>
        <w:gridCol w:w="1807"/>
        <w:gridCol w:w="211"/>
        <w:gridCol w:w="673"/>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57"/>
      </w:tblGrid>
      <w:tr>
        <w:trPr/>
        <w:tc>
          <w:tcPr>
            <w:tcW w:w="215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December 31, </w:t>
            </w:r>
          </w:p>
        </w:tc>
        <w:tc>
          <w:tcPr>
            <w:tcW w:w="702" w:type="dxa"/>
            <w:gridSpan w:val="6"/>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components of the provision for credit losses for the periods indicated:</w:t>
      </w:r>
    </w:p>
    <w:tbl>
      <w:tblPr>
        <w:tblW w:w="9746" w:type="dxa"/>
        <w:jc w:val="left"/>
        <w:tblInd w:w="0" w:type="dxa"/>
        <w:tblLayout w:type="fixed"/>
        <w:tblCellMar>
          <w:top w:w="28" w:type="dxa"/>
          <w:left w:w="28" w:type="dxa"/>
          <w:bottom w:w="28" w:type="dxa"/>
          <w:right w:w="28" w:type="dxa"/>
        </w:tblCellMar>
      </w:tblPr>
      <w:tblGrid>
        <w:gridCol w:w="1613"/>
        <w:gridCol w:w="1418"/>
        <w:gridCol w:w="14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435"/>
        <w:gridCol w:w="436"/>
        <w:gridCol w:w="316"/>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21,453.2 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unfunded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is a charge to income to bring our ACL to a level deemed appropriate by management and approved by our board of directors. We determine the provision for credit losses monthly in connection with our evaluation of the adequacy of our ACL. For a description of the factors we considered in determining the ACL see Allowance for credit losses presented in Note 1 - Summary of Significant Accounting Policies included in Part II, Item 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credit losses for the year ended December 31, 2025, compared to the same period in 2024 resulted primarily from growth in the credit enhancement loan portfolio as well as higher net charge-offs resulting from the adoption of more conservative servicing and administration standards which prompted an accelerated classification of nonperforming loans and charge-offs.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3840"/>
                <wp:effectExtent l="0" t="0" r="0" b="0"/>
                <wp:wrapNone/>
                <wp:docPr id="54" name="Frame5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Non-interest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major categories of non-interest income for the periods indicated:</w:t>
      </w:r>
    </w:p>
    <w:tbl>
      <w:tblPr>
        <w:tblW w:w="8890" w:type="dxa"/>
        <w:jc w:val="left"/>
        <w:tblInd w:w="0" w:type="dxa"/>
        <w:tblLayout w:type="fixed"/>
        <w:tblCellMar>
          <w:top w:w="28" w:type="dxa"/>
          <w:left w:w="28" w:type="dxa"/>
          <w:bottom w:w="28" w:type="dxa"/>
          <w:right w:w="28" w:type="dxa"/>
        </w:tblCellMar>
      </w:tblPr>
      <w:tblGrid>
        <w:gridCol w:w="1303"/>
        <w:gridCol w:w="1144"/>
        <w:gridCol w:w="115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433"/>
        <w:gridCol w:w="438"/>
        <w:gridCol w:w="316"/>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21,453.2 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increase in total non-interest income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compared to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was primarily due to increases in credit enhanced loan balances of </w:t>
      </w:r>
      <w:r>
        <w:rPr>
          <w:rFonts w:ascii="Times New Roman;serif" w:hAnsi="Times New Roman;serif"/>
          <w:b w:val="false"/>
          <w:color w:val="000000"/>
          <w:sz w:val="20"/>
        </w:rPr>
        <w:t>$107.2 million</w:t>
      </w:r>
      <w:r>
        <w:rPr>
          <w:color w:val="000000"/>
          <w:shd w:fill="FFFFFF" w:val="clear"/>
        </w:rPr>
        <w:t xml:space="preserve"> </w:t>
      </w:r>
      <w:r>
        <w:rPr>
          <w:rFonts w:ascii="Times New Roman;serif" w:hAnsi="Times New Roman;serif"/>
          <w:b w:val="false"/>
          <w:color w:val="000000"/>
          <w:sz w:val="20"/>
          <w:shd w:fill="FFFFFF" w:val="clear"/>
        </w:rPr>
        <w:t xml:space="preserve">which generated higher credit enhancement income. Additionally, the increased sales of the guaranteed portions of SBA 7(a) loans led to an increase in gains on loan sales, while higher originations resulted in increased Strategic Program fees. Other miscellaneous income also increased, largely because of a charge in the prior year period of $0.9 million to remove unamortized broker premiums upon calling $160.0 million of callable certificates of deposits, an increase in dividends received from our investment in BFG of </w:t>
      </w:r>
      <w:r>
        <w:rPr>
          <w:rFonts w:ascii="Times New Roman;serif" w:hAnsi="Times New Roman;serif"/>
          <w:b w:val="false"/>
          <w:color w:val="000000"/>
          <w:sz w:val="20"/>
        </w:rPr>
        <w:t>$0.9 million</w:t>
      </w:r>
      <w:r>
        <w:rPr>
          <w:color w:val="000000"/>
          <w:shd w:fill="FFFFFF" w:val="clear"/>
        </w:rPr>
        <w:t xml:space="preserve"> </w:t>
      </w:r>
      <w:r>
        <w:rPr>
          <w:rFonts w:ascii="Times New Roman;serif" w:hAnsi="Times New Roman;serif"/>
          <w:b w:val="false"/>
          <w:color w:val="000000"/>
          <w:sz w:val="20"/>
          <w:shd w:fill="FFFFFF" w:val="clear"/>
        </w:rPr>
        <w:t>as well as an increase in operating lease rental income of $1.0 million. Offsetting these non-interest income increases in part was a decrease in SBA loan servicing fees, net, due to an increase in the provision for SBA servicing losses resulting from a change in assumptions used in valuing the SBA servicing asset.</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Non-interest Expense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Non-interest expense has increased as we have grown and as we have expanded and modernized our operational infrastructure and continued to implement our plan to build an efficient, integrated fintech banking operation with significant capacity for growth.</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major categories of non-interest expense for the periods indicated:</w:t>
      </w:r>
    </w:p>
    <w:tbl>
      <w:tblPr>
        <w:tblW w:w="8696" w:type="dxa"/>
        <w:jc w:val="left"/>
        <w:tblInd w:w="0" w:type="dxa"/>
        <w:tblLayout w:type="fixed"/>
        <w:tblCellMar>
          <w:top w:w="28" w:type="dxa"/>
          <w:left w:w="28" w:type="dxa"/>
          <w:bottom w:w="28" w:type="dxa"/>
          <w:right w:w="28" w:type="dxa"/>
        </w:tblCellMar>
      </w:tblPr>
      <w:tblGrid>
        <w:gridCol w:w="1195"/>
        <w:gridCol w:w="1049"/>
        <w:gridCol w:w="105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486"/>
        <w:gridCol w:w="490"/>
        <w:gridCol w:w="31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servicing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guarantee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111,846.3 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total non-interest expense for the year ended December 31, 2025, compared to the same period in 2024, was primarily due to an increase in credit enhancement program expenses related to growth in credit enhanced loans and an increase in salaries and employee benefits of which $1.7 million was attributable to the amortization of deferred compensation awards incurred to retain and motivate our employees. The increases in other operating expenses were primarily due to expenditures on computer software of $1.5 million and operating lease depreciation of $0.8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3840"/>
                <wp:effectExtent l="0" t="0" r="0" b="0"/>
                <wp:wrapNone/>
                <wp:docPr id="55" name="Frame5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offsetting these non-interest expense increases was a decrease in professional services primarily resulting from a reduction in contract services of $1.0 million connected to the development of various programs that launched during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totaled $5.7 million at an effective tax rate of 26.1% for the year ended December 31, 2025, compared to $4.2 million at an effective tax rate of 25.0% for the year ended December 31, 2024. The increase in provision for income taxes and the effective tax rate from the prior year period was principally due to an increase in the exclusion of compensation expense for highly compensated individuals and the apportionment of income between states with various tax rates.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net income for the year ended December 31, 2025, compared to the same period in 2024, was primarily the result of the factors discussed in the foregoing sections.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Segment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further described in Note 17, Segments, in Part I, Item 8 of this Report, during the third quarter of 2025, we implemented segment reporting following the completion of a technology initiative to capture segment-specific financial data and develop reports used by our chief operating decision maker (“CODM”) to review our financial performance and determine how to allocate resources. Our operations are comprised of three reportable segments: traditional banking, banking as a service and treasury and administration.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periods prior to July 1, 2025, our operations were managed and reported as a single segment, and historical financial data by segment was not maintained. Accordingly, it is not practicable to present segment information for prior periods. 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 provides segment information for the period indicated (dollars in thousands):</w:t>
      </w:r>
    </w:p>
    <w:tbl>
      <w:tblPr>
        <w:tblW w:w="10205" w:type="dxa"/>
        <w:jc w:val="left"/>
        <w:tblInd w:w="0" w:type="dxa"/>
        <w:tblLayout w:type="fixed"/>
        <w:tblCellMar>
          <w:top w:w="28" w:type="dxa"/>
          <w:left w:w="28" w:type="dxa"/>
          <w:bottom w:w="28" w:type="dxa"/>
          <w:right w:w="28" w:type="dxa"/>
        </w:tblCellMar>
      </w:tblPr>
      <w:tblGrid>
        <w:gridCol w:w="943"/>
        <w:gridCol w:w="657"/>
        <w:gridCol w:w="628"/>
        <w:gridCol w:w="109"/>
        <w:gridCol w:w="109"/>
        <w:gridCol w:w="109"/>
        <w:gridCol w:w="274"/>
        <w:gridCol w:w="938"/>
        <w:gridCol w:w="142"/>
        <w:gridCol w:w="109"/>
        <w:gridCol w:w="109"/>
        <w:gridCol w:w="109"/>
        <w:gridCol w:w="211"/>
        <w:gridCol w:w="721"/>
        <w:gridCol w:w="109"/>
        <w:gridCol w:w="109"/>
        <w:gridCol w:w="109"/>
        <w:gridCol w:w="109"/>
        <w:gridCol w:w="239"/>
        <w:gridCol w:w="818"/>
        <w:gridCol w:w="123"/>
        <w:gridCol w:w="109"/>
        <w:gridCol w:w="109"/>
        <w:gridCol w:w="109"/>
        <w:gridCol w:w="333"/>
        <w:gridCol w:w="1169"/>
        <w:gridCol w:w="175"/>
        <w:gridCol w:w="109"/>
        <w:gridCol w:w="109"/>
        <w:gridCol w:w="109"/>
        <w:gridCol w:w="211"/>
        <w:gridCol w:w="721"/>
        <w:gridCol w:w="158"/>
      </w:tblGrid>
      <w:tr>
        <w:trPr/>
        <w:tc>
          <w:tcPr>
            <w:tcW w:w="9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3840"/>
                <wp:effectExtent l="0" t="0" r="0" b="0"/>
                <wp:wrapNone/>
                <wp:docPr id="56" name="Frame5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and incurs interest expense for the deposits or borrowings obtained to support the businesses. The internal interest flows are eliminated at the consolidated level through the intersegment/eliminations column.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BaaS segment’s strong performance for the year ended December 31, 2025 underscores the success of our Strategic Program initiatives, while traditional banking continues to provide a stable business. Treasury and administration remains focused on optimizing liquidity and supporting the funding needs of our other operating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Looking ahead, we expect continued growth in BaaS as we expand our fintech partnerships and product offerings. Traditional banking performance will be influenced by interest rate trends and treasury and administration will remain focused on optimizing liquidity and supporting business growth. We continue to monitor regulatory developments and market conditions that may impact segment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Condition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summarizes selected components of our 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777"/>
        <w:gridCol w:w="1502"/>
        <w:gridCol w:w="1502"/>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85"/>
        <w:gridCol w:w="288"/>
        <w:gridCol w:w="318"/>
      </w:tblGrid>
      <w:tr>
        <w:trPr/>
        <w:tc>
          <w:tcPr>
            <w:tcW w:w="177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banks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 at lower of cost or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to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Interest-Bearing Deposits in Other Banks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interest-bearing deposits in other banks from December 31, 2025 to December 31, 2024, was primarily due to deposits received in late December from strategic partners with student loan programs in anticipation of increased activity in January 2026. Aside from minimal balances held with our correspondent banks, the majority of our interest-bearing deposits are held at the Federal Reserve.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classify investment securities as either held-to-maturity (“HTM”) or available-for-sale (“AFS”) based on our intentions and our ability to hold such securities until maturity. In determining such classifications, securities that we have the intent and the ability to hold until maturity are classified as HTM and carried at amortized cost. All other securities are designated as AFS and carried at estimated fair value with unrealized gains and losses included in shareholders’ equity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3840"/>
                <wp:effectExtent l="0" t="0" r="0" b="0"/>
                <wp:wrapNone/>
                <wp:docPr id="57" name="Frame5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summarizes the weighted-average yields of our investment securities at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weighted average yield of investment securities was calculated using the sum of all interest that the investments generate, divided by the average book value. There are no tax-exempt securities.</w:t>
      </w:r>
    </w:p>
    <w:tbl>
      <w:tblPr>
        <w:tblW w:w="10156" w:type="dxa"/>
        <w:jc w:val="left"/>
        <w:tblInd w:w="0" w:type="dxa"/>
        <w:tblLayout w:type="fixed"/>
        <w:tblCellMar>
          <w:top w:w="28" w:type="dxa"/>
          <w:left w:w="28" w:type="dxa"/>
          <w:bottom w:w="28" w:type="dxa"/>
          <w:right w:w="28" w:type="dxa"/>
        </w:tblCellMar>
      </w:tblPr>
      <w:tblGrid>
        <w:gridCol w:w="1109"/>
        <w:gridCol w:w="973"/>
        <w:gridCol w:w="977"/>
        <w:gridCol w:w="297"/>
        <w:gridCol w:w="297"/>
        <w:gridCol w:w="741"/>
        <w:gridCol w:w="109"/>
        <w:gridCol w:w="109"/>
        <w:gridCol w:w="109"/>
        <w:gridCol w:w="255"/>
        <w:gridCol w:w="256"/>
        <w:gridCol w:w="560"/>
        <w:gridCol w:w="109"/>
        <w:gridCol w:w="109"/>
        <w:gridCol w:w="109"/>
        <w:gridCol w:w="308"/>
        <w:gridCol w:w="245"/>
        <w:gridCol w:w="619"/>
        <w:gridCol w:w="109"/>
        <w:gridCol w:w="109"/>
        <w:gridCol w:w="109"/>
        <w:gridCol w:w="295"/>
        <w:gridCol w:w="295"/>
        <w:gridCol w:w="744"/>
        <w:gridCol w:w="109"/>
        <w:gridCol w:w="109"/>
        <w:gridCol w:w="109"/>
        <w:gridCol w:w="255"/>
        <w:gridCol w:w="256"/>
        <w:gridCol w:w="366"/>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sales or transfers of investment securities between classifications during the years ended December 31, 2025 and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there were seventeen securities, consisting of eight collateralized mortgage obligations and nine mortgage-backed securities, in an unrealized loss position as of December 31, 2025 and twenty-two securities, consisting of four U.S. Treasuries, eight collateralized mortgage obligations and ten mortgage-backed securities, in an unrealized loss position as of December 31, 2024.</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Strategic Program Loans Held-for-Sale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through our Strategic Program service providers, offer unsecured and secured consumer and business loans to borrowers within certain approved credit profiles nationwide. Loans originated through these programs are limited to predetermined Bank underwriting criteria, which has been approved by our board of directors. We generally retain the loans and/or receivables for one to four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loans held-for-sale increased $54.9 million as of December 31, 2025 compared to December 31, 2024, primarily as a result of greater hold periods for new originations for certain programs and a higher level of originations in 2025 compared to 2024.</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Loans Held-for-Investment Portfolio</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3840"/>
                <wp:effectExtent l="0" t="0" r="0" b="0"/>
                <wp:wrapNone/>
                <wp:docPr id="58" name="Frame5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gross loan portfolio held-for-investment by loan program as of the periods indicated:</w:t>
      </w:r>
    </w:p>
    <w:tbl>
      <w:tblPr>
        <w:tblW w:w="9678" w:type="dxa"/>
        <w:jc w:val="left"/>
        <w:tblInd w:w="0" w:type="dxa"/>
        <w:tblLayout w:type="fixed"/>
        <w:tblCellMar>
          <w:top w:w="28" w:type="dxa"/>
          <w:left w:w="28" w:type="dxa"/>
          <w:bottom w:w="28" w:type="dxa"/>
          <w:right w:w="28" w:type="dxa"/>
        </w:tblCellMar>
      </w:tblPr>
      <w:tblGrid>
        <w:gridCol w:w="1615"/>
        <w:gridCol w:w="1417"/>
        <w:gridCol w:w="1423"/>
        <w:gridCol w:w="211"/>
        <w:gridCol w:w="826"/>
        <w:gridCol w:w="109"/>
        <w:gridCol w:w="109"/>
        <w:gridCol w:w="109"/>
        <w:gridCol w:w="109"/>
        <w:gridCol w:w="308"/>
        <w:gridCol w:w="308"/>
        <w:gridCol w:w="335"/>
        <w:gridCol w:w="109"/>
        <w:gridCol w:w="109"/>
        <w:gridCol w:w="109"/>
        <w:gridCol w:w="211"/>
        <w:gridCol w:w="826"/>
        <w:gridCol w:w="109"/>
        <w:gridCol w:w="109"/>
        <w:gridCol w:w="109"/>
        <w:gridCol w:w="109"/>
        <w:gridCol w:w="308"/>
        <w:gridCol w:w="308"/>
        <w:gridCol w:w="383"/>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w:t>
              <w:br/>
              <w:t>total</w:t>
              <w:br/>
              <w:t xml:space="preserve">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w:t>
              <w:br/>
              <w:t>total</w:t>
              <w:br/>
              <w:t xml:space="preserve">loans </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(1)SBA loans as of December 31, 2025 and December 31, 2024 include $102.7 million and $158.7 million, respectively, of SBA 7(a) loan balances that are guaranteed by the SBA.</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our loan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SBA</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originate and service loans partially guaranteed by the SBA under its Section 7(a) loan program for small businesses and professionals throughout the United States.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 </w:t>
      </w:r>
    </w:p>
    <w:p>
      <w:pPr>
        <w:pStyle w:val="TextBody"/>
        <w:bidi w:val="0"/>
        <w:spacing w:lineRule="auto" w:line="288" w:before="200" w:after="283"/>
        <w:jc w:val="left"/>
        <w:rPr/>
      </w:pPr>
      <w:r>
        <w:rPr>
          <w:rFonts w:ascii="Times New Roman;serif" w:hAnsi="Times New Roman;serif"/>
          <w:b w:val="false"/>
          <w:color w:val="000000"/>
          <w:sz w:val="20"/>
        </w:rPr>
        <w:t xml:space="preserve">As of December 31, 2025 and December 31, 2024, we had total SBA 7(a) loans of $205.6 million and $255.1 million, respectively, representing 35.1% and 54.8% of our total loans held-for-investment, respectively. </w:t>
      </w:r>
      <w:r>
        <w:rPr>
          <w:rFonts w:ascii="Times New Roman;serif" w:hAnsi="Times New Roman;serif"/>
          <w:b w:val="false"/>
          <w:color w:val="000000"/>
          <w:sz w:val="20"/>
          <w:shd w:fill="FFFFFF" w:val="clear"/>
        </w:rPr>
        <w:t xml:space="preserve">Loans are sourced primarily through our referral relationship with BFG. Although BFG actively markets throughout the United States, we have developed a lending presence in the New York and New Jersey geographies due to its physical location in New York. The maximum SBA 7(a) loan amount is $5.0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w:t>
      </w:r>
      <w:r>
        <w:rPr>
          <w:rFonts w:ascii="Times New Roman;serif" w:hAnsi="Times New Roman;serif"/>
          <w:b w:val="false"/>
          <w:color w:val="000000"/>
          <w:sz w:val="20"/>
        </w:rPr>
        <w:t xml:space="preserve">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guaranteed held-for-investment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3840"/>
                <wp:effectExtent l="0" t="0" r="0" b="0"/>
                <wp:wrapNone/>
                <wp:docPr id="59" name="Frame5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 growth and an increased recurring stream of interest income and partially offset the decline in gain-on-sale revenue. During the third quarter of 2024 and considering the wider spreads on sale of SBA loans available, FinWise resumed selling limited amounts of SBA loans.</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Commercial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we had total commercial leases of $78.7 million and $70.2 million, respectively, representing 13.4% and 15.1% of our total loans held-for-investment, respectively. Underwriting for smaller credit requests is generally scorecard-based.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underwriting considerations. These leases are generally secured by liens on business assets leased or purchased with our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Commercial, non-real estate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Commercial non-real estate loans consist of loans and leases made to commercial enterprises that are not secured by real estate. </w:t>
      </w:r>
      <w:r>
        <w:rPr>
          <w:rFonts w:ascii="Times New Roman;serif" w:hAnsi="Times New Roman;serif"/>
          <w:b w:val="false"/>
          <w:color w:val="000000"/>
          <w:sz w:val="20"/>
        </w:rPr>
        <w:t>As of December 31, 2025 and December 31, 2024, we had total commercial non-real estate loans of $4.2 million and $3.7 million, respectively, representing 0.7% and 0.8%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are included in this product loan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Residential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2025 and December 31, 2024, we had total residential real estate loans of $59.6 million and $51.6 million, respectively, representing 10.2% and 11.1%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the general market conditions associated with the area and type of project being funded in addition to the borrower’s financial condition and ability to meet the required debt obligation. These loans are generally secured by mortgages for residential property located primarily in the Salt Lake City, Utah MSA, and we obtain guarantees from responsible parties. Historically, we have retained these loans on our consolidated balance sheets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Strategic Program service providers, we issue unsecured and secured consumer and business loans to borrowers within certain approved credit profiles nationwide. Although we have generally sold most of these loans, we may choose to hold more of the funded loans and/or receivables based on a number of factors including the amount of our available capital. Loans originated through the Strategic Program are limited to predetermined Bank underwriting criteria, which has been approved by our board of directors. The primary form of repayment on these loans is from the borrower’s personal or business cash flow. Secured loans are secured by liens on consumer or business assets, as applicable. We reserve the right to sell any portion of funded loans and/or receivables directly to the Strategic Program service providers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3840"/>
                <wp:effectExtent l="0" t="0" r="0" b="0"/>
                <wp:wrapNone/>
                <wp:docPr id="60" name="Frame6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Strategic Program loans with credit enhancement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Strategic Program loans with credit enhancement are distinct from our traditional loan portfolio in that the sponsoring fintech company guarantees the credit and fraud losses associated with these loans. Credit enhanced Strategic Program loans totaled $108.1 million and $0.9 million as of December 31, 2025 and 2024, representing 18.5% and 0.2% of our total loans held-for-investment, respectively. This significant increase reflects the expansion of the credit enhanced program and its impact on our balance sheet. The Reconciliations of Non-GAAP Financial Measures section of this report below further details the impact of the credit enhancement program on our allowance for credit losses and related non-GAAP financial measures.</w:t>
      </w:r>
    </w:p>
    <w:p>
      <w:pPr>
        <w:pStyle w:val="TextBody"/>
        <w:bidi w:val="0"/>
        <w:spacing w:lineRule="auto" w:line="288" w:before="20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Strategic Program loans without credit enhancement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without credit enhancement totaled $21.6 million and $19.2 million as of December 31, 2025 and December 31, 2024, representing 3.7% and 4.1% of our total loans held-for-investment, respectively. Unlike the credit enhanced loans, these non-credit enhanced loans do not benefit from a third-party guarantee or indemnification of credit and fraud losses by the Strategic Program service provider. As a result, the Bank retains the full credit and fraud losses associated with these loans, and they are subject to our standard credit risk management, monitoring, and allowance for credit losses under the CECL model. The accounting for non-credit enhanced Strategic Program loans is consistent with our other held-for-investment loan portfolios. While the non-credit enhanced Strategic Program loans represent a smaller portion of our overall loan portfolio, they provide additional diversification and support our broader fintech strategy.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December 31, 2025 and December 31, 2024, we had total commercial real estate loans of $85.7 million and $42.4 million, respectively, representing 14.6% and 9.1% of our total loans held-for-investment, respectively. Of these amounts, $84.0 million and $41.0 million represented owner occupied properties as of December 31, 2025 and December 31, 2024,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Consumer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Consumer lending provides financing for personal, family, or household purposes on a nationwide basis. Most of these loans are originated through our loan origination system platform and come from a variety of sources, including other approved merchant or dealer relationships and lending platforms. As of December 31, 2025 and December 31, 2024, we had total consumer loans of $21.9 million and $22.2 million, respectively, representing 3.8% and 4.8% of our total loans held-for-investment, respectively. We use a debt-to-income (“DTI”) ratio test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these loans are underwritten as if they were unsecured. On larger loans, we may file a Uniform Commercial Code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3840"/>
                <wp:effectExtent l="0" t="0" r="0" b="0"/>
                <wp:wrapNone/>
                <wp:docPr id="61" name="Frame6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Loan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contractual maturity ranges of loans in our loan portfolio and the amount of such loans with fixed and variable rates in each maturity range as of December 31, 2025:</w:t>
      </w:r>
    </w:p>
    <w:tbl>
      <w:tblPr>
        <w:tblW w:w="9362" w:type="dxa"/>
        <w:jc w:val="left"/>
        <w:tblInd w:w="0" w:type="dxa"/>
        <w:tblLayout w:type="fixed"/>
        <w:tblCellMar>
          <w:top w:w="28" w:type="dxa"/>
          <w:left w:w="28" w:type="dxa"/>
          <w:bottom w:w="28" w:type="dxa"/>
          <w:right w:w="28" w:type="dxa"/>
        </w:tblCellMar>
      </w:tblPr>
      <w:tblGrid>
        <w:gridCol w:w="862"/>
        <w:gridCol w:w="759"/>
        <w:gridCol w:w="7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697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Remaining Contractual Maturity Held-for-Investment</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w:t>
              <w:br/>
              <w:t>One</w:t>
              <w:br/>
              <w:t>Year and</w:t>
              <w:br/>
              <w:t>Through</w:t>
              <w:br/>
              <w:t>Five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Five</w:t>
              <w:br/>
              <w:t>Years and</w:t>
              <w:br/>
              <w:t>Through</w:t>
              <w:br/>
              <w:t>Fifteen</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w:t>
              <w:br/>
              <w:t>Fifteen</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Fixed rate loans: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fixed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Variable rate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variable rate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Nonperforming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unless they are both well secured and in the process of collection.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3840"/>
                <wp:effectExtent l="0" t="0" r="0" b="0"/>
                <wp:wrapNone/>
                <wp:docPr id="62" name="Frame6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loan, or portion of a loan, which we deem to be uncollectible is charged off to the extent of the anticipated loss. In general, the reported balance of commercial loans that are past due for 90 days or more are reduced to the estimated net realizable value. Consumer loans and credit card balances are charged off at no later than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had a total of $43.7 million in nonperforming assets, which included $0.5 million in material loan modifications, at December 31, 2025. The amount of nonperforming assets as of December 31, 2025 includes $24.2 million of SBA 7(a) loan balances that are guaranteed by the SBA. We had $36.5 million in nonperforming assets, which included $0.8 million in material loan modifications, at December 31, 2024. The amount of nonperforming assets as of December 31, 2024 includes $19.2 million of SBA 7(a) loan balances that are guaranteed by the SBA. The increase in nonperforming assets and material loan modifications from the prior year was primarily attributable to the increase in the SBA 7(a) loan portfolio being classified as nonaccrual mainly due to the negative impact of sustained elevated interest rates on our small business borrowers. Due to elevated interest rates, the slowdown of consumer spending and the variable rate nature of our SBA portfolio, the risk of default has become and continues to be elevated and may result in additional delinquencies in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service providers also provide for loan modifications to borrowers. The service providers are authorized to make the loan modifications without prior FinWise consent to react immediately to borrower contact and optimize collections. As of December 31, 2025 and 2024, the balance of outstanding loan modifications was approximately $0.2 million and $4.4 million, respectively.</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Credit Risk Profile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we underwrite loans carefully and thoroughly, limiting our lending activities to those products and services where we have the resources and expertise to lend profitably without undue credit risk. We require all loans to conform to our underwriting policies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credit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to review all loans in our portfolio for accurate risk grading. Any required changes to the loan risk grading are made after the Loan Risk Grade meeting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3840"/>
                <wp:effectExtent l="0" t="0" r="0" b="0"/>
                <wp:wrapNone/>
                <wp:docPr id="63" name="Frame6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held-for-investment due to their small balances and similar characteristics. As credit quality for Strategic Program loans have been highly correlated with delinquency levels, the Strategic Program loans are evaluated collectively for impairment.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Pass - A Pass asset is higher quality and does not fit any of the other categories described below. The likelihood of loss is believed to be remote.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Doubtful - A doubtful asset has an existing weakness or weaknesses that make collection or liquidation in full, on the basis of currently existing facts and conditions, highly questionable and improbable.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288" w:before="200" w:after="283"/>
        <w:jc w:val="left"/>
        <w:rPr/>
      </w:pPr>
      <w:r>
        <w:rPr>
          <w:rFonts w:ascii="Times New Roman;serif" w:hAnsi="Times New Roman;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Credit quality for Strategic Program loans has been highly correlated with delinquency levels.</w:t>
      </w:r>
    </w:p>
    <w:p>
      <w:pPr>
        <w:pStyle w:val="TextBody"/>
        <w:bidi w:val="0"/>
        <w:spacing w:lineRule="auto" w:line="288" w:before="200" w:after="283"/>
        <w:jc w:val="left"/>
        <w:rPr/>
      </w:pPr>
      <w:r>
        <w:rPr>
          <w:rFonts w:ascii="Times New Roman;serif" w:hAnsi="Times New Roman;serif"/>
          <w:b w:val="false"/>
          <w:color w:val="000000"/>
          <w:sz w:val="20"/>
        </w:rPr>
        <w:t xml:space="preserve">See Note 3 - Loans </w:t>
      </w:r>
      <w:r>
        <w:rPr>
          <w:rFonts w:ascii="Times New Roman;serif" w:hAnsi="Times New Roman;serif"/>
          <w:b w:val="false"/>
          <w:color w:val="000000"/>
          <w:sz w:val="20"/>
          <w:shd w:fill="FFFFFF" w:val="clear"/>
        </w:rPr>
        <w:t>to the consolidated financial statements included in Part II, Item 8</w:t>
      </w:r>
      <w:r>
        <w:rPr>
          <w:color w:val="000000"/>
        </w:rPr>
        <w:t xml:space="preserve"> </w:t>
      </w:r>
      <w:r>
        <w:rPr>
          <w:rFonts w:ascii="Times New Roman;serif" w:hAnsi="Times New Roman;serif"/>
          <w:b w:val="false"/>
          <w:color w:val="000000"/>
          <w:sz w:val="20"/>
        </w:rPr>
        <w:t xml:space="preserve">for more information on the credit quality of our loans held-for-investment (“LHFI”) portfolio. </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3840"/>
                <wp:effectExtent l="0" t="0" r="0" b="0"/>
                <wp:wrapNone/>
                <wp:docPr id="64" name="Frame6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changes in the ACL for the periods indicated:</w:t>
      </w:r>
    </w:p>
    <w:tbl>
      <w:tblPr>
        <w:tblW w:w="5544" w:type="dxa"/>
        <w:jc w:val="left"/>
        <w:tblInd w:w="0" w:type="dxa"/>
        <w:tblLayout w:type="fixed"/>
        <w:tblCellMar>
          <w:top w:w="28" w:type="dxa"/>
          <w:left w:w="28" w:type="dxa"/>
          <w:bottom w:w="28" w:type="dxa"/>
          <w:right w:w="28" w:type="dxa"/>
        </w:tblCellMar>
      </w:tblPr>
      <w:tblGrid>
        <w:gridCol w:w="1119"/>
        <w:gridCol w:w="984"/>
        <w:gridCol w:w="987"/>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ACL:</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Charge-offs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Recoveries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allocation of the ACL and the percentage of loans in each category to total loans as of December 31, 2025, and 2024. The ACL related to Strategic Programs constitutes 77.0% and 47.8% of the total ACL while comprising 22.2% and 4.3%, respectively, of total loans held-for-investment as of December 31, 2025 and 2024, respectively. The percentage of ACL related to Strategic Program loans retained reflects the increased credit risks associated with certain retained Strategic Program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3840"/>
                <wp:effectExtent l="0" t="0" r="0" b="0"/>
                <wp:wrapNone/>
                <wp:docPr id="65" name="Frame6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91"/>
        <w:gridCol w:w="806"/>
        <w:gridCol w:w="779"/>
        <w:gridCol w:w="211"/>
        <w:gridCol w:w="721"/>
        <w:gridCol w:w="109"/>
        <w:gridCol w:w="109"/>
        <w:gridCol w:w="109"/>
        <w:gridCol w:w="109"/>
        <w:gridCol w:w="577"/>
        <w:gridCol w:w="478"/>
        <w:gridCol w:w="1199"/>
        <w:gridCol w:w="109"/>
        <w:gridCol w:w="109"/>
        <w:gridCol w:w="109"/>
        <w:gridCol w:w="211"/>
        <w:gridCol w:w="721"/>
        <w:gridCol w:w="109"/>
        <w:gridCol w:w="109"/>
        <w:gridCol w:w="109"/>
        <w:gridCol w:w="109"/>
        <w:gridCol w:w="555"/>
        <w:gridCol w:w="448"/>
        <w:gridCol w:w="1309"/>
      </w:tblGrid>
      <w:tr>
        <w:trPr/>
        <w:tc>
          <w:tcPr>
            <w:tcW w:w="99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December 31, 2025:</w:t>
      </w:r>
    </w:p>
    <w:tbl>
      <w:tblPr>
        <w:tblW w:w="8299" w:type="dxa"/>
        <w:jc w:val="left"/>
        <w:tblInd w:w="0" w:type="dxa"/>
        <w:tblLayout w:type="fixed"/>
        <w:tblCellMar>
          <w:top w:w="28" w:type="dxa"/>
          <w:left w:w="28" w:type="dxa"/>
          <w:bottom w:w="28" w:type="dxa"/>
          <w:right w:w="28" w:type="dxa"/>
        </w:tblCellMar>
      </w:tblPr>
      <w:tblGrid>
        <w:gridCol w:w="1120"/>
        <w:gridCol w:w="982"/>
        <w:gridCol w:w="987"/>
        <w:gridCol w:w="273"/>
        <w:gridCol w:w="273"/>
        <w:gridCol w:w="684"/>
        <w:gridCol w:w="109"/>
        <w:gridCol w:w="109"/>
        <w:gridCol w:w="109"/>
        <w:gridCol w:w="354"/>
        <w:gridCol w:w="354"/>
        <w:gridCol w:w="882"/>
        <w:gridCol w:w="109"/>
        <w:gridCol w:w="109"/>
        <w:gridCol w:w="109"/>
        <w:gridCol w:w="418"/>
        <w:gridCol w:w="348"/>
        <w:gridCol w:w="970"/>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 Total</w:t>
              <w:br/>
              <w:t>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3840"/>
                <wp:effectExtent l="0" t="0" r="0" b="0"/>
                <wp:wrapNone/>
                <wp:docPr id="66" name="Frame6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December 31, 2024:</w:t>
      </w:r>
    </w:p>
    <w:tbl>
      <w:tblPr>
        <w:tblW w:w="7838" w:type="dxa"/>
        <w:jc w:val="left"/>
        <w:tblInd w:w="0" w:type="dxa"/>
        <w:tblLayout w:type="fixed"/>
        <w:tblCellMar>
          <w:top w:w="28" w:type="dxa"/>
          <w:left w:w="28" w:type="dxa"/>
          <w:bottom w:w="28" w:type="dxa"/>
          <w:right w:w="28" w:type="dxa"/>
        </w:tblCellMar>
      </w:tblPr>
      <w:tblGrid>
        <w:gridCol w:w="1102"/>
        <w:gridCol w:w="969"/>
        <w:gridCol w:w="973"/>
        <w:gridCol w:w="305"/>
        <w:gridCol w:w="243"/>
        <w:gridCol w:w="609"/>
        <w:gridCol w:w="109"/>
        <w:gridCol w:w="109"/>
        <w:gridCol w:w="109"/>
        <w:gridCol w:w="290"/>
        <w:gridCol w:w="290"/>
        <w:gridCol w:w="724"/>
        <w:gridCol w:w="109"/>
        <w:gridCol w:w="109"/>
        <w:gridCol w:w="109"/>
        <w:gridCol w:w="341"/>
        <w:gridCol w:w="341"/>
        <w:gridCol w:w="997"/>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 xml:space="preserve">Nonaccrual loans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comparing December 31, 2025 to December 31, 2024, the increase in ACL to total LHFI was primarily due to the growth in the credit enhanced loans included in the Strategic Program loans held-for-investment. The decrease in nonaccrual loans to total loans held-for-investment from December 31, 2024 to December 31, 2025 was primarily due to the growth in the loans held-for-investment portfolio. The increase in the ACL to nonaccrual loans ratio as shown above primarily pertained to growth in the credit enhanced loans included in the Strategic Program loans held-for-investment offset in part by the increase in nonaccrual loans, concentrated in the SBA product.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charge-offs (“NCO”), average loans and the ratio of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671"/>
        <w:gridCol w:w="449"/>
        <w:gridCol w:w="406"/>
        <w:gridCol w:w="235"/>
        <w:gridCol w:w="805"/>
        <w:gridCol w:w="122"/>
        <w:gridCol w:w="109"/>
        <w:gridCol w:w="109"/>
        <w:gridCol w:w="109"/>
        <w:gridCol w:w="211"/>
        <w:gridCol w:w="826"/>
        <w:gridCol w:w="109"/>
        <w:gridCol w:w="109"/>
        <w:gridCol w:w="109"/>
        <w:gridCol w:w="109"/>
        <w:gridCol w:w="295"/>
        <w:gridCol w:w="252"/>
        <w:gridCol w:w="632"/>
        <w:gridCol w:w="109"/>
        <w:gridCol w:w="109"/>
        <w:gridCol w:w="109"/>
        <w:gridCol w:w="235"/>
        <w:gridCol w:w="805"/>
        <w:gridCol w:w="122"/>
        <w:gridCol w:w="109"/>
        <w:gridCol w:w="109"/>
        <w:gridCol w:w="109"/>
        <w:gridCol w:w="211"/>
        <w:gridCol w:w="826"/>
        <w:gridCol w:w="109"/>
        <w:gridCol w:w="109"/>
        <w:gridCol w:w="109"/>
        <w:gridCol w:w="109"/>
        <w:gridCol w:w="300"/>
        <w:gridCol w:w="240"/>
        <w:gridCol w:w="709"/>
      </w:tblGrid>
      <w:tr>
        <w:trPr/>
        <w:tc>
          <w:tcPr>
            <w:tcW w:w="6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NCO (Recovery)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NCO (Recovery) to</w:t>
              <w:br/>
              <w:t>Average</w:t>
              <w:br/>
              <w:t>Loans</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ratio of net charge-offs to average loans outstanding by loan category increased slightly during the year ended December 31, 2025 as compared to the year ended December 31, 2024, due primarily to a higher growth rate in the average balances of Strategic Program loans related to the credit enhanced program when compared to the growth rate of net charge-offs in that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3840"/>
                <wp:effectExtent l="0" t="0" r="0" b="0"/>
                <wp:wrapNone/>
                <wp:docPr id="67" name="Frame6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Total Assets</w:t>
      </w:r>
    </w:p>
    <w:p>
      <w:pPr>
        <w:pStyle w:val="TextBody"/>
        <w:bidi w:val="0"/>
        <w:spacing w:lineRule="auto" w:line="288" w:before="200" w:after="283"/>
        <w:jc w:val="left"/>
        <w:rPr/>
      </w:pPr>
      <w:r>
        <w:rPr>
          <w:rFonts w:ascii="Times New Roman;serif" w:hAnsi="Times New Roman;serif"/>
          <w:b w:val="false"/>
          <w:color w:val="000000"/>
          <w:sz w:val="20"/>
        </w:rPr>
        <w:t xml:space="preserve">Total assets at December 31, 2025 were </w:t>
      </w:r>
      <w:r>
        <w:rPr>
          <w:rFonts w:ascii="Times New Roman;serif" w:hAnsi="Times New Roman;serif"/>
          <w:b w:val="false"/>
          <w:color w:val="000000"/>
          <w:sz w:val="20"/>
          <w:shd w:fill="FFFFFF" w:val="clear"/>
        </w:rPr>
        <w:t>$977.1 million</w:t>
      </w:r>
      <w:r>
        <w:rPr>
          <w:rFonts w:ascii="Times New Roman;serif" w:hAnsi="Times New Roman;serif"/>
          <w:b w:val="false"/>
          <w:color w:val="000000"/>
          <w:sz w:val="20"/>
        </w:rPr>
        <w:t xml:space="preserve">, an increase of </w:t>
      </w:r>
      <w:r>
        <w:rPr>
          <w:rFonts w:ascii="Times New Roman;serif" w:hAnsi="Times New Roman;serif"/>
          <w:b w:val="false"/>
          <w:color w:val="000000"/>
          <w:sz w:val="20"/>
          <w:shd w:fill="FFFFFF" w:val="clear"/>
        </w:rPr>
        <w:t>$231.2 million</w:t>
      </w:r>
      <w:r>
        <w:rPr>
          <w:color w:val="000000"/>
        </w:rPr>
        <w:t xml:space="preserve"> </w:t>
      </w:r>
      <w:r>
        <w:rPr>
          <w:rFonts w:ascii="Times New Roman;serif" w:hAnsi="Times New Roman;serif"/>
          <w:b w:val="false"/>
          <w:color w:val="000000"/>
          <w:sz w:val="20"/>
        </w:rPr>
        <w:t>from December 31, 2024. The increase in total assets was due primarily to increases in loans held-for-investment, net, of $93.7 million, Strategic Program loans held-for-sale of $54.9 million, interest-bearing cash deposits of $51.8 million, and credit enhancement asset of $22.3 million. The increased loan balances are generally consistent with our strategy to grow the loan portfolio with higher quality lower risk assets.</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Deposits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end of period balances of our deposit portfolio for the periods indicated:</w:t>
      </w:r>
    </w:p>
    <w:tbl>
      <w:tblPr>
        <w:tblW w:w="850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285"/>
        <w:gridCol w:w="286"/>
        <w:gridCol w:w="441"/>
        <w:gridCol w:w="109"/>
        <w:gridCol w:w="109"/>
        <w:gridCol w:w="109"/>
        <w:gridCol w:w="211"/>
        <w:gridCol w:w="826"/>
        <w:gridCol w:w="109"/>
        <w:gridCol w:w="109"/>
        <w:gridCol w:w="109"/>
        <w:gridCol w:w="109"/>
        <w:gridCol w:w="285"/>
        <w:gridCol w:w="286"/>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deposits as of December 31, 2025, compared to December 31, 2024, was primarily due to an increase in brokered time deposits of $153.4 million, which were added to fund loan growth and increase balance sheet liquidity. Additionally, noninterest bearing demand deposits increased $41.7 million, primarily related to collateral deposits by certain strategic programs in anticipation of increased volumes in student loan fundings in January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estimated uninsured deposits were $204.1 million and $183.2 million as of December 31, 2025 and December 31, 2024, respectively. Estimated uninsured deposits at the Bank as of December 31, 2025 include $62.1 million of total deposits contractually required to be maintained at the Bank pursuant to our Strategic Program agreements and an additional $58.2 million of total deposits associated with accounts owned by the parent holding company or the Bank. The maturity profile of our estimated uninsured time deposits, those amounts that exceed the FDIC insurance limit, at December 31, 2025 is as follows:</w:t>
      </w:r>
    </w:p>
    <w:tbl>
      <w:tblPr>
        <w:tblW w:w="8219" w:type="dxa"/>
        <w:jc w:val="left"/>
        <w:tblInd w:w="0" w:type="dxa"/>
        <w:tblLayout w:type="fixed"/>
        <w:tblCellMar>
          <w:top w:w="28" w:type="dxa"/>
          <w:left w:w="28" w:type="dxa"/>
          <w:bottom w:w="28" w:type="dxa"/>
          <w:right w:w="28" w:type="dxa"/>
        </w:tblCellMar>
      </w:tblPr>
      <w:tblGrid>
        <w:gridCol w:w="782"/>
        <w:gridCol w:w="687"/>
        <w:gridCol w:w="690"/>
        <w:gridCol w:w="211"/>
        <w:gridCol w:w="466"/>
        <w:gridCol w:w="109"/>
        <w:gridCol w:w="109"/>
        <w:gridCol w:w="109"/>
        <w:gridCol w:w="109"/>
        <w:gridCol w:w="223"/>
        <w:gridCol w:w="652"/>
        <w:gridCol w:w="115"/>
        <w:gridCol w:w="109"/>
        <w:gridCol w:w="109"/>
        <w:gridCol w:w="109"/>
        <w:gridCol w:w="270"/>
        <w:gridCol w:w="596"/>
        <w:gridCol w:w="139"/>
        <w:gridCol w:w="109"/>
        <w:gridCol w:w="109"/>
        <w:gridCol w:w="109"/>
        <w:gridCol w:w="223"/>
        <w:gridCol w:w="652"/>
        <w:gridCol w:w="115"/>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6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uninsured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Total Liabilities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Total liabilities increased from </w:t>
      </w:r>
      <w:r>
        <w:rPr>
          <w:rFonts w:ascii="Times New Roman;serif" w:hAnsi="Times New Roman;serif"/>
          <w:b w:val="false"/>
          <w:color w:val="000000"/>
          <w:sz w:val="20"/>
        </w:rPr>
        <w:t>$572.3 million</w:t>
      </w:r>
      <w:r>
        <w:rPr>
          <w:color w:val="000000"/>
          <w:shd w:fill="FFFFFF" w:val="clear"/>
        </w:rPr>
        <w:t xml:space="preserve"> </w:t>
      </w: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 xml:space="preserve">December 31, 2024 to </w:t>
      </w:r>
      <w:r>
        <w:rPr>
          <w:rFonts w:ascii="Times New Roman;serif" w:hAnsi="Times New Roman;serif"/>
          <w:b w:val="false"/>
          <w:color w:val="000000"/>
          <w:sz w:val="20"/>
          <w:shd w:fill="FFFFFF" w:val="clear"/>
        </w:rPr>
        <w:t>$783.9 million</w:t>
      </w:r>
      <w:r>
        <w:rPr>
          <w:color w:val="000000"/>
        </w:rPr>
        <w:t xml:space="preserve"> </w:t>
      </w: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primarily due to an increase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3840"/>
                <wp:effectExtent l="0" t="0" r="0" b="0"/>
                <wp:wrapNone/>
                <wp:docPr id="68" name="Frame6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Liquidity Management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Liquidity management is the ability to meet current and future financial obligations of a short-term nature. Our primary sources of funds consist of deposit inflows, the sale of loans, principal repayments and interest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source of funds to support new loan originations are deposits. Deposits are comprised of core and non-core deposits. To attract core deposits from local and nationwide consumer and commercial markets, we have paid rates at the higher end of the market. We have been able to pay higher rates due to the higher rates earned on our loan portfolio. We utilize rate listing services and website advertising to attract deposits from consumer and commercial sources. Non-core deposits generally include brokered deposits and deposits acquired through the utilization of a listing service.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have various term offerings to match our funding needs. With no current plans to expand our brick-and-mortar branch network, online and mobile banking offers a means to meet customer needs and aggregate deposits more efficiently compared to a traditional branch network.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pStyle w:val="TextBody"/>
        <w:bidi w:val="0"/>
        <w:spacing w:lineRule="auto" w:line="288" w:before="200" w:after="283"/>
        <w:jc w:val="left"/>
        <w:rPr/>
      </w:pPr>
      <w:r>
        <w:rPr>
          <w:rFonts w:ascii="Times New Roman;serif" w:hAnsi="Times New Roman;serif"/>
          <w:b w:val="false"/>
          <w:color w:val="000000"/>
          <w:sz w:val="20"/>
          <w:shd w:fill="FFFFFF" w:val="clear"/>
        </w:rPr>
        <w:t>We primarily utilize short-term and long-term borrowings to supplement deposits to fund our lending and investment activities. At December 31, 2025, we had the ability to access $193.8 million from the Federal Reserve Bank on a collateralized basis.</w:t>
      </w:r>
      <w:r>
        <w:rPr>
          <w:color w:val="000000"/>
        </w:rPr>
        <w:t xml:space="preserve"> </w:t>
      </w:r>
      <w:r>
        <w:rPr>
          <w:rFonts w:ascii="Times New Roman;serif" w:hAnsi="Times New Roman;serif"/>
          <w:b w:val="false"/>
          <w:color w:val="000000"/>
          <w:sz w:val="20"/>
        </w:rPr>
        <w:t>The Bank had an available unsecured line of credit with three correspondent banks to borrow up to $16.1 million in overnight funds. W</w:t>
      </w:r>
      <w:r>
        <w:rPr>
          <w:rFonts w:ascii="Times New Roman;serif" w:hAnsi="Times New Roman;serif"/>
          <w:b w:val="false"/>
          <w:color w:val="000000"/>
          <w:sz w:val="20"/>
          <w:shd w:fill="FFFFFF" w:val="clear"/>
        </w:rPr>
        <w:t>e also maintain a $20.5 million line of credit with Federal Home Loan Bank, secured by specific pledged loans. We had no outstanding balances on any unsecured or secured lines of credit as of December 31,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most liquid assets are cash and cash equivalents. The levels of these assets depend on our operating, financing, lending and investing activities during any given period. At December 31, 2025, liquid assets (defined as cash and due from banks and interest-bearing deposits) totaled $163.4 million and constituted </w:t>
      </w:r>
      <w:r>
        <w:rPr>
          <w:rFonts w:ascii="Times New Roman;serif" w:hAnsi="Times New Roman;serif"/>
          <w:b w:val="false"/>
          <w:color w:val="000000"/>
          <w:sz w:val="20"/>
        </w:rPr>
        <w:t xml:space="preserve">16.7% of total assets. </w:t>
      </w:r>
      <w:r>
        <w:rPr>
          <w:rFonts w:ascii="Times New Roman;serif" w:hAnsi="Times New Roman;serif"/>
          <w:b w:val="false"/>
          <w:color w:val="000000"/>
          <w:sz w:val="20"/>
          <w:shd w:fill="FFFFFF" w:val="clear"/>
        </w:rPr>
        <w:t>We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6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Capital Resources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Shareholders’ equity increased $19.5 million to $193.2 million at December 31, 2025 compared to $173.7 million at December 31, 2024, primarily due to earnings of $16.1 million reported for the period. The Company did not pay a dividend in 2024 or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use several indicators of capital strength. The most commonly used measure is total equity to total assets, which was </w:t>
      </w:r>
      <w:r>
        <w:rPr>
          <w:rFonts w:ascii="Times New Roman;serif" w:hAnsi="Times New Roman;serif"/>
          <w:b w:val="false"/>
          <w:color w:val="000000"/>
          <w:sz w:val="20"/>
        </w:rPr>
        <w:t>19.8%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23.3%</w:t>
      </w:r>
      <w:r>
        <w:rPr>
          <w:color w:val="000000"/>
          <w:shd w:fill="FFFFFF" w:val="clear"/>
        </w:rPr>
        <w:t xml:space="preserve"> </w:t>
      </w:r>
      <w:r>
        <w:rPr>
          <w:rFonts w:ascii="Times New Roman;serif" w:hAnsi="Times New Roman;serif"/>
          <w:b w:val="false"/>
          <w:color w:val="000000"/>
          <w:sz w:val="20"/>
          <w:shd w:fill="FFFFFF" w:val="clear"/>
        </w:rPr>
        <w:t xml:space="preserve">as of December 31, 2025 and December 31, 2024, respectively.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return on average equity was </w:t>
      </w:r>
      <w:r>
        <w:rPr>
          <w:rFonts w:ascii="Times New Roman;serif" w:hAnsi="Times New Roman;serif"/>
          <w:b w:val="false"/>
          <w:color w:val="000000"/>
          <w:sz w:val="20"/>
        </w:rPr>
        <w:t>8.9%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7.7%</w:t>
      </w:r>
      <w:r>
        <w:rPr>
          <w:color w:val="000000"/>
          <w:shd w:fill="FFFFFF" w:val="clear"/>
        </w:rPr>
        <w:t xml:space="preserve"> </w:t>
      </w:r>
      <w:r>
        <w:rPr>
          <w:rFonts w:ascii="Times New Roman;serif" w:hAnsi="Times New Roman;serif"/>
          <w:b w:val="false"/>
          <w:color w:val="000000"/>
          <w:sz w:val="20"/>
          <w:shd w:fill="FFFFFF" w:val="clear"/>
        </w:rPr>
        <w:t xml:space="preserve">for the years ended December 31, 2025 and 2024, respectively. Our return on average assets was </w:t>
      </w:r>
      <w:r>
        <w:rPr>
          <w:rFonts w:ascii="Times New Roman;serif" w:hAnsi="Times New Roman;serif"/>
          <w:b w:val="false"/>
          <w:color w:val="000000"/>
          <w:sz w:val="20"/>
        </w:rPr>
        <w:t>1.9%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for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3840"/>
                <wp:effectExtent l="0" t="0" r="0" b="0"/>
                <wp:wrapNone/>
                <wp:docPr id="69" name="Frame6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pStyle w:val="TextBody"/>
        <w:bidi w:val="0"/>
        <w:spacing w:lineRule="auto" w:line="288" w:before="200" w:after="283"/>
        <w:jc w:val="left"/>
        <w:rPr/>
      </w:pPr>
      <w:r>
        <w:rPr>
          <w:rFonts w:ascii="Times New Roman;serif" w:hAnsi="Times New Roman;serif"/>
          <w:b w:val="false"/>
          <w:color w:val="000000"/>
          <w:sz w:val="20"/>
          <w:shd w:fill="FFFFFF" w:val="clear"/>
        </w:rPr>
        <w:t>As of December 31, 2025</w:t>
      </w:r>
      <w:r>
        <w:rPr>
          <w:rFonts w:ascii="Times New Roman;serif" w:hAnsi="Times New Roman;serif"/>
          <w:b w:val="false"/>
          <w:color w:val="000000"/>
          <w:sz w:val="20"/>
        </w:rPr>
        <w:t>, the most recent notification from the FDIC categorized the Bank as well-capitalized under the regulatory framework for prompt corrective action (there are no conditions or events since that notification we believe have changed the Bank’s category). See Note</w:t>
      </w:r>
      <w:r>
        <w:rPr>
          <w:color w:val="000000"/>
          <w:shd w:fill="FFFFFF" w:val="clear"/>
        </w:rPr>
        <w:t xml:space="preserve"> </w:t>
      </w:r>
      <w:r>
        <w:rPr>
          <w:rFonts w:ascii="Times New Roman;serif" w:hAnsi="Times New Roman;serif"/>
          <w:b w:val="false"/>
          <w:color w:val="000000"/>
          <w:sz w:val="20"/>
          <w:shd w:fill="FFFFFF" w:val="clear"/>
        </w:rPr>
        <w:t>8 - Capital Requirements to the consolidated financial statements included in Part II, Item 8 for additional information regarding our regulatory capital requirements.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Repurchase Program</w:t>
      </w:r>
    </w:p>
    <w:p>
      <w:pPr>
        <w:pStyle w:val="TextBody"/>
        <w:bidi w:val="0"/>
        <w:spacing w:lineRule="auto" w:line="288" w:before="200" w:after="283"/>
        <w:jc w:val="left"/>
        <w:rPr/>
      </w:pPr>
      <w:r>
        <w:rPr>
          <w:rFonts w:ascii="Times New Roman;serif" w:hAnsi="Times New Roman;serif"/>
          <w:b w:val="false"/>
          <w:color w:val="000000"/>
          <w:sz w:val="20"/>
          <w:shd w:fill="FFFFFF" w:val="clear"/>
        </w:rPr>
        <w:t>We have a stock repurchase program authorized by our Board of Directors. The stock repurchase program became effective as of March 6, 2024 and authorizes us to repurchase up to 641,832 shares of our common stock in the aggregate in open market transactions, privately negotiated transactions, or any manner that complies with the provisions of Rule 10b-18 of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The repurchase program expires on March 31, 2026. During the three months ended December 31, 2025, there were no open-market share repurchases. Since the repurchase program’s inception, we have repurchased and subsequently retired a tota</w:t>
      </w:r>
      <w:r>
        <w:rPr>
          <w:rFonts w:ascii="Times New Roman;serif" w:hAnsi="Times New Roman;serif"/>
          <w:b w:val="false"/>
          <w:color w:val="000000"/>
          <w:sz w:val="20"/>
        </w:rPr>
        <w:t xml:space="preserve">l of 44,608 shares for $0.5 million at an average price of $10.30 per </w:t>
      </w:r>
      <w:r>
        <w:rPr>
          <w:rFonts w:ascii="Times New Roman;serif" w:hAnsi="Times New Roman;serif"/>
          <w:b w:val="false"/>
          <w:color w:val="000000"/>
          <w:sz w:val="20"/>
          <w:shd w:fill="FFFFFF" w:val="clear"/>
        </w:rPr>
        <w:t>share. See Note 1 - Summary of Significant Accounting Policies to the consolidated financial statements included in Part II, Item 8 for more information.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Contractual Obligations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significant contractual obligations as of December 31, 2025:</w:t>
      </w:r>
    </w:p>
    <w:tbl>
      <w:tblPr>
        <w:tblW w:w="9527"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Less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Than Five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Off-Balance Sheet Financing Arrangements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3840"/>
                <wp:effectExtent l="0" t="0" r="0" b="0"/>
                <wp:wrapNone/>
                <wp:docPr id="70" name="Frame7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9 - Commitments and Contingencies to the consolidated financial statements included in Part II,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3840"/>
                <wp:effectExtent l="0" t="0" r="0" b="0"/>
                <wp:wrapNone/>
                <wp:docPr id="71" name="Frame7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Reconciliations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U.S. GAAP.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In the event the Strategic Program service provider is not able to perform according to the contractual terms, the Bank is entitled to receive all the income on the loans. The Bank incurs expenses for the amounts owed to the strategic partner for the credit guarantee and for servicing of the credit enhanced portfolio, if applicable (credit enhancement program expenses). See the following reconciliations of non-GAAP measures for the impact of the credit enhancement on our financial condition and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total interest income on LHFI and average yield on LHFI:</w:t>
      </w:r>
    </w:p>
    <w:tbl>
      <w:tblPr>
        <w:tblW w:w="10205" w:type="dxa"/>
        <w:jc w:val="left"/>
        <w:tblInd w:w="0" w:type="dxa"/>
        <w:tblLayout w:type="fixed"/>
        <w:tblCellMar>
          <w:top w:w="28" w:type="dxa"/>
          <w:left w:w="28" w:type="dxa"/>
          <w:bottom w:w="28" w:type="dxa"/>
          <w:right w:w="28" w:type="dxa"/>
        </w:tblCellMar>
      </w:tblPr>
      <w:tblGrid>
        <w:gridCol w:w="590"/>
        <w:gridCol w:w="352"/>
        <w:gridCol w:w="354"/>
        <w:gridCol w:w="109"/>
        <w:gridCol w:w="109"/>
        <w:gridCol w:w="110"/>
        <w:gridCol w:w="110"/>
        <w:gridCol w:w="110"/>
        <w:gridCol w:w="110"/>
        <w:gridCol w:w="110"/>
        <w:gridCol w:w="110"/>
        <w:gridCol w:w="214"/>
        <w:gridCol w:w="839"/>
        <w:gridCol w:w="110"/>
        <w:gridCol w:w="109"/>
        <w:gridCol w:w="109"/>
        <w:gridCol w:w="109"/>
        <w:gridCol w:w="219"/>
        <w:gridCol w:w="750"/>
        <w:gridCol w:w="113"/>
        <w:gridCol w:w="109"/>
        <w:gridCol w:w="109"/>
        <w:gridCol w:w="109"/>
        <w:gridCol w:w="432"/>
        <w:gridCol w:w="191"/>
        <w:gridCol w:w="476"/>
        <w:gridCol w:w="109"/>
        <w:gridCol w:w="109"/>
        <w:gridCol w:w="109"/>
        <w:gridCol w:w="199"/>
        <w:gridCol w:w="750"/>
        <w:gridCol w:w="111"/>
        <w:gridCol w:w="109"/>
        <w:gridCol w:w="109"/>
        <w:gridCol w:w="109"/>
        <w:gridCol w:w="205"/>
        <w:gridCol w:w="676"/>
        <w:gridCol w:w="114"/>
        <w:gridCol w:w="109"/>
        <w:gridCol w:w="109"/>
        <w:gridCol w:w="109"/>
        <w:gridCol w:w="411"/>
        <w:gridCol w:w="152"/>
        <w:gridCol w:w="434"/>
      </w:tblGrid>
      <w:tr>
        <w:trPr/>
        <w:tc>
          <w:tcPr>
            <w:tcW w:w="5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w:t>
            </w:r>
          </w:p>
        </w:tc>
        <w:tc>
          <w:tcPr>
            <w:tcW w:w="2646" w:type="dxa"/>
            <w:gridSpan w:val="12"/>
            <w:tcBorders/>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2024</w:t>
            </w:r>
          </w:p>
        </w:tc>
        <w:tc>
          <w:tcPr>
            <w:tcW w:w="2646" w:type="dxa"/>
            <w:gridSpan w:val="12"/>
            <w:tcBorders/>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417,207 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535,671 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55,448 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417,207 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51,185 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on LHFI net of credit enhancement program expenses and the average yield on LHFI are non-GAAP measures that include the impact of credit enhancement program expenses on total interest income on LHFI and the respective average yield on LHFI, the most directly comparable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net interest income and NIM: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3840"/>
                <wp:effectExtent l="0" t="0" r="0" b="0"/>
                <wp:wrapNone/>
                <wp:docPr id="72" name="Frame7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627" w:type="dxa"/>
        <w:jc w:val="left"/>
        <w:tblInd w:w="0" w:type="dxa"/>
        <w:tblLayout w:type="fixed"/>
        <w:tblCellMar>
          <w:top w:w="28" w:type="dxa"/>
          <w:left w:w="28" w:type="dxa"/>
          <w:bottom w:w="28" w:type="dxa"/>
          <w:right w:w="28" w:type="dxa"/>
        </w:tblCellMar>
      </w:tblPr>
      <w:tblGrid>
        <w:gridCol w:w="559"/>
        <w:gridCol w:w="320"/>
        <w:gridCol w:w="322"/>
        <w:gridCol w:w="109"/>
        <w:gridCol w:w="109"/>
        <w:gridCol w:w="109"/>
        <w:gridCol w:w="109"/>
        <w:gridCol w:w="109"/>
        <w:gridCol w:w="109"/>
        <w:gridCol w:w="109"/>
        <w:gridCol w:w="109"/>
        <w:gridCol w:w="297"/>
        <w:gridCol w:w="1110"/>
        <w:gridCol w:w="109"/>
        <w:gridCol w:w="109"/>
        <w:gridCol w:w="109"/>
        <w:gridCol w:w="109"/>
        <w:gridCol w:w="211"/>
        <w:gridCol w:w="721"/>
        <w:gridCol w:w="109"/>
        <w:gridCol w:w="109"/>
        <w:gridCol w:w="109"/>
        <w:gridCol w:w="109"/>
        <w:gridCol w:w="344"/>
        <w:gridCol w:w="167"/>
        <w:gridCol w:w="417"/>
        <w:gridCol w:w="109"/>
        <w:gridCol w:w="109"/>
        <w:gridCol w:w="109"/>
        <w:gridCol w:w="279"/>
        <w:gridCol w:w="1092"/>
        <w:gridCol w:w="145"/>
        <w:gridCol w:w="109"/>
        <w:gridCol w:w="109"/>
        <w:gridCol w:w="109"/>
        <w:gridCol w:w="211"/>
        <w:gridCol w:w="721"/>
        <w:gridCol w:w="109"/>
        <w:gridCol w:w="109"/>
        <w:gridCol w:w="109"/>
        <w:gridCol w:w="109"/>
        <w:gridCol w:w="368"/>
        <w:gridCol w:w="143"/>
        <w:gridCol w:w="366"/>
      </w:tblGrid>
      <w:tr>
        <w:trPr/>
        <w:tc>
          <w:tcPr>
            <w:tcW w:w="5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w:t>
            </w:r>
          </w:p>
        </w:tc>
        <w:tc>
          <w:tcPr>
            <w:tcW w:w="2572" w:type="dxa"/>
            <w:gridSpan w:val="12"/>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ind w:left="0" w:right="0" w:hanging="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2024</w:t>
            </w:r>
          </w:p>
        </w:tc>
        <w:tc>
          <w:tcPr>
            <w:tcW w:w="2572" w:type="dxa"/>
            <w:gridSpan w:val="12"/>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589,880 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589,880 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expenses less credit enhancement program expenses is a non-GAAP measure presented to illustrate the impact of credit enhancement program expenses on non-interest expense:</w:t>
      </w:r>
    </w:p>
    <w:tbl>
      <w:tblPr>
        <w:tblW w:w="10205" w:type="dxa"/>
        <w:jc w:val="left"/>
        <w:tblInd w:w="0" w:type="dxa"/>
        <w:tblLayout w:type="fixed"/>
        <w:tblCellMar>
          <w:top w:w="28" w:type="dxa"/>
          <w:left w:w="28" w:type="dxa"/>
          <w:bottom w:w="28" w:type="dxa"/>
          <w:right w:w="28" w:type="dxa"/>
        </w:tblCellMar>
      </w:tblPr>
      <w:tblGrid>
        <w:gridCol w:w="1699"/>
        <w:gridCol w:w="1451"/>
        <w:gridCol w:w="1460"/>
        <w:gridCol w:w="109"/>
        <w:gridCol w:w="109"/>
        <w:gridCol w:w="109"/>
        <w:gridCol w:w="109"/>
        <w:gridCol w:w="483"/>
        <w:gridCol w:w="1656"/>
        <w:gridCol w:w="251"/>
        <w:gridCol w:w="109"/>
        <w:gridCol w:w="109"/>
        <w:gridCol w:w="109"/>
        <w:gridCol w:w="472"/>
        <w:gridCol w:w="1618"/>
        <w:gridCol w:w="352"/>
      </w:tblGrid>
      <w:tr>
        <w:trPr/>
        <w:tc>
          <w:tcPr>
            <w:tcW w:w="169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2024</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60,578 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 is a non-GAAP measure that illustrates the impact of credit enhancement program expenses on non-interest expense, the most directly comparable GAAP measure.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 is a non-GAAP measure to illustrate the impact of credit enhancement income resulting from credit enhanced loans on non-interest income:</w:t>
      </w:r>
    </w:p>
    <w:tbl>
      <w:tblPr>
        <w:tblW w:w="10205" w:type="dxa"/>
        <w:jc w:val="left"/>
        <w:tblInd w:w="0" w:type="dxa"/>
        <w:tblLayout w:type="fixed"/>
        <w:tblCellMar>
          <w:top w:w="28" w:type="dxa"/>
          <w:left w:w="28" w:type="dxa"/>
          <w:bottom w:w="28" w:type="dxa"/>
          <w:right w:w="28" w:type="dxa"/>
        </w:tblCellMar>
      </w:tblPr>
      <w:tblGrid>
        <w:gridCol w:w="1565"/>
        <w:gridCol w:w="1363"/>
        <w:gridCol w:w="1370"/>
        <w:gridCol w:w="109"/>
        <w:gridCol w:w="109"/>
        <w:gridCol w:w="109"/>
        <w:gridCol w:w="109"/>
        <w:gridCol w:w="515"/>
        <w:gridCol w:w="1764"/>
        <w:gridCol w:w="268"/>
        <w:gridCol w:w="109"/>
        <w:gridCol w:w="109"/>
        <w:gridCol w:w="109"/>
        <w:gridCol w:w="510"/>
        <w:gridCol w:w="1682"/>
        <w:gridCol w:w="405"/>
      </w:tblGrid>
      <w:tr>
        <w:trPr/>
        <w:tc>
          <w:tcPr>
            <w:tcW w:w="156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pPr>
            <w:r>
              <w:rPr/>
              <w:t>($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2024</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22,485 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34,559 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22,374 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indemnification income is a non-GAAP measure that illustrates the impact of credit enhancement income on non-interest income. The most directly comparable GAAP measure is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3840"/>
                <wp:effectExtent l="0" t="0" r="0" b="0"/>
                <wp:wrapNone/>
                <wp:docPr id="73" name="Frame7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 is presented to illustrate the effect of the credit enhancement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137"/>
        <w:gridCol w:w="1873"/>
        <w:gridCol w:w="1884"/>
        <w:gridCol w:w="109"/>
        <w:gridCol w:w="109"/>
        <w:gridCol w:w="109"/>
        <w:gridCol w:w="365"/>
        <w:gridCol w:w="1249"/>
        <w:gridCol w:w="190"/>
        <w:gridCol w:w="109"/>
        <w:gridCol w:w="109"/>
        <w:gridCol w:w="109"/>
        <w:gridCol w:w="358"/>
        <w:gridCol w:w="1228"/>
        <w:gridCol w:w="267"/>
      </w:tblGrid>
      <w:tr>
        <w:trPr/>
        <w:tc>
          <w:tcPr>
            <w:tcW w:w="213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pPr>
            <w:r>
              <w:rPr/>
              <w:t>($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As of </w:t>
            </w: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As of </w:t>
            </w:r>
            <w:r>
              <w:rPr>
                <w:rFonts w:ascii="Times New Roman;serif" w:hAnsi="Times New Roman;serif"/>
                <w:b/>
                <w:color w:val="000000"/>
                <w:sz w:val="20"/>
                <w:shd w:fill="FFFFFF" w:val="clear"/>
              </w:rPr>
              <w:t>December 31, 2024</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related to credit enhanced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excluding the effect of the allowance for credit losses related to credit enhanced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 xml:space="preserve">The allowance for credit losses excluding the effect of the allowance for credit losses related to credit enhanced loans is a non-GAAP measure that reflects the effect of the credit enhancement program on the allowance for credit losses. The total outstanding balance of loans held-for-investment with credit enhancement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was approximately $108.1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results of our EAR analysis in simulating the change in net interest income and fair value of equity over a 12-month horizon as of December 31, 2025:</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IMPACT ON NET INTEREST INCOME UNDER A STATIC BALANCE SHEET, PARALLEL INTEREST RATE SHOCK</w:t>
      </w:r>
    </w:p>
    <w:tbl>
      <w:tblPr>
        <w:tblW w:w="10563" w:type="dxa"/>
        <w:jc w:val="left"/>
        <w:tblInd w:w="0" w:type="dxa"/>
        <w:tblLayout w:type="fixed"/>
        <w:tblCellMar>
          <w:top w:w="28" w:type="dxa"/>
          <w:left w:w="28" w:type="dxa"/>
          <w:bottom w:w="28" w:type="dxa"/>
          <w:right w:w="28" w:type="dxa"/>
        </w:tblCellMar>
      </w:tblPr>
      <w:tblGrid>
        <w:gridCol w:w="499"/>
        <w:gridCol w:w="440"/>
        <w:gridCol w:w="292"/>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illustrates the results of our EVE analysis as of December 31, 2025:</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ECONOMIC VALUE OF EQUITY ANALYSIS UNDER A STATIC BALANCE SHEET, PARALLEL INTEREST RATE SHOCK</w:t>
      </w:r>
    </w:p>
    <w:tbl>
      <w:tblPr>
        <w:tblW w:w="10773" w:type="dxa"/>
        <w:jc w:val="left"/>
        <w:tblInd w:w="0" w:type="dxa"/>
        <w:tblLayout w:type="fixed"/>
        <w:tblCellMar>
          <w:top w:w="28" w:type="dxa"/>
          <w:left w:w="28" w:type="dxa"/>
          <w:bottom w:w="28" w:type="dxa"/>
          <w:right w:w="28" w:type="dxa"/>
        </w:tblCellMar>
      </w:tblPr>
      <w:tblGrid>
        <w:gridCol w:w="627"/>
        <w:gridCol w:w="301"/>
        <w:gridCol w:w="303"/>
        <w:gridCol w:w="109"/>
        <w:gridCol w:w="109"/>
        <w:gridCol w:w="109"/>
        <w:gridCol w:w="263"/>
        <w:gridCol w:w="263"/>
        <w:gridCol w:w="271"/>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55"/>
        <w:gridCol w:w="256"/>
        <w:gridCol w:w="339"/>
      </w:tblGrid>
      <w:tr>
        <w:trPr/>
        <w:tc>
          <w:tcPr>
            <w:tcW w:w="6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3840"/>
                <wp:effectExtent l="0" t="0" r="0" b="0"/>
                <wp:wrapNone/>
                <wp:docPr id="74" name="Frame7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Sensitivity and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43840"/>
                <wp:effectExtent l="0" t="0" r="0" b="0"/>
                <wp:wrapNone/>
                <wp:docPr id="75" name="Frame7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INDEX TO CONSOLIDATED FINANCIAL STATEMENTS</w:t>
      </w:r>
    </w:p>
    <w:tbl>
      <w:tblPr>
        <w:tblW w:w="6855" w:type="dxa"/>
        <w:jc w:val="left"/>
        <w:tblInd w:w="0" w:type="dxa"/>
        <w:tblLayout w:type="fixed"/>
        <w:tblCellMar>
          <w:top w:w="28" w:type="dxa"/>
          <w:left w:w="28" w:type="dxa"/>
          <w:bottom w:w="28" w:type="dxa"/>
          <w:right w:w="28" w:type="dxa"/>
        </w:tblCellMar>
      </w:tblPr>
      <w:tblGrid>
        <w:gridCol w:w="2275"/>
        <w:gridCol w:w="1999"/>
        <w:gridCol w:w="2010"/>
        <w:gridCol w:w="167"/>
        <w:gridCol w:w="167"/>
        <w:gridCol w:w="237"/>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79">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173)</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5bed39f75d3242be9fdb78973a5abddc_79">
              <w:r>
                <w:rPr>
                  <w:rStyle w:val="InternetLink"/>
                  <w:rFonts w:ascii="Times New Roman;serif" w:hAnsi="Times New Roman;serif"/>
                  <w:b w:val="false"/>
                  <w:strike w:val="false"/>
                  <w:dstrike w:val="false"/>
                  <w:color w:val="000000"/>
                  <w:sz w:val="20"/>
                  <w:u w:val="none"/>
                  <w:effect w:val="none"/>
                </w:rPr>
                <w:t>77</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82">
              <w:r>
                <w:rPr>
                  <w:rStyle w:val="InternetLink"/>
                  <w:rFonts w:ascii="Times New Roman;serif" w:hAnsi="Times New Roman;serif"/>
                  <w:b w:val="false"/>
                  <w:color w:val="0000FF"/>
                  <w:sz w:val="20"/>
                  <w:u w:val="single"/>
                </w:rPr>
                <w:t>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82">
              <w:r>
                <w:rPr>
                  <w:rStyle w:val="InternetLink"/>
                  <w:rFonts w:ascii="Times New Roman;serif" w:hAnsi="Times New Roman;serif"/>
                  <w:b w:val="false"/>
                  <w:strike w:val="false"/>
                  <w:dstrike w:val="false"/>
                  <w:color w:val="000000"/>
                  <w:sz w:val="20"/>
                  <w:u w:val="none"/>
                  <w:effect w:val="none"/>
                </w:rPr>
                <w:t>78</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85">
              <w:r>
                <w:rPr>
                  <w:rStyle w:val="InternetLink"/>
                  <w:rFonts w:ascii="Times New Roman;serif" w:hAnsi="Times New Roman;serif"/>
                  <w:b w:val="false"/>
                  <w:color w:val="0000FF"/>
                  <w:sz w:val="20"/>
                  <w:u w:val="single"/>
                </w:rPr>
                <w:t>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85">
              <w:r>
                <w:rPr>
                  <w:rStyle w:val="InternetLink"/>
                  <w:rFonts w:ascii="Times New Roman;serif" w:hAnsi="Times New Roman;serif"/>
                  <w:b w:val="false"/>
                  <w:strike w:val="false"/>
                  <w:dstrike w:val="false"/>
                  <w:color w:val="000000"/>
                  <w:sz w:val="20"/>
                  <w:u w:val="none"/>
                  <w:effect w:val="none"/>
                </w:rPr>
                <w:t>79</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88">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88">
              <w:r>
                <w:rPr>
                  <w:rStyle w:val="InternetLink"/>
                  <w:rFonts w:ascii="Times New Roman;serif" w:hAnsi="Times New Roman;serif"/>
                  <w:b w:val="false"/>
                  <w:strike w:val="false"/>
                  <w:dstrike w:val="false"/>
                  <w:color w:val="000000"/>
                  <w:sz w:val="20"/>
                  <w:u w:val="none"/>
                  <w:effect w:val="none"/>
                </w:rPr>
                <w:t>80</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91">
              <w:r>
                <w:rPr>
                  <w:rStyle w:val="InternetLink"/>
                  <w:rFonts w:ascii="Times New Roman;serif" w:hAnsi="Times New Roman;serif"/>
                  <w:b w:val="false"/>
                  <w:color w:val="0000FF"/>
                  <w:sz w:val="20"/>
                  <w:u w:val="single"/>
                </w:rPr>
                <w:t>Consolidated Statements of Changes in Shareholders’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91">
              <w:r>
                <w:rPr>
                  <w:rStyle w:val="InternetLink"/>
                  <w:rFonts w:ascii="Times New Roman;serif" w:hAnsi="Times New Roman;serif"/>
                  <w:b w:val="false"/>
                  <w:strike w:val="false"/>
                  <w:dstrike w:val="false"/>
                  <w:color w:val="000000"/>
                  <w:sz w:val="20"/>
                  <w:u w:val="none"/>
                  <w:effect w:val="none"/>
                </w:rPr>
                <w:t>81</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94">
              <w:r>
                <w:rPr>
                  <w:rStyle w:val="InternetLink"/>
                  <w:rFonts w:ascii="Times New Roman;serif" w:hAnsi="Times New Roman;serif"/>
                  <w:b w:val="false"/>
                  <w:color w:val="0000FF"/>
                  <w:sz w:val="20"/>
                  <w:u w:val="single"/>
                </w:rPr>
                <w:t>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94">
              <w:r>
                <w:rPr>
                  <w:rStyle w:val="InternetLink"/>
                  <w:rFonts w:ascii="Times New Roman;serif" w:hAnsi="Times New Roman;serif"/>
                  <w:b w:val="false"/>
                  <w:strike w:val="false"/>
                  <w:dstrike w:val="false"/>
                  <w:color w:val="000000"/>
                  <w:sz w:val="20"/>
                  <w:u w:val="none"/>
                  <w:effect w:val="none"/>
                </w:rPr>
                <w:t>82</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bed39f75d3242be9fdb78973a5abddc_97">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bed39f75d3242be9fdb78973a5abddc_97">
              <w:r>
                <w:rPr>
                  <w:rStyle w:val="InternetLink"/>
                  <w:rFonts w:ascii="Times New Roman;serif" w:hAnsi="Times New Roman;serif"/>
                  <w:b w:val="false"/>
                  <w:strike w:val="false"/>
                  <w:dstrike w:val="false"/>
                  <w:color w:val="000000"/>
                  <w:sz w:val="20"/>
                  <w:u w:val="none"/>
                  <w:effect w:val="none"/>
                </w:rPr>
                <w:t>83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43840"/>
                <wp:effectExtent l="0" t="0" r="0" b="0"/>
                <wp:wrapNone/>
                <wp:docPr id="76" name="Frame7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FinWise Bancorp and Subsidiaries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FinWise Bancorp and Subsidiaries (the “Company”) as of December 31, 2025 and 2024, the related consolidated statements of income, comprehensive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00" w:after="283"/>
        <w:jc w:val="left"/>
        <w:rPr/>
      </w:pPr>
      <w:r>
        <w:rPr>
          <w:rFonts w:ascii="Times New Roman;serif" w:hAnsi="Times New Roman;serif"/>
          <w:b w:val="false"/>
          <w:color w:val="000000"/>
          <w:sz w:val="20"/>
        </w:rPr>
        <w:t>Our audits included performing procedures to assess the risks of material misstatement of the consolidated</w:t>
      </w:r>
      <w:r>
        <w:rPr>
          <w:color w:val="000000"/>
        </w:rPr>
        <w:t xml:space="preserve"> </w:t>
      </w:r>
      <w:r>
        <w:rPr>
          <w:rFonts w:ascii="Times New Roman;serif" w:hAnsi="Times New Roman;serif"/>
          <w:b w:val="false"/>
          <w:color w:val="000000"/>
          <w:sz w:val="20"/>
        </w:rPr>
        <w:t>financial statements, whether due to error or fraud, and performing procedures to respond to those risks. Such procedures included examining, on a test basis, evidence regarding the amounts and disclosures in the consolidated</w:t>
      </w:r>
      <w:r>
        <w:rPr>
          <w:color w:val="000000"/>
        </w:rPr>
        <w:t xml:space="preserve"> </w:t>
      </w:r>
      <w:r>
        <w:rPr>
          <w:rFonts w:ascii="Times New Roman;serif" w:hAnsi="Times New Roman;serif"/>
          <w:b w:val="false"/>
          <w:color w:val="000000"/>
          <w:sz w:val="20"/>
        </w:rPr>
        <w:t>financial statements. Our audits also included evaluating the accounting principles used and significant estimates made by management, as well as evaluating the overall presentation of the consolidated financial statements. We believe that our audits provide</w:t>
      </w:r>
      <w:r>
        <w:rPr>
          <w:color w:val="000000"/>
        </w:rPr>
        <w:t xml:space="preserve"> </w:t>
      </w:r>
      <w:r>
        <w:rPr>
          <w:rFonts w:ascii="Times New Roman;serif" w:hAnsi="Times New Roman;serif"/>
          <w:b w:val="false"/>
          <w:color w:val="000000"/>
          <w:sz w:val="20"/>
        </w:rPr>
        <w:t>a reasonable basis for our opinion.</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Baker Tilly US, LLP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Everett, Washington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3840"/>
                <wp:effectExtent l="0" t="0" r="0" b="0"/>
                <wp:wrapNone/>
                <wp:docPr id="77" name="Frame7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991"/>
        <w:gridCol w:w="2351"/>
        <w:gridCol w:w="2377"/>
        <w:gridCol w:w="196"/>
        <w:gridCol w:w="751"/>
        <w:gridCol w:w="109"/>
        <w:gridCol w:w="109"/>
        <w:gridCol w:w="109"/>
        <w:gridCol w:w="109"/>
        <w:gridCol w:w="196"/>
        <w:gridCol w:w="751"/>
        <w:gridCol w:w="156"/>
      </w:tblGrid>
      <w:tr>
        <w:trPr/>
        <w:tc>
          <w:tcPr>
            <w:tcW w:w="299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banks (restricted cash of $4.1 million and $3.2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available-for-sale, at fair value, net of allowance for credit losses of $0, (amortized cost of $27.5 million and $30.0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Investment securities held-to-maturity, net of allowance for credit losses of $0, (fair value of $9.0 million and $11.1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Federal Home Loan Bank (“FHLB”) stock, at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Program loans held-for-sale, at lower of cost or fair value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Loans held-for-investment, net of allowance for credit losses of $36.8 million and $13.2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Assets subject to operating leases, net of accumulated depreciation of $4.7 million and $2.7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 Business Administration (“SBA”) servicing asset,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Business Funding Group (“BFG”), at fair value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(“ROU”)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977,135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783,940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572,256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9)</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4,000,000 authorized; no shares issued and outstanding as of December 31, 2025 and December 31,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40,000,000 shares authorized; 13,655,961 and 13,211,640 shares issued and outstanding as of December 31, 2025 and December 31, 2024,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193,195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173,720 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977,135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745,976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3840"/>
                <wp:effectExtent l="0" t="0" r="0" b="0"/>
                <wp:wrapNone/>
                <wp:docPr id="78" name="Frame7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per share amounts)</w:t>
      </w:r>
    </w:p>
    <w:tbl>
      <w:tblPr>
        <w:tblW w:w="6162" w:type="dxa"/>
        <w:jc w:val="left"/>
        <w:tblInd w:w="0" w:type="dxa"/>
        <w:tblLayout w:type="fixed"/>
        <w:tblCellMar>
          <w:top w:w="28" w:type="dxa"/>
          <w:left w:w="28" w:type="dxa"/>
          <w:bottom w:w="28" w:type="dxa"/>
          <w:right w:w="28" w:type="dxa"/>
        </w:tblCellMar>
      </w:tblPr>
      <w:tblGrid>
        <w:gridCol w:w="1353"/>
        <w:gridCol w:w="1185"/>
        <w:gridCol w:w="1196"/>
        <w:gridCol w:w="206"/>
        <w:gridCol w:w="697"/>
        <w:gridCol w:w="115"/>
        <w:gridCol w:w="115"/>
        <w:gridCol w:w="115"/>
        <w:gridCol w:w="115"/>
        <w:gridCol w:w="206"/>
        <w:gridCol w:w="697"/>
        <w:gridCol w:w="162"/>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74,352 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Program fees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SBA loan servicing fees,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investment in BFG</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income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miscellaneous income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expenses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servicing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guarantee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16,091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12,742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12,828,016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12,612,455</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13,565,336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13,228,869</w:t>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43840"/>
                <wp:effectExtent l="0" t="0" r="0" b="0"/>
                <wp:wrapNone/>
                <wp:docPr id="79" name="Frame7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before="0" w:after="0"/>
        <w:jc w:val="center"/>
        <w:rPr/>
      </w:pPr>
      <w:r>
        <w:rPr/>
      </w:r>
    </w:p>
    <w:p>
      <w:pPr>
        <w:pStyle w:val="TextBody"/>
        <w:bidi w:val="0"/>
        <w:spacing w:before="0" w:after="0"/>
        <w:jc w:val="left"/>
        <w:rPr/>
      </w:pPr>
      <w:r>
        <w:rPr/>
      </w:r>
    </w:p>
    <w:tbl>
      <w:tblPr>
        <w:tblW w:w="8067" w:type="dxa"/>
        <w:jc w:val="left"/>
        <w:tblInd w:w="0" w:type="dxa"/>
        <w:tblLayout w:type="fixed"/>
        <w:tblCellMar>
          <w:top w:w="28" w:type="dxa"/>
          <w:left w:w="28" w:type="dxa"/>
          <w:bottom w:w="28" w:type="dxa"/>
          <w:right w:w="28" w:type="dxa"/>
        </w:tblCellMar>
      </w:tblPr>
      <w:tblGrid>
        <w:gridCol w:w="2034"/>
        <w:gridCol w:w="1788"/>
        <w:gridCol w:w="1817"/>
        <w:gridCol w:w="206"/>
        <w:gridCol w:w="697"/>
        <w:gridCol w:w="115"/>
        <w:gridCol w:w="115"/>
        <w:gridCol w:w="115"/>
        <w:gridCol w:w="115"/>
        <w:gridCol w:w="206"/>
        <w:gridCol w:w="697"/>
        <w:gridCol w:w="162"/>
      </w:tblGrid>
      <w:tr>
        <w:trPr/>
        <w:tc>
          <w:tcPr>
            <w:tcW w:w="203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16,091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12,742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items: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securities available-for-sale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interest rate swaps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previously unrealized gain on interest rate swaps in net income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15,930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12,929</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43840"/>
                <wp:effectExtent l="0" t="0" r="0" b="0"/>
                <wp:wrapNone/>
                <wp:docPr id="80" name="Frame8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Changes in Shareholders’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tbl>
      <w:tblPr>
        <w:tblW w:w="10205" w:type="dxa"/>
        <w:jc w:val="left"/>
        <w:tblInd w:w="0" w:type="dxa"/>
        <w:tblLayout w:type="fixed"/>
        <w:tblCellMar>
          <w:top w:w="28" w:type="dxa"/>
          <w:left w:w="28" w:type="dxa"/>
          <w:bottom w:w="28" w:type="dxa"/>
          <w:right w:w="28" w:type="dxa"/>
        </w:tblCellMar>
      </w:tblPr>
      <w:tblGrid>
        <w:gridCol w:w="832"/>
        <w:gridCol w:w="503"/>
        <w:gridCol w:w="504"/>
        <w:gridCol w:w="368"/>
        <w:gridCol w:w="368"/>
        <w:gridCol w:w="308"/>
        <w:gridCol w:w="109"/>
        <w:gridCol w:w="109"/>
        <w:gridCol w:w="109"/>
        <w:gridCol w:w="208"/>
        <w:gridCol w:w="367"/>
        <w:gridCol w:w="116"/>
        <w:gridCol w:w="109"/>
        <w:gridCol w:w="109"/>
        <w:gridCol w:w="109"/>
        <w:gridCol w:w="196"/>
        <w:gridCol w:w="661"/>
        <w:gridCol w:w="109"/>
        <w:gridCol w:w="109"/>
        <w:gridCol w:w="109"/>
        <w:gridCol w:w="109"/>
        <w:gridCol w:w="196"/>
        <w:gridCol w:w="751"/>
        <w:gridCol w:w="109"/>
        <w:gridCol w:w="109"/>
        <w:gridCol w:w="109"/>
        <w:gridCol w:w="109"/>
        <w:gridCol w:w="479"/>
        <w:gridCol w:w="1068"/>
        <w:gridCol w:w="268"/>
        <w:gridCol w:w="109"/>
        <w:gridCol w:w="109"/>
        <w:gridCol w:w="109"/>
        <w:gridCol w:w="205"/>
        <w:gridCol w:w="788"/>
        <w:gridCol w:w="166"/>
      </w:tblGrid>
      <w:tr>
        <w:trPr/>
        <w:tc>
          <w:tcPr>
            <w:tcW w:w="83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103,844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155,056</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BFG ownership purchase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339,176 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retired</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13,211,640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56,926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116,594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187</w:t>
            </w: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173,720</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surrendered for tax withholding upon vesting</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13,655,961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60,958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132,197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w:t>
            </w: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193,195</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43840"/>
                <wp:effectExtent l="0" t="0" r="0" b="0"/>
                <wp:wrapNone/>
                <wp:docPr id="81" name="Frame8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tbl>
      <w:tblPr>
        <w:tblW w:w="8434" w:type="dxa"/>
        <w:jc w:val="center"/>
        <w:tblInd w:w="0" w:type="dxa"/>
        <w:tblLayout w:type="fixed"/>
        <w:tblCellMar>
          <w:top w:w="28" w:type="dxa"/>
          <w:left w:w="28" w:type="dxa"/>
          <w:bottom w:w="28" w:type="dxa"/>
          <w:right w:w="28" w:type="dxa"/>
        </w:tblCellMar>
      </w:tblPr>
      <w:tblGrid>
        <w:gridCol w:w="2155"/>
        <w:gridCol w:w="1897"/>
        <w:gridCol w:w="1902"/>
        <w:gridCol w:w="198"/>
        <w:gridCol w:w="747"/>
        <w:gridCol w:w="109"/>
        <w:gridCol w:w="109"/>
        <w:gridCol w:w="109"/>
        <w:gridCol w:w="109"/>
        <w:gridCol w:w="198"/>
        <w:gridCol w:w="747"/>
        <w:gridCol w:w="154"/>
      </w:tblGrid>
      <w:tr>
        <w:trPr/>
        <w:tc>
          <w:tcPr>
            <w:tcW w:w="2155"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br/>
              <w:t>December 31,</w:t>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Adjustments to reconcile net income to net cash used in operating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amortization in securities (discounts) and premiums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Strategic Program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(5,719,396)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(4,829,497)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Strategic Program loans held-for-sale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4,785,423 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BFG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(recovery) of SBA servicing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credit enhancement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changes in:</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loans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lease pools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loans held-for-investment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assets subject to operating leases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investment securities available-for-sale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bank premises and equipment,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assets subject to operating leases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securities available-for-sale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paydowns of securities held-to-maturity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redemption of FHLB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deposits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related to net share settlement of equity awards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PPP Liquidity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cash equivalents and restricted cash</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the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the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Supplemental disclosures of noncash investing and 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BFG investment in exchange for shares of the Company's common stock</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43840"/>
                <wp:effectExtent l="0" t="0" r="0" b="0"/>
                <wp:wrapNone/>
                <wp:docPr id="82" name="Frame8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 Business, Basis of Presentation and Summary of Significant Accounting Policies</w:t>
      </w:r>
    </w:p>
    <w:p>
      <w:pPr>
        <w:pStyle w:val="TextBody"/>
        <w:bidi w:val="0"/>
        <w:spacing w:lineRule="auto" w:line="288" w:before="200" w:after="283"/>
        <w:jc w:val="left"/>
        <w:rPr/>
      </w:pPr>
      <w:r>
        <w:rPr>
          <w:rFonts w:ascii="Times New Roman;serif" w:hAnsi="Times New Roman;serif"/>
          <w:b/>
          <w:color w:val="000000"/>
          <w:sz w:val="20"/>
        </w:rPr>
        <w:t xml:space="preserve">Nature of business and organization – </w:t>
      </w:r>
      <w:r>
        <w:rPr>
          <w:rFonts w:ascii="Times New Roman;serif" w:hAnsi="Times New Roman;serif"/>
          <w:b w:val="false"/>
          <w:color w:val="000000"/>
          <w:sz w:val="20"/>
        </w:rPr>
        <w:t>FinWise Bancorp is a Utah corporation headquartered in Murray, Utah. The Company operates all business activities through its wholly-owned subsidiaries: FinWise Bank and FinWise Investment, LLC. FinWise Bank was originally incorporated as Utah Community Bank in the state of Utah on May 7, 1999. On March 4, 2016, Utah Community Bank amended its articles of incorporation to change its name to FinWise Bank. FinWise Bancorp, formerly known as All West Bancorp, was incorporated in Utah on October 22, 2002. Following its incorporation, All West Bancorp acquired 100% of Utah Community Bank. On March 15, 2021, All West Bancorp amended and restated its articles of incorporation to change its name to FinWise Bancorp. FinWise Investment, LLC was established to hold and manage private investments made by the Company and the Bank.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bidi w:val="0"/>
        <w:spacing w:lineRule="auto" w:line="288" w:before="200" w:after="283"/>
        <w:jc w:val="left"/>
        <w:rPr/>
      </w:pPr>
      <w:r>
        <w:rPr>
          <w:rFonts w:ascii="Times New Roman;serif" w:hAnsi="Times New Roman;serif"/>
          <w:b/>
          <w:color w:val="000000"/>
          <w:sz w:val="20"/>
        </w:rPr>
        <w:t>Principles of consolidation</w:t>
      </w:r>
      <w:r>
        <w:rPr>
          <w:color w:val="000000"/>
        </w:rPr>
        <w:t xml:space="preserve"> – </w:t>
      </w:r>
      <w:r>
        <w:rPr>
          <w:rFonts w:ascii="Times New Roman;serif" w:hAnsi="Times New Roman;serif"/>
          <w:b w:val="false"/>
          <w:color w:val="000000"/>
          <w:sz w:val="20"/>
        </w:rPr>
        <w:t xml:space="preserve">The consolidated financial statements include the accounts of FinWise Bancorp and its wholly-owned subsidiaries, FinWise Bank and FinWise Investment, LLC. All significant inter-company balances and transactions have been eliminated in consolidation. </w:t>
      </w:r>
    </w:p>
    <w:p>
      <w:pPr>
        <w:pStyle w:val="TextBody"/>
        <w:bidi w:val="0"/>
        <w:spacing w:lineRule="auto" w:line="288" w:before="200" w:after="283"/>
        <w:jc w:val="left"/>
        <w:rPr/>
      </w:pPr>
      <w:r>
        <w:rPr>
          <w:rFonts w:ascii="Times New Roman;serif" w:hAnsi="Times New Roman;serif"/>
          <w:b/>
          <w:color w:val="000000"/>
          <w:sz w:val="20"/>
        </w:rPr>
        <w:t>Emerging Growth Company status</w:t>
      </w:r>
      <w:r>
        <w:rPr>
          <w:color w:val="000000"/>
        </w:rPr>
        <w:t xml:space="preserve"> – </w:t>
      </w:r>
      <w:r>
        <w:rPr>
          <w:rFonts w:ascii="Times New Roman;serif" w:hAnsi="Times New Roman;serif"/>
          <w:b w:val="false"/>
          <w:color w:val="000000"/>
          <w:sz w:val="20"/>
        </w:rPr>
        <w:t>The Company is an emerging growth company as defined in t</w:t>
      </w:r>
      <w:r>
        <w:rPr>
          <w:rFonts w:ascii="Times New Roman;serif" w:hAnsi="Times New Roman;serif"/>
          <w:b w:val="false"/>
          <w:color w:val="000000"/>
          <w:sz w:val="20"/>
          <w:shd w:fill="FFFFFF" w:val="clear"/>
        </w:rPr>
        <w:t>he Jumpstart our Business Startups Act of 2012 (the “JOBS Act”). The JOBS Act permits the Company to extend the transition period for complying with new or revised accounting standards affecting public companies. The Company has elected to take advantage of this extended transition period, which means that the financial statements included in this annual report, as well as any financial statements that we file in the future, may not be subject to all new or revised accounting standards generally applicable to public companies for the transition period for so long as the Company remains an emerging growth company or until the Company affirmatively and irrevocably opts out of the extended transition period under the JOBS Act.</w:t>
      </w:r>
    </w:p>
    <w:p>
      <w:pPr>
        <w:pStyle w:val="TextBody"/>
        <w:bidi w:val="0"/>
        <w:spacing w:lineRule="auto" w:line="288" w:before="200" w:after="283"/>
        <w:jc w:val="left"/>
        <w:rPr/>
      </w:pPr>
      <w:r>
        <w:rPr>
          <w:rFonts w:ascii="Times New Roman;serif" w:hAnsi="Times New Roman;serif"/>
          <w:b/>
          <w:color w:val="000000"/>
          <w:sz w:val="20"/>
        </w:rPr>
        <w:t>Significant concentrations of credit risk</w:t>
      </w:r>
      <w:r>
        <w:rPr>
          <w:color w:val="000000"/>
        </w:rPr>
        <w:t xml:space="preserve"> – </w:t>
      </w:r>
      <w:r>
        <w:rPr>
          <w:rFonts w:ascii="Times New Roman;serif" w:hAnsi="Times New Roman;serif"/>
          <w:b w:val="false"/>
          <w:color w:val="000000"/>
          <w:sz w:val="20"/>
        </w:rPr>
        <w:t>The Company's lending and leasing activities are conducted with customers located throughout the United States. The Company’s loan portfolio may, from time to time, have concentrations in significant balances in certain loan categories, such as SBA loans or Strategic Program loans. The relative significance and composition of the portfolio may change over time based on business strategy and market conditions. The collectibility of loans and leases is particularly susceptible to changes in market conditions, such as shifts in interest rates and economic downturns.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2025 and 2024, the Company analyzed its exposure to credit risks and concluded that no significant exposure exists from such concentrations of credit risk.</w:t>
      </w:r>
    </w:p>
    <w:p>
      <w:pPr>
        <w:pStyle w:val="TextBody"/>
        <w:bidi w:val="0"/>
        <w:spacing w:lineRule="auto" w:line="288" w:before="200" w:after="283"/>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In preparing the consolidated financial statements in accordance with United States generally accepted accounting principles (“U.S.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43840"/>
                <wp:effectExtent l="0" t="0" r="0" b="0"/>
                <wp:wrapNone/>
                <wp:docPr id="83" name="Frame8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Material estimates that are particularly susceptible to significant changes in the near term relate to the determination of the allowance for credit losses (“ACL”). While management uses currently available information to recognize credit losses on loans, future additions to the allowance may be necessary based on economic conditions and individual credit deterioration.</w:t>
      </w:r>
    </w:p>
    <w:p>
      <w:pPr>
        <w:pStyle w:val="TextBody"/>
        <w:bidi w:val="0"/>
        <w:spacing w:lineRule="auto" w:line="288" w:before="200" w:after="283"/>
        <w:jc w:val="left"/>
        <w:rPr/>
      </w:pPr>
      <w:r>
        <w:rPr>
          <w:rFonts w:ascii="Times New Roman;serif" w:hAnsi="Times New Roman;serif"/>
          <w:b/>
          <w:color w:val="000000"/>
          <w:sz w:val="20"/>
        </w:rPr>
        <w:t>Reclassifications</w:t>
      </w:r>
      <w:r>
        <w:rPr>
          <w:color w:val="000000"/>
        </w:rPr>
        <w:t xml:space="preserve"> – </w:t>
      </w:r>
      <w:r>
        <w:rPr>
          <w:rFonts w:ascii="Times New Roman;serif" w:hAnsi="Times New Roman;serif"/>
          <w:b w:val="false"/>
          <w:color w:val="000000"/>
          <w:sz w:val="20"/>
        </w:rPr>
        <w:t>Reclassifications have been made to prior year amounts to conform to the current year presentation. The effect of these reclassifications were not material to the previously reported consolidated financial statements.</w:t>
      </w:r>
    </w:p>
    <w:p>
      <w:pPr>
        <w:pStyle w:val="TextBody"/>
        <w:bidi w:val="0"/>
        <w:spacing w:lineRule="auto" w:line="288" w:before="200" w:after="283"/>
        <w:jc w:val="left"/>
        <w:rPr/>
      </w:pPr>
      <w:r>
        <w:rPr>
          <w:rFonts w:ascii="Times New Roman;serif" w:hAnsi="Times New Roman;serif"/>
          <w:b/>
          <w:color w:val="000000"/>
          <w:sz w:val="20"/>
        </w:rPr>
        <w:t>Cash and cash equivalents</w:t>
      </w:r>
      <w:r>
        <w:rPr>
          <w:color w:val="000000"/>
        </w:rPr>
        <w:t xml:space="preserve"> – </w:t>
      </w:r>
      <w:r>
        <w:rPr>
          <w:rFonts w:ascii="Times New Roman;serif" w:hAnsi="Times New Roman;serif"/>
          <w:b w:val="false"/>
          <w:color w:val="000000"/>
          <w:sz w:val="20"/>
        </w:rPr>
        <w:t>For purposes of reporting cash flows, the Company defines cash and cash equivalents as cash, cash due from banks, interest-bearing deposits in other banks, other interest-bearing deposits, and federal funds sold.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its cash in deposit accounts that, at times, may exceed federally insured limits. The Company has not experienced any losses in such accounts and believes it is not exposed to any significant credit risk on cash and cash equivalents.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Federal Reserve Board Regulations require maintenance of certain minimum reserve balances based on certain average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2025.</w:t>
      </w:r>
    </w:p>
    <w:p>
      <w:pPr>
        <w:pStyle w:val="TextBody"/>
        <w:bidi w:val="0"/>
        <w:spacing w:lineRule="auto" w:line="288" w:before="200" w:after="283"/>
        <w:jc w:val="left"/>
        <w:rPr/>
      </w:pPr>
      <w:r>
        <w:rPr>
          <w:rFonts w:ascii="Times New Roman;serif" w:hAnsi="Times New Roman;serif"/>
          <w:b/>
          <w:color w:val="000000"/>
          <w:sz w:val="20"/>
        </w:rPr>
        <w:t>Restricted cash</w:t>
      </w:r>
      <w:r>
        <w:rPr>
          <w:color w:val="000000"/>
        </w:rPr>
        <w:t xml:space="preserve"> – </w:t>
      </w:r>
      <w:r>
        <w:rPr>
          <w:rFonts w:ascii="Times New Roman;serif" w:hAnsi="Times New Roman;serif"/>
          <w:b w:val="false"/>
          <w:color w:val="000000"/>
          <w:sz w:val="20"/>
        </w:rPr>
        <w:t xml:space="preserve">The Company has restricted cash balances required by the Company’s credit card merchant for payment processing and card management services as well as a restricted cash held as collateral against the Company’s derivatives.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lineRule="auto" w:line="288" w:before="200" w:after="283"/>
        <w:jc w:val="left"/>
        <w:rPr/>
      </w:pPr>
      <w:r>
        <w:rPr>
          <w:rFonts w:ascii="Times New Roman;serif" w:hAnsi="Times New Roman;serif"/>
          <w:b/>
          <w:i/>
          <w:color w:val="000000"/>
          <w:sz w:val="20"/>
        </w:rPr>
        <w:t>Investment securities available-for-sale</w:t>
      </w:r>
      <w:r>
        <w:rPr>
          <w:color w:val="000000"/>
        </w:rPr>
        <w:t xml:space="preserve"> – </w:t>
      </w:r>
      <w:r>
        <w:rPr>
          <w:rFonts w:ascii="Times New Roman;serif" w:hAnsi="Times New Roman;serif"/>
          <w:b w:val="false"/>
          <w:color w:val="000000"/>
          <w:sz w:val="20"/>
        </w:rPr>
        <w:t>U.S. Treasury securities that the Company intends to hold for an indefinite period of time, but which may be sold in response to changes in liquidity needs, interest rates, or other similar factors, are classified as available-for-sale (“AFS”). Such securities are recorded in the Company’s consolidated balance sheets at their respective fair values and increases or decreases in those values, other than credit losses, are recorded as unrealized gains or losses, respectively, and are reported as other comprehensive income (loss) in the Company’s consolidated balance sheets, rather than included in or deducted from the Company’s earnings. The Company performs a quarterly analysis of its investment securities AFS to assess and record any expected credit losses through an allowance for credit losses, limited to the amount that fair value was less than the amortized cost basis. Interest on securities classified as AFS are recorded in interest on securities in the Company’s Consolidated Statements of Income.</w:t>
      </w:r>
    </w:p>
    <w:p>
      <w:pPr>
        <w:pStyle w:val="TextBody"/>
        <w:bidi w:val="0"/>
        <w:spacing w:lineRule="auto" w:line="288" w:before="200" w:after="283"/>
        <w:jc w:val="left"/>
        <w:rPr/>
      </w:pPr>
      <w:r>
        <w:rPr>
          <w:rFonts w:ascii="Times New Roman;serif" w:hAnsi="Times New Roman;serif"/>
          <w:b/>
          <w:i/>
          <w:color w:val="000000"/>
          <w:sz w:val="20"/>
        </w:rPr>
        <w:t>Investment securities held-to-maturity</w:t>
      </w:r>
      <w:r>
        <w:rPr>
          <w:color w:val="000000"/>
        </w:rPr>
        <w:t xml:space="preserve"> – </w:t>
      </w:r>
      <w:r>
        <w:rPr>
          <w:rFonts w:ascii="Times New Roman;serif" w:hAnsi="Times New Roman;serif"/>
          <w:b w:val="false"/>
          <w:color w:val="000000"/>
          <w:sz w:val="20"/>
        </w:rPr>
        <w:t>Debt securities that management has the positive intent and ability to hold to maturity are classified as held-to-maturity (“HTM”) and recorded at amortized cost.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Each quarter management evaluates impairment where there has been a decline in fair value below the amortized cost basis of a security to determine whether there is a credit loss associated with the decline in fair value. Management considers the nature of the collateral, potential future changes in collateral values, default rates, delinquency rates, third-party guarantees, credit ratings, interest rate changes since purchase, volatility of the security's fair value and historical loss information for financial assets secured with similar collateral among other factors. Credit losses are calculated individually, rather than collectively, using a discounted cash flow method, whereby management compares the present value of expected cash flows with the amortized cost basis of the security. The credit loss component is recognized through the provision for credit losses on the Company’s Consolidated Statements of Income. (See Note 2 - Investments.)</w:t>
      </w:r>
    </w:p>
    <w:p>
      <w:pPr>
        <w:pStyle w:val="TextBody"/>
        <w:bidi w:val="0"/>
        <w:spacing w:lineRule="auto" w:line="288" w:before="200" w:after="283"/>
        <w:jc w:val="left"/>
        <w:rPr/>
      </w:pPr>
      <w:r>
        <w:rPr>
          <w:rFonts w:ascii="Times New Roman;serif" w:hAnsi="Times New Roman;serif"/>
          <w:b/>
          <w:i/>
          <w:color w:val="000000"/>
          <w:sz w:val="20"/>
        </w:rPr>
        <w:t>Equity method investments</w:t>
      </w:r>
      <w:r>
        <w:rPr>
          <w:color w:val="000000"/>
        </w:rPr>
        <w:t xml:space="preserve"> – </w:t>
      </w:r>
      <w:r>
        <w:rPr>
          <w:rFonts w:ascii="Times New Roman;serif" w:hAnsi="Times New Roman;serif"/>
          <w:b w:val="false"/>
          <w:color w:val="000000"/>
          <w:sz w:val="20"/>
        </w:rPr>
        <w:t xml:space="preserve">Ownership interests in entities for which the Company has significant influence that are not 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6 - Investment </w:t>
      </w:r>
      <w:r>
        <w:rPr>
          <w:rFonts w:ascii="Times New Roman;serif" w:hAnsi="Times New Roman;serif"/>
          <w:b w:val="false"/>
          <w:color w:val="000000"/>
          <w:sz w:val="20"/>
          <w:shd w:fill="FFFFFF" w:val="clear"/>
        </w:rPr>
        <w:t>in Business Funding Group, LLC</w:t>
      </w:r>
      <w:r>
        <w:rPr>
          <w:rFonts w:ascii="Times New Roman;serif" w:hAnsi="Times New Roman;serif"/>
          <w:b w:val="false"/>
          <w:color w:val="000000"/>
          <w:sz w:val="20"/>
        </w:rPr>
        <w:t>, for a discussion about the Company’s investment in BFG.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43840"/>
                <wp:effectExtent l="0" t="0" r="0" b="0"/>
                <wp:wrapNone/>
                <wp:docPr id="84" name="Frame8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color w:val="000000"/>
          <w:sz w:val="20"/>
        </w:rPr>
        <w:t xml:space="preserve">Investment in Federal Home Loan Bank (“FHLB”) stock </w:t>
      </w:r>
      <w:r>
        <w:rPr>
          <w:color w:val="000000"/>
        </w:rPr>
        <w:t xml:space="preserve">– </w:t>
      </w:r>
      <w:r>
        <w:rPr>
          <w:rFonts w:ascii="Times New Roman;serif" w:hAnsi="Times New Roman;serif"/>
          <w:b w:val="false"/>
          <w:color w:val="000000"/>
          <w:sz w:val="20"/>
        </w:rPr>
        <w:t>FHLB stock investments are required based on the level of the 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pStyle w:val="TextBody"/>
        <w:bidi w:val="0"/>
        <w:spacing w:lineRule="auto" w:line="288" w:before="200" w:after="283"/>
        <w:jc w:val="left"/>
        <w:rPr/>
      </w:pPr>
      <w:r>
        <w:rPr>
          <w:rFonts w:ascii="Times New Roman;serif" w:hAnsi="Times New Roman;serif"/>
          <w:b/>
          <w:color w:val="000000"/>
          <w:sz w:val="20"/>
        </w:rPr>
        <w:t xml:space="preserve">Loans held-for-sale </w:t>
      </w:r>
      <w:r>
        <w:rPr>
          <w:color w:val="000000"/>
        </w:rPr>
        <w:t xml:space="preserve">– </w:t>
      </w:r>
      <w:r>
        <w:rPr>
          <w:rFonts w:ascii="Times New Roman;serif" w:hAnsi="Times New Roman;serif"/>
          <w:b w:val="false"/>
          <w:color w:val="000000"/>
          <w:sz w:val="20"/>
        </w:rPr>
        <w:t xml:space="preserve">Loans held-for-sale are carried at the lower of aggregate cost or fair value. Gains and losses are recorded in non-interest income based on the difference between sales proceeds and carrying value. While the Company sells the vast majority of the loans funded in its Strategic Programs shortly after origination, the Company may choose to retain a portion of the funded loans and/or receivables. </w:t>
      </w:r>
    </w:p>
    <w:p>
      <w:pPr>
        <w:pStyle w:val="TextBody"/>
        <w:bidi w:val="0"/>
        <w:spacing w:lineRule="auto" w:line="288" w:before="200" w:after="283"/>
        <w:jc w:val="left"/>
        <w:rPr/>
      </w:pPr>
      <w:r>
        <w:rPr>
          <w:rFonts w:ascii="Times New Roman;serif" w:hAnsi="Times New Roman;serif"/>
          <w:b/>
          <w:color w:val="000000"/>
          <w:sz w:val="20"/>
        </w:rPr>
        <w:t xml:space="preserve">Loans held-for-investment </w:t>
      </w:r>
      <w:r>
        <w:rPr>
          <w:color w:val="000000"/>
        </w:rPr>
        <w:t xml:space="preserve">– </w:t>
      </w:r>
      <w:r>
        <w:rPr>
          <w:rFonts w:ascii="Times New Roman;serif" w:hAnsi="Times New Roman;serif"/>
          <w:b w:val="false"/>
          <w:color w:val="000000"/>
          <w:sz w:val="20"/>
        </w:rPr>
        <w:t xml:space="preserve">Loans held-for-investment are reported at their outstanding principal adjusted for any charge-offs, the allowance for credit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requires most commercial loans and leases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change its intent from holding loans for investment and reclassify them as held-for-sale. </w:t>
      </w:r>
    </w:p>
    <w:p>
      <w:pPr>
        <w:pStyle w:val="TextBody"/>
        <w:bidi w:val="0"/>
        <w:spacing w:lineRule="auto" w:line="288" w:before="200" w:after="283"/>
        <w:jc w:val="left"/>
        <w:rPr/>
      </w:pPr>
      <w:r>
        <w:rPr>
          <w:rFonts w:ascii="Times New Roman;serif" w:hAnsi="Times New Roman;serif"/>
          <w:b/>
          <w:color w:val="000000"/>
          <w:sz w:val="20"/>
        </w:rPr>
        <w:t xml:space="preserve">Allowance for credit losses </w:t>
      </w:r>
      <w:r>
        <w:rPr>
          <w:color w:val="000000"/>
        </w:rPr>
        <w:t xml:space="preserve">– </w:t>
      </w:r>
      <w:r>
        <w:rPr>
          <w:rFonts w:ascii="Times New Roman;serif" w:hAnsi="Times New Roman;serif"/>
          <w:b w:val="false"/>
          <w:color w:val="000000"/>
          <w:sz w:val="20"/>
        </w:rPr>
        <w:t>The allowance for credit losses is calculated under the current expected credit loss (“CECL”) model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is reported as a reduction of the amortized cost basis of loans held-for-investment,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Accrued interest receivable is excluded from the ACL calculation. The amortized cost basis of loans does not include accrued interest receivable.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left"/>
        <w:rPr/>
      </w:pPr>
      <w:r>
        <w:rPr>
          <w:rFonts w:ascii="Times New Roman;serif" w:hAnsi="Times New Roman;serif"/>
          <w:b w:val="false"/>
          <w:i/>
          <w:color w:val="000000"/>
          <w:sz w:val="20"/>
        </w:rPr>
        <w:t>ACL in accordance with CECL methodology</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credit and fraud losses assumed to be credit related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43840"/>
                <wp:effectExtent l="0" t="0" r="0" b="0"/>
                <wp:wrapNone/>
                <wp:docPr id="85" name="Frame8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288" w:before="200" w:after="283"/>
        <w:jc w:val="left"/>
        <w:rPr/>
      </w:pPr>
      <w:r>
        <w:rPr>
          <w:rFonts w:ascii="Times New Roman;serif" w:hAnsi="Times New Roman;serif"/>
          <w:b w:val="false"/>
          <w:color w:val="000000"/>
          <w:sz w:val="20"/>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w:t>
      </w:r>
      <w:r>
        <w:rPr>
          <w:color w:val="000000"/>
        </w:rPr>
        <w:t xml:space="preserve"> </w:t>
      </w:r>
      <w:r>
        <w:rPr>
          <w:rFonts w:ascii="Times New Roman;serif" w:hAnsi="Times New Roman;serif"/>
          <w:b w:val="false"/>
          <w:color w:val="000000"/>
          <w:sz w:val="20"/>
        </w:rPr>
        <w:t>assurance that it will be sufficient to absorb future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determining an appropriate amount for the allowance, the Bank segments and aggregates the loan portfolio based on common characteristics. The following segments have been identified:</w:t>
      </w:r>
    </w:p>
    <w:p>
      <w:pPr>
        <w:pStyle w:val="TextBody"/>
        <w:bidi w:val="0"/>
        <w:spacing w:lineRule="auto" w:line="288" w:before="200" w:after="283"/>
        <w:jc w:val="left"/>
        <w:rPr/>
      </w:pPr>
      <w:r>
        <w:rPr>
          <w:rFonts w:ascii="Times New Roman;serif" w:hAnsi="Times New Roman;serif"/>
          <w:b w:val="false"/>
          <w:color w:val="000000"/>
          <w:sz w:val="20"/>
          <w:u w:val="single"/>
        </w:rPr>
        <w:t>Commercial Real Estate</w:t>
      </w:r>
      <w:r>
        <w:rPr>
          <w:rFonts w:ascii="Times New Roman;serif" w:hAnsi="Times New Roman;serif"/>
          <w:b w:val="false"/>
          <w:color w:val="000000"/>
          <w:sz w:val="20"/>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288" w:before="200" w:after="283"/>
        <w:jc w:val="left"/>
        <w:rPr/>
      </w:pPr>
      <w:r>
        <w:rPr>
          <w:rFonts w:ascii="Times New Roman;serif" w:hAnsi="Times New Roman;serif"/>
          <w:b w:val="false"/>
          <w:color w:val="000000"/>
          <w:sz w:val="20"/>
          <w:u w:val="single"/>
        </w:rPr>
        <w:t>Commercial and Industrial</w:t>
      </w:r>
      <w:r>
        <w:rPr>
          <w:rFonts w:ascii="Times New Roman;serif" w:hAnsi="Times New Roman;serif"/>
          <w:b w:val="false"/>
          <w:color w:val="000000"/>
          <w:sz w:val="20"/>
        </w:rPr>
        <w:t xml:space="preserve">.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w:t>
      </w:r>
    </w:p>
    <w:p>
      <w:pPr>
        <w:pStyle w:val="TextBody"/>
        <w:bidi w:val="0"/>
        <w:spacing w:lineRule="auto" w:line="288" w:before="200" w:after="283"/>
        <w:jc w:val="left"/>
        <w:rPr/>
      </w:pPr>
      <w:r>
        <w:rPr>
          <w:rFonts w:ascii="Times New Roman;serif" w:hAnsi="Times New Roman;serif"/>
          <w:b w:val="false"/>
          <w:color w:val="000000"/>
          <w:sz w:val="20"/>
          <w:u w:val="single"/>
        </w:rPr>
        <w:t>Commercial Leases</w:t>
      </w:r>
      <w:r>
        <w:rPr>
          <w:rFonts w:ascii="Times New Roman;serif" w:hAnsi="Times New Roman;serif"/>
          <w:b w:val="false"/>
          <w:color w:val="000000"/>
          <w:sz w:val="20"/>
        </w:rPr>
        <w:t xml:space="preserve">.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lease. In equipment leasing, the residual value of the equipment is an important consideration. The residual value is the estimated value of the equipment at the end of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43840"/>
                <wp:effectExtent l="0" t="0" r="0" b="0"/>
                <wp:wrapNone/>
                <wp:docPr id="86" name="Frame8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the actual value of the equipment is lower than the residual value, the lessor may not be able to recover the full amount of the lease payments.</w:t>
      </w:r>
    </w:p>
    <w:p>
      <w:pPr>
        <w:pStyle w:val="TextBody"/>
        <w:bidi w:val="0"/>
        <w:spacing w:lineRule="auto" w:line="288" w:before="200" w:after="283"/>
        <w:jc w:val="left"/>
        <w:rPr/>
      </w:pPr>
      <w:r>
        <w:rPr>
          <w:rFonts w:ascii="Times New Roman;serif" w:hAnsi="Times New Roman;serif"/>
          <w:b w:val="false"/>
          <w:color w:val="000000"/>
          <w:sz w:val="20"/>
          <w:u w:val="single"/>
        </w:rPr>
        <w:t>Construction and Land Development</w:t>
      </w:r>
      <w:r>
        <w:rPr>
          <w:rFonts w:ascii="Times New Roman;serif" w:hAnsi="Times New Roman;serif"/>
          <w:b w:val="false"/>
          <w:color w:val="000000"/>
          <w:sz w:val="20"/>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TextBody"/>
        <w:bidi w:val="0"/>
        <w:spacing w:lineRule="auto" w:line="288" w:before="200" w:after="283"/>
        <w:jc w:val="left"/>
        <w:rPr/>
      </w:pPr>
      <w:r>
        <w:rPr>
          <w:rFonts w:ascii="Times New Roman;serif" w:hAnsi="Times New Roman;serif"/>
          <w:b w:val="false"/>
          <w:color w:val="000000"/>
          <w:sz w:val="20"/>
          <w:u w:val="single"/>
        </w:rPr>
        <w:t>Consumer</w:t>
      </w:r>
      <w:r>
        <w:rPr>
          <w:rFonts w:ascii="Times New Roman;serif" w:hAnsi="Times New Roman;serif"/>
          <w:b w:val="false"/>
          <w:color w:val="000000"/>
          <w:sz w:val="20"/>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288" w:before="200" w:after="283"/>
        <w:jc w:val="left"/>
        <w:rPr/>
      </w:pPr>
      <w:r>
        <w:rPr>
          <w:rFonts w:ascii="Times New Roman;serif" w:hAnsi="Times New Roman;serif"/>
          <w:b w:val="false"/>
          <w:color w:val="000000"/>
          <w:sz w:val="20"/>
          <w:u w:val="single"/>
        </w:rPr>
        <w:t>Residential Real Estate</w:t>
      </w:r>
      <w:r>
        <w:rPr>
          <w:rFonts w:ascii="Times New Roman;serif" w:hAnsi="Times New Roman;serif"/>
          <w:b w:val="false"/>
          <w:color w:val="000000"/>
          <w:sz w:val="20"/>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288" w:before="200" w:after="283"/>
        <w:jc w:val="left"/>
        <w:rPr/>
      </w:pPr>
      <w:r>
        <w:rPr>
          <w:rFonts w:ascii="Times New Roman;serif" w:hAnsi="Times New Roman;serif"/>
          <w:b w:val="false"/>
          <w:color w:val="000000"/>
          <w:sz w:val="20"/>
          <w:u w:val="single"/>
        </w:rPr>
        <w:t>Residential Real Estate Multifamily</w:t>
      </w:r>
      <w:r>
        <w:rPr>
          <w:rFonts w:ascii="Times New Roman;serif" w:hAnsi="Times New Roman;serif"/>
          <w:b w:val="false"/>
          <w:color w:val="000000"/>
          <w:sz w:val="20"/>
        </w:rPr>
        <w:t xml:space="preserve">.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 </w:t>
      </w:r>
    </w:p>
    <w:p>
      <w:pPr>
        <w:pStyle w:val="TextBody"/>
        <w:bidi w:val="0"/>
        <w:spacing w:lineRule="auto" w:line="288" w:before="200" w:after="283"/>
        <w:jc w:val="left"/>
        <w:rPr/>
      </w:pPr>
      <w:r>
        <w:rPr>
          <w:rFonts w:ascii="Times New Roman;serif" w:hAnsi="Times New Roman;serif"/>
          <w:b w:val="false"/>
          <w:color w:val="000000"/>
          <w:sz w:val="20"/>
          <w:u w:val="single"/>
        </w:rPr>
        <w:t>Strategic Program Loans Held-for-Investment</w:t>
      </w:r>
      <w:r>
        <w:rPr>
          <w:rFonts w:ascii="Times New Roman;serif" w:hAnsi="Times New Roman;serif"/>
          <w:b w:val="false"/>
          <w:color w:val="000000"/>
          <w:sz w:val="20"/>
        </w:rPr>
        <w:t>.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See Note 3 - Loans for more information about the Company’s Strategic Program loan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agreements with our Strategic Program Service Providers provide for a credit enhancement, which protects the Bank by indemnifying or reimbursing incurred credit and fraud losses. The Company estimates and records a provision for expected losses for these Strategic Program loans. When the provision for the credit losses is recorded, a credit enhancement asset is also recorded on the balance sheet through non-interest income (credit enhancement income) equal to the provision for credit losses estimated for the credit enhanced loans. The credit enhancement asset is reduced when payments for the credit losses charged to the ACL are taken from the Strategic Program Service Provider’s cash reserve account created to absorb the credit losses incurred. The cash reserve account is replenished monthly from cash flows due to the Program Service provider related to the credit enhanced loans. </w:t>
      </w:r>
    </w:p>
    <w:p>
      <w:pPr>
        <w:pStyle w:val="TextBody"/>
        <w:bidi w:val="0"/>
        <w:spacing w:lineRule="auto" w:line="288" w:before="200" w:after="283"/>
        <w:jc w:val="left"/>
        <w:rPr/>
      </w:pPr>
      <w:r>
        <w:rPr>
          <w:rFonts w:ascii="Times New Roman;serif" w:hAnsi="Times New Roman;serif"/>
          <w:b/>
          <w:color w:val="000000"/>
          <w:sz w:val="20"/>
        </w:rPr>
        <w:t xml:space="preserve">Nonaccrual loans </w:t>
      </w:r>
      <w:r>
        <w:rPr>
          <w:color w:val="000000"/>
        </w:rPr>
        <w:t xml:space="preserve">– </w:t>
      </w:r>
      <w:r>
        <w:rPr>
          <w:rFonts w:ascii="Times New Roman;serif" w:hAnsi="Times New Roman;serif"/>
          <w:b w:val="false"/>
          <w:color w:val="000000"/>
          <w:sz w:val="20"/>
        </w:rPr>
        <w:t xml:space="preserve">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 </w:t>
      </w:r>
    </w:p>
    <w:p>
      <w:pPr>
        <w:pStyle w:val="TextBody"/>
        <w:bidi w:val="0"/>
        <w:spacing w:lineRule="auto" w:line="288" w:before="200" w:after="283"/>
        <w:jc w:val="left"/>
        <w:rPr/>
      </w:pPr>
      <w:r>
        <w:rPr>
          <w:rFonts w:ascii="Times New Roman;serif" w:hAnsi="Times New Roman;serif"/>
          <w:b/>
          <w:color w:val="000000"/>
          <w:sz w:val="20"/>
        </w:rPr>
        <w:t>Premises and equipment, net</w:t>
      </w:r>
      <w:r>
        <w:rPr>
          <w:color w:val="000000"/>
        </w:rPr>
        <w:t xml:space="preserve"> – </w:t>
      </w:r>
      <w:r>
        <w:rPr>
          <w:rFonts w:ascii="Times New Roman;serif" w:hAnsi="Times New Roman;serif"/>
          <w:b w:val="false"/>
          <w:color w:val="000000"/>
          <w:sz w:val="20"/>
        </w:rPr>
        <w:t xml:space="preserve">Premises and equipment are stated at cost less accumulated depreciation. Depreciation expense, which is included in occupancy and equipment expenses, is computed using the straight-line method over the estimated useful lives of the related assets. Expenditures for new premises and equipment and major improvements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43840"/>
                <wp:effectExtent l="0" t="0" r="0" b="0"/>
                <wp:wrapNone/>
                <wp:docPr id="87" name="Frame8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capitalized. Normal costs of maintenance and repairs are charged to expense as incurred. Gains and losses on dispositions are included in non-interest expense.</w:t>
      </w:r>
    </w:p>
    <w:p>
      <w:pPr>
        <w:pStyle w:val="TextBody"/>
        <w:bidi w:val="0"/>
        <w:spacing w:lineRule="auto" w:line="288" w:before="200" w:after="283"/>
        <w:jc w:val="left"/>
        <w:rPr/>
      </w:pPr>
      <w:r>
        <w:rPr>
          <w:rFonts w:ascii="Times New Roman;serif" w:hAnsi="Times New Roman;serif"/>
          <w:b/>
          <w:color w:val="000000"/>
          <w:sz w:val="20"/>
        </w:rPr>
        <w:t xml:space="preserve">Lessor accounting - assets subject to operating leases, net – </w:t>
      </w:r>
      <w:r>
        <w:rPr>
          <w:rFonts w:ascii="Times New Roman;serif" w:hAnsi="Times New Roman;serif"/>
          <w:b w:val="false"/>
          <w:color w:val="000000"/>
          <w:sz w:val="20"/>
        </w:rPr>
        <w:t>The Company leases commercial operating equipment to a variety of customers. At lease inception the Company determines if an arrangement is a lease. The equipment underlying the operating lease is reported at cost and depreciated based on their useful lives on a straight-line basis to the residual value. These residual values are reviewed annually to ensure the recorded amount does not exceed the fair market value at the lease termination. Revenue consists of the contractual lease payments and is recognized on a straight-line basis over a specified lease term. The Company also has net investments in commercial operating equipment leased to customers, which are classified as sales-type leases or direct financing leases. Investments in sales-type leases and direct financing leases are recorded on a net basis. Profit on sales-type leases is recognized at lease commencement and recorded in other miscellaneous income. Unearned income on direct financing leases is deferred, included in the net investment in the lease, and recognized over the lease term, yielding a constant periodic rate of return on the net investment in the lease. Sales from sales-type and operating leases are presented net of sales tax and other related taxes. Interest income is recognized over the lease term using the effective interest method.</w:t>
      </w:r>
    </w:p>
    <w:p>
      <w:pPr>
        <w:pStyle w:val="TextBody"/>
        <w:bidi w:val="0"/>
        <w:spacing w:lineRule="auto" w:line="288" w:before="200" w:after="283"/>
        <w:jc w:val="left"/>
        <w:rPr/>
      </w:pPr>
      <w:r>
        <w:rPr>
          <w:rFonts w:ascii="Times New Roman;serif" w:hAnsi="Times New Roman;serif"/>
          <w:b/>
          <w:color w:val="000000"/>
          <w:sz w:val="20"/>
        </w:rPr>
        <w:t xml:space="preserve">Lessee accounting – </w:t>
      </w:r>
      <w:r>
        <w:rPr>
          <w:rFonts w:ascii="Times New Roman;serif" w:hAnsi="Times New Roman;serif"/>
          <w:b w:val="false"/>
          <w:color w:val="000000"/>
          <w:sz w:val="20"/>
        </w:rPr>
        <w:t>The Company accounts for leases according to ASU 2016-02, Leases (Topic 842), and applies a right -of-use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to not apply the recognition requirements of ASC 842 to short-term leases, defined as leases with a term of twelve months or less, and to recognize the lease payments in net income on short-term leases on a straight-line basis over the lease term.</w:t>
      </w:r>
    </w:p>
    <w:p>
      <w:pPr>
        <w:pStyle w:val="TextBody"/>
        <w:bidi w:val="0"/>
        <w:spacing w:lineRule="auto" w:line="288" w:before="200" w:after="283"/>
        <w:jc w:val="left"/>
        <w:rPr/>
      </w:pPr>
      <w:r>
        <w:rPr>
          <w:rFonts w:ascii="Times New Roman;serif" w:hAnsi="Times New Roman;serif"/>
          <w:b/>
          <w:color w:val="000000"/>
          <w:sz w:val="20"/>
        </w:rPr>
        <w:t>Income taxes</w:t>
      </w:r>
      <w:r>
        <w:rPr>
          <w:color w:val="000000"/>
        </w:rPr>
        <w:t xml:space="preserve"> – </w:t>
      </w:r>
      <w:r>
        <w:rPr>
          <w:rFonts w:ascii="Times New Roman;serif" w:hAnsi="Times New Roman;serif"/>
          <w:b w:val="false"/>
          <w:color w:val="000000"/>
          <w:sz w:val="20"/>
        </w:rPr>
        <w:t>Deferred income tax assets and deferred income tax liabilities represent the tax effect of temporary differences 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pStyle w:val="TextBody"/>
        <w:bidi w:val="0"/>
        <w:spacing w:lineRule="auto" w:line="288" w:before="200" w:after="283"/>
        <w:jc w:val="left"/>
        <w:rPr/>
      </w:pPr>
      <w:r>
        <w:rPr>
          <w:rFonts w:ascii="Times New Roman;serif" w:hAnsi="Times New Roman;serif"/>
          <w:b/>
          <w:color w:val="000000"/>
          <w:sz w:val="20"/>
        </w:rPr>
        <w:t>Transfer of financial assets</w:t>
      </w:r>
      <w:r>
        <w:rPr>
          <w:color w:val="000000"/>
        </w:rPr>
        <w:t xml:space="preserve"> – </w:t>
      </w:r>
      <w:r>
        <w:rPr>
          <w:rFonts w:ascii="Times New Roman;serif" w:hAnsi="Times New Roman;serif"/>
          <w:b w:val="false"/>
          <w:color w:val="000000"/>
          <w:sz w:val="20"/>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held on the Company’s Consolidated Balance Sheets are classified as either held-for-investment or held-for-sale. Held-for-sale loan sales typically occur two to four days after the origination of the loans. When the Company determines that control over the transfer of financial assets has been surrendered, the transaction will be accounted for as a completed sale in which the underlying loans are derecognized and a resulting gain or loss, if any, is recorded.</w:t>
      </w:r>
    </w:p>
    <w:p>
      <w:pPr>
        <w:pStyle w:val="TextBody"/>
        <w:bidi w:val="0"/>
        <w:spacing w:lineRule="auto" w:line="288" w:before="200" w:after="283"/>
        <w:jc w:val="left"/>
        <w:rPr/>
      </w:pPr>
      <w:r>
        <w:rPr>
          <w:rFonts w:ascii="Times New Roman;serif" w:hAnsi="Times New Roman;serif"/>
          <w:b/>
          <w:color w:val="000000"/>
          <w:sz w:val="20"/>
        </w:rPr>
        <w:t>SBA servicing asset, net</w:t>
      </w:r>
      <w:r>
        <w:rPr>
          <w:color w:val="000000"/>
        </w:rPr>
        <w:t xml:space="preserve"> – </w:t>
      </w:r>
      <w:r>
        <w:rPr>
          <w:rFonts w:ascii="Times New Roman;serif" w:hAnsi="Times New Roman;serif"/>
          <w:b w:val="false"/>
          <w:color w:val="000000"/>
          <w:sz w:val="20"/>
        </w:rPr>
        <w:t>Servicing assets are recognized as separate assets when servicing rights are acquired through sale of 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 The SBA servicing asset is carried at the lower of cost or market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43840"/>
                <wp:effectExtent l="0" t="0" r="0" b="0"/>
                <wp:wrapNone/>
                <wp:docPr id="88" name="Frame8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pStyle w:val="TextBody"/>
        <w:bidi w:val="0"/>
        <w:spacing w:lineRule="auto" w:line="288" w:before="200" w:after="283"/>
        <w:jc w:val="left"/>
        <w:rPr/>
      </w:pPr>
      <w:r>
        <w:rPr>
          <w:rFonts w:ascii="Times New Roman;serif" w:hAnsi="Times New Roman;serif"/>
          <w:b/>
          <w:color w:val="000000"/>
          <w:sz w:val="20"/>
        </w:rPr>
        <w:t>Derivative instruments</w:t>
      </w:r>
      <w:r>
        <w:rPr>
          <w:color w:val="000000"/>
        </w:rPr>
        <w:t xml:space="preserve"> – </w:t>
      </w:r>
      <w:r>
        <w:rPr>
          <w:rFonts w:ascii="Times New Roman;serif" w:hAnsi="Times New Roman;serif"/>
          <w:b w:val="false"/>
          <w:color w:val="000000"/>
          <w:sz w:val="20"/>
        </w:rPr>
        <w:t>In the normal course of business, the Company is exposed to interest rate fluctuations. Consistent with the Company’s strategy for financial risk management, the Company has established a program that utilizes interest rate swaps to offset the risks associated with the effects of this exposure. The Company utilizes cash flow hedge accounting treatment for interest rate swaps. Cash flow hedges are accounted for by recording the changes in the fair value of the derivative instrument in other comprehensive income (loss) and are recognized in the consolidated statements of income when the hedged item affects earnings. Derivative instruments are recognized on the consolidated balance sheet as other assets or other liabilities, at their respective fair values. See Note 13 - Derivatives for additional information.</w:t>
      </w:r>
    </w:p>
    <w:p>
      <w:pPr>
        <w:pStyle w:val="TextBody"/>
        <w:bidi w:val="0"/>
        <w:spacing w:lineRule="auto" w:line="288" w:before="200" w:after="283"/>
        <w:jc w:val="left"/>
        <w:rPr/>
      </w:pPr>
      <w:r>
        <w:rPr>
          <w:rFonts w:ascii="Times New Roman;serif" w:hAnsi="Times New Roman;serif"/>
          <w:b/>
          <w:color w:val="000000"/>
          <w:sz w:val="20"/>
        </w:rPr>
        <w:t>Stock repurchase program</w:t>
      </w:r>
      <w:r>
        <w:rPr>
          <w:color w:val="000000"/>
        </w:rPr>
        <w:t xml:space="preserve"> – </w:t>
      </w:r>
      <w:r>
        <w:rPr>
          <w:rFonts w:ascii="Times New Roman;serif" w:hAnsi="Times New Roman;serif"/>
          <w:b w:val="false"/>
          <w:color w:val="000000"/>
          <w:sz w:val="20"/>
        </w:rPr>
        <w:t>On March 7, 2024, the Company announced that its Board of Directors (the “Board”) had authorized, effective March 6, 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Since the repurchase program’s inception, the Company has repurchased and subsequently retired a total of 44,608 shares for $0.5 million at an average price of $10.30 per share. The repurchase program will expire on March 31, 2026 unless extended by the Company’s Board of Directors.</w:t>
      </w:r>
    </w:p>
    <w:p>
      <w:pPr>
        <w:pStyle w:val="TextBody"/>
        <w:bidi w:val="0"/>
        <w:spacing w:lineRule="auto" w:line="288" w:before="200" w:after="283"/>
        <w:jc w:val="left"/>
        <w:rPr/>
      </w:pPr>
      <w:r>
        <w:rPr>
          <w:rFonts w:ascii="Times New Roman;serif" w:hAnsi="Times New Roman;serif"/>
          <w:b/>
          <w:color w:val="000000"/>
          <w:sz w:val="20"/>
        </w:rPr>
        <w:t>Revenue from contracts with customers</w:t>
      </w:r>
      <w:r>
        <w:rPr>
          <w:color w:val="000000"/>
        </w:rPr>
        <w:t xml:space="preserve"> – </w:t>
      </w:r>
      <w:r>
        <w:rPr>
          <w:rFonts w:ascii="Times New Roman;serif" w:hAnsi="Times New Roman;serif"/>
          <w:b w:val="false"/>
          <w:color w:val="000000"/>
          <w:sz w:val="20"/>
        </w:rPr>
        <w:t>The Company applies the provisions of ASC 606, Revenue from 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The majority of our revenue-generating transactions are not subject to ASC 606, including interest generated from loans. The Company has evaluated the nature of its contracts with customers and determined that further disaggregation of revenue from contracts with customers into more granular categories beyond what is presented in the consolidated statements of income was not necessary.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 Program fees are received monthly in connection with continuing program services provided for the Company’s Strategic Programs are recorded at the time services are provided.</w:t>
      </w:r>
    </w:p>
    <w:p>
      <w:pPr>
        <w:pStyle w:val="TextBody"/>
        <w:bidi w:val="0"/>
        <w:spacing w:lineRule="auto" w:line="288" w:before="200" w:after="283"/>
        <w:jc w:val="left"/>
        <w:rPr/>
      </w:pPr>
      <w:r>
        <w:rPr>
          <w:rFonts w:ascii="Times New Roman;serif" w:hAnsi="Times New Roman;serif"/>
          <w:b/>
          <w:color w:val="000000"/>
          <w:sz w:val="20"/>
        </w:rPr>
        <w:t>Stock-based compensation</w:t>
      </w:r>
      <w:r>
        <w:rPr>
          <w:color w:val="000000"/>
        </w:rPr>
        <w:t xml:space="preserve"> – </w:t>
      </w:r>
      <w:r>
        <w:rPr>
          <w:rFonts w:ascii="Times New Roman;serif" w:hAnsi="Times New Roman;serif"/>
          <w:b w:val="false"/>
          <w:color w:val="000000"/>
          <w:sz w:val="20"/>
        </w:rPr>
        <w:t xml:space="preserve">The Company accounts for all stock-based awards to employees and non-employees, including grants of stock options and restricted stock awards, based on their respective grant date fair values. The Company estimates the fair value of stock option grants using the Black-Scholes option pricing model. The assumptions used in calculating the fair value of stock option grants represent management’s best estimates and involve inherent uncertainties and the application of management’s judgment and include consideration of historical experience. The risk free interest rate is based on the U.S. Treasury yield curve in effect at the time of grant for periods corresponding with the expected life of the option. Expected volatility is based on the Company's data for the expected option term. The expected dividend yield was zero as the Company is not expected to pay dividends in the foreseeable future. Restricted stock awards are valued based on the fair value of the Company’s common stock on the date of grant. The Company expenses stock-based compensation related to stock options and restricted stock awards over the requisite service period (generally the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43840"/>
                <wp:effectExtent l="0" t="0" r="0" b="0"/>
                <wp:wrapNone/>
                <wp:docPr id="89" name="Frame8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period of the equity grant) using the graded-vesting method. The Company accounts for forfeitures of stock–based awards as they occur. Stock-based compensation expense is included in salaries and employee benefits on the income statement.</w:t>
      </w:r>
    </w:p>
    <w:p>
      <w:pPr>
        <w:pStyle w:val="TextBody"/>
        <w:bidi w:val="0"/>
        <w:spacing w:lineRule="auto" w:line="288" w:before="200" w:after="283"/>
        <w:jc w:val="left"/>
        <w:rPr/>
      </w:pPr>
      <w:r>
        <w:rPr>
          <w:rFonts w:ascii="Times New Roman;serif" w:hAnsi="Times New Roman;serif"/>
          <w:b/>
          <w:color w:val="000000"/>
          <w:sz w:val="20"/>
        </w:rPr>
        <w:t xml:space="preserve">Earnings per share (“EPS”) – </w:t>
      </w:r>
      <w:r>
        <w:rPr>
          <w:rFonts w:ascii="Times New Roman;serif" w:hAnsi="Times New Roman;serif"/>
          <w:b w:val="false"/>
          <w:color w:val="000000"/>
          <w:sz w:val="20"/>
        </w:rPr>
        <w:t>Basic EPS is computed by dividing net earnings allocated to common shareholders by the weighted average number of common shares outstanding during the period. Diluted EPS is calculated by dividing net earnings allocated to common shareholders by the weighted average number of common shares outstanding during the period adjusted for the effect of potentially dilutive securities. Potentially dilutive securities include incremental common shares issuable upon the exercise of stock options and unvested restricted shares, that are not considered participating securities, using the treasury stock method.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two-class method to determine EPS when participating securities are present. Unvested restricted stock awards that contain nonforfeitable rights to dividends qualify as participating securities, unless the rights were waived by the employee. For these securities, net income is allocated between common shareholders and participating securities, and EPS is calculated for both basic and diluted shares. </w:t>
      </w:r>
    </w:p>
    <w:p>
      <w:pPr>
        <w:pStyle w:val="TextBody"/>
        <w:bidi w:val="0"/>
        <w:spacing w:lineRule="auto" w:line="288" w:before="200" w:after="283"/>
        <w:jc w:val="left"/>
        <w:rPr/>
      </w:pPr>
      <w:r>
        <w:rPr>
          <w:rFonts w:ascii="Times New Roman;serif" w:hAnsi="Times New Roman;serif"/>
          <w:b/>
          <w:color w:val="000000"/>
          <w:sz w:val="20"/>
        </w:rPr>
        <w:t>Comprehensive income (loss)</w:t>
      </w:r>
      <w:r>
        <w:rPr>
          <w:color w:val="000000"/>
        </w:rPr>
        <w:t xml:space="preserve"> – </w:t>
      </w:r>
      <w:r>
        <w:rPr>
          <w:rFonts w:ascii="Times New Roman;serif" w:hAnsi="Times New Roman;serif"/>
          <w:b w:val="false"/>
          <w:color w:val="000000"/>
          <w:sz w:val="20"/>
        </w:rPr>
        <w:t>Accounting principles generally require that recognized revenue, expenses, gains and losses be included in net income. However, certain changes in assets and liabilities, such as unrealized gains and losses on securities AFS and unrealized gains and losses on interest rate swaps designated as cash flow hedges, are reported as a separate component of equity in the accompanying consolidated balance sheets, net of income taxes, and such items, along with net income, are components of comprehensive income (loss). The Company’s policy is to release income tax effects from accumulated other comprehensive income at such time as the earnings or loss of the related activity are recognized in earnings</w:t>
      </w:r>
    </w:p>
    <w:p>
      <w:pPr>
        <w:pStyle w:val="TextBody"/>
        <w:bidi w:val="0"/>
        <w:spacing w:lineRule="auto" w:line="288" w:before="200" w:after="283"/>
        <w:jc w:val="left"/>
        <w:rPr/>
      </w:pPr>
      <w:r>
        <w:rPr>
          <w:rFonts w:ascii="Times New Roman;serif" w:hAnsi="Times New Roman;serif"/>
          <w:b/>
          <w:color w:val="000000"/>
          <w:sz w:val="20"/>
        </w:rPr>
        <w:t xml:space="preserve">Off-balance sheet instruments – </w:t>
      </w:r>
      <w:r>
        <w:rPr>
          <w:rFonts w:ascii="Times New Roman;serif" w:hAnsi="Times New Roman;serif"/>
          <w:b w:val="false"/>
          <w:color w:val="000000"/>
          <w:sz w:val="20"/>
        </w:rPr>
        <w:t>In the ordinary course of business, the Company has entered into off-balance sheet financial 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reserve on its unfunded loan commitments which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w:t>
      </w:r>
    </w:p>
    <w:p>
      <w:pPr>
        <w:pStyle w:val="TextBody"/>
        <w:bidi w:val="0"/>
        <w:spacing w:lineRule="auto" w:line="288" w:before="200" w:after="283"/>
        <w:jc w:val="left"/>
        <w:rPr/>
      </w:pPr>
      <w:r>
        <w:rPr>
          <w:rFonts w:ascii="Times New Roman;serif" w:hAnsi="Times New Roman;serif"/>
          <w:b/>
          <w:color w:val="000000"/>
          <w:sz w:val="20"/>
        </w:rPr>
        <w:t xml:space="preserve">Segment reporting </w:t>
      </w:r>
      <w:r>
        <w:rPr>
          <w:color w:val="000000"/>
        </w:rPr>
        <w:t xml:space="preserve">– </w:t>
      </w:r>
      <w:r>
        <w:rPr>
          <w:rFonts w:ascii="Times New Roman;serif" w:hAnsi="Times New Roman;serif"/>
          <w:b w:val="false"/>
          <w:color w:val="000000"/>
          <w:sz w:val="20"/>
        </w:rPr>
        <w:t xml:space="preserve">As further described in Note 17 - Segments, during the third quarter of 2025, the Company implemented segment reporting following the completion of a technology initiative to capture segment-specific financial data and develop reports used by the Company’s chief operating decision maker (“CODM”) to review the Company’s financial performance and determine how to allocate resources. The Company established three reportable segments: traditional banking, banking as a service (“BaaS”) and treasury and administration. For periods prior to July 1, 2025, the Company operated under one operating segment, consistent with the information that was presented to the Company’s CODM.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improves the transparency of annual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The Company adopted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43840"/>
                <wp:effectExtent l="0" t="0" r="0" b="0"/>
                <wp:wrapNone/>
                <wp:docPr id="90" name="Frame9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2023-09 on a retrospective basis effective January 1, 2025 and included the incremental disclosures in Note 12 - Income Taxes.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2025-08, “Financial instruments – Credit Losses (Topic 326): Purchased Loans,” which amends the guidance in ASC 326 on the accounting for certain purchased loans. Under ASU 2025-08, entities must account for acquired loans (excluding credit cards) that meet certain criteria at acquisition (purchased seasoned loans) by recognizing them at their purchase price plus an allowance for expected credit losses (gross-up approach). Purchased seasoned loans are defined as either: (1) non-PCD loans that are obtained in a business combination, or (2) non-PCD loans that (a) are obtained in an asset acquisition or upon consolidation of a variable interest entity that is not a business and (b) are acquired more than 90 days after their origination date by a transferee that was not involved in their origination. ASU 2025-08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credit loss allowance. ASU 2025-08 is effective for interim and annual reporting periods beginning after December 15, 2026. Early adoption is permitted. The Company is currently evaluating the impact that the adoption of this guidance will have on its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eliminates the consideration of project development stages in determining whether a cost is eligible for capitalization. Instead, cost capitalization will be based on a “probable to complete” threshold. This guidance will be effective for the Company on January 1, 2028. The Company is currently evaluating the impact that the adoption of this guidance will have on its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Investments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 Securities Available-for-Sale, at Fair Value</w:t>
      </w:r>
    </w:p>
    <w:p>
      <w:pPr>
        <w:pStyle w:val="TextBody"/>
        <w:bidi w:val="0"/>
        <w:spacing w:lineRule="auto" w:line="288" w:before="200" w:after="283"/>
        <w:jc w:val="left"/>
        <w:rPr/>
      </w:pPr>
      <w:r>
        <w:rPr>
          <w:rFonts w:ascii="Times New Roman;serif" w:hAnsi="Times New Roman;serif"/>
          <w:b w:val="false"/>
          <w:color w:val="000000"/>
          <w:sz w:val="20"/>
        </w:rPr>
        <w:t xml:space="preserve">The Company’s AFS investment portfolio consists of U.S. Treasury securities. The Company reports debt securities AFS on the Company’s Consolidated Balance Sheets at fair value. The amortized cost, gross unrealized gains and losses, and estimated fair value of investment securities AFS as of December 31, 2025 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379"/>
        <w:gridCol w:w="460"/>
        <w:gridCol w:w="197"/>
        <w:gridCol w:w="109"/>
        <w:gridCol w:w="109"/>
        <w:gridCol w:w="109"/>
        <w:gridCol w:w="272"/>
        <w:gridCol w:w="622"/>
        <w:gridCol w:w="142"/>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43840"/>
                <wp:effectExtent l="0" t="0" r="0" b="0"/>
                <wp:wrapNone/>
                <wp:docPr id="91" name="Frame9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 xml:space="preserve">The following table presents the amortized cost and estimated fair value of investment securities AFS at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by contractual maturity:</w:t>
      </w:r>
    </w:p>
    <w:tbl>
      <w:tblPr>
        <w:tblW w:w="5995" w:type="dxa"/>
        <w:jc w:val="left"/>
        <w:tblInd w:w="0" w:type="dxa"/>
        <w:tblLayout w:type="fixed"/>
        <w:tblCellMar>
          <w:top w:w="28" w:type="dxa"/>
          <w:left w:w="28" w:type="dxa"/>
          <w:bottom w:w="28" w:type="dxa"/>
          <w:right w:w="28" w:type="dxa"/>
        </w:tblCellMar>
      </w:tblPr>
      <w:tblGrid>
        <w:gridCol w:w="1125"/>
        <w:gridCol w:w="988"/>
        <w:gridCol w:w="992"/>
        <w:gridCol w:w="211"/>
        <w:gridCol w:w="721"/>
        <w:gridCol w:w="109"/>
        <w:gridCol w:w="109"/>
        <w:gridCol w:w="109"/>
        <w:gridCol w:w="109"/>
        <w:gridCol w:w="211"/>
        <w:gridCol w:w="721"/>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securities AFS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At December 31, 2025, debt securities AFS with a fair value of $27.8 million were pledged as collateral for a credit line held by the Bank. Accrued interest receivable on debt securities AFS totaled $0.5 million and $0.5 million at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respectively, and was included in accrued interest receivable on the Consolidated Balance Sheets.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Held-to-Maturity, at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December 31, 2025 and December 31, 2024, are summarized as follows:</w:t>
      </w:r>
    </w:p>
    <w:tbl>
      <w:tblPr>
        <w:tblW w:w="10205" w:type="dxa"/>
        <w:jc w:val="left"/>
        <w:tblInd w:w="0" w:type="dxa"/>
        <w:tblLayout w:type="fixed"/>
        <w:tblCellMar>
          <w:top w:w="28" w:type="dxa"/>
          <w:left w:w="28" w:type="dxa"/>
          <w:bottom w:w="28" w:type="dxa"/>
          <w:right w:w="28" w:type="dxa"/>
        </w:tblCellMar>
      </w:tblPr>
      <w:tblGrid>
        <w:gridCol w:w="968"/>
        <w:gridCol w:w="851"/>
        <w:gridCol w:w="855"/>
        <w:gridCol w:w="226"/>
        <w:gridCol w:w="662"/>
        <w:gridCol w:w="118"/>
        <w:gridCol w:w="109"/>
        <w:gridCol w:w="109"/>
        <w:gridCol w:w="109"/>
        <w:gridCol w:w="608"/>
        <w:gridCol w:w="1171"/>
        <w:gridCol w:w="314"/>
        <w:gridCol w:w="109"/>
        <w:gridCol w:w="109"/>
        <w:gridCol w:w="109"/>
        <w:gridCol w:w="379"/>
        <w:gridCol w:w="460"/>
        <w:gridCol w:w="197"/>
        <w:gridCol w:w="109"/>
        <w:gridCol w:w="109"/>
        <w:gridCol w:w="109"/>
        <w:gridCol w:w="272"/>
        <w:gridCol w:w="622"/>
        <w:gridCol w:w="142"/>
        <w:gridCol w:w="109"/>
        <w:gridCol w:w="109"/>
        <w:gridCol w:w="109"/>
        <w:gridCol w:w="224"/>
        <w:gridCol w:w="658"/>
        <w:gridCol w:w="170"/>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amortized cost and estimated market value of debt securities HTM at December 31, 2025 by contractual maturity are shown below. Actual maturities may differ from contractual maturities because borrowers may have the right to call or prepay obligations with or without call or prepayment penalties.</w:t>
      </w:r>
    </w:p>
    <w:tbl>
      <w:tblPr>
        <w:tblW w:w="5531" w:type="dxa"/>
        <w:jc w:val="left"/>
        <w:tblInd w:w="0" w:type="dxa"/>
        <w:tblLayout w:type="fixed"/>
        <w:tblCellMar>
          <w:top w:w="28" w:type="dxa"/>
          <w:left w:w="28" w:type="dxa"/>
          <w:bottom w:w="28" w:type="dxa"/>
          <w:right w:w="28" w:type="dxa"/>
        </w:tblCellMar>
      </w:tblPr>
      <w:tblGrid>
        <w:gridCol w:w="1136"/>
        <w:gridCol w:w="997"/>
        <w:gridCol w:w="1001"/>
        <w:gridCol w:w="226"/>
        <w:gridCol w:w="662"/>
        <w:gridCol w:w="118"/>
        <w:gridCol w:w="109"/>
        <w:gridCol w:w="109"/>
        <w:gridCol w:w="109"/>
        <w:gridCol w:w="228"/>
        <w:gridCol w:w="668"/>
        <w:gridCol w:w="168"/>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securities HTM</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December 31, 2025, debt securities HTM in the amount of $9.9 million were pledged as collateral for a credit line held by the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43840"/>
                <wp:effectExtent l="0" t="0" r="0" b="0"/>
                <wp:wrapNone/>
                <wp:docPr id="92" name="Frame9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December 31, 2025 and 2024, there was no ACL related to debt securities HTM or AFS due to the composition of the portfolio which is generally considered not to have credit risk given the United States government issuance or guarantee associated with these agency securities.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had seventeen securities, consisting of eight collateralized mortgage obligations and nine mortgage-backed securities in an unrealized loss position at December 31, 2025 and </w:t>
      </w:r>
      <w:r>
        <w:rPr>
          <w:rFonts w:ascii="Times New Roman;serif" w:hAnsi="Times New Roman;serif"/>
          <w:b w:val="false"/>
          <w:color w:val="000000"/>
          <w:sz w:val="20"/>
        </w:rPr>
        <w:t>twenty-two</w:t>
      </w:r>
      <w:r>
        <w:rPr>
          <w:color w:val="000000"/>
          <w:shd w:fill="FFFFFF" w:val="clear"/>
        </w:rPr>
        <w:t xml:space="preserve"> </w:t>
      </w:r>
      <w:r>
        <w:rPr>
          <w:rFonts w:ascii="Times New Roman;serif" w:hAnsi="Times New Roman;serif"/>
          <w:b w:val="false"/>
          <w:color w:val="000000"/>
          <w:sz w:val="20"/>
          <w:shd w:fill="FFFFFF" w:val="clear"/>
        </w:rPr>
        <w:t>securities, consisting of eight collateralized mortgage obligations, ten mortgage-backed securities and four U.S. Treasury securities, in an unrealized loss position at December 31, 2024. The following table presents the estimated fair value and gross unrealized losses of debt securities HTM and AFS, aggregated by category and length of time in a continuous unrealized loss position at December 31, 2025 and 2024:</w:t>
      </w:r>
    </w:p>
    <w:tbl>
      <w:tblPr>
        <w:tblW w:w="10205" w:type="dxa"/>
        <w:jc w:val="left"/>
        <w:tblInd w:w="0" w:type="dxa"/>
        <w:tblLayout w:type="fixed"/>
        <w:tblCellMar>
          <w:top w:w="28" w:type="dxa"/>
          <w:left w:w="28" w:type="dxa"/>
          <w:bottom w:w="28" w:type="dxa"/>
          <w:right w:w="28" w:type="dxa"/>
        </w:tblCellMar>
      </w:tblPr>
      <w:tblGrid>
        <w:gridCol w:w="911"/>
        <w:gridCol w:w="799"/>
        <w:gridCol w:w="805"/>
        <w:gridCol w:w="265"/>
        <w:gridCol w:w="511"/>
        <w:gridCol w:w="137"/>
        <w:gridCol w:w="112"/>
        <w:gridCol w:w="112"/>
        <w:gridCol w:w="112"/>
        <w:gridCol w:w="301"/>
        <w:gridCol w:w="579"/>
        <w:gridCol w:w="156"/>
        <w:gridCol w:w="109"/>
        <w:gridCol w:w="109"/>
        <w:gridCol w:w="109"/>
        <w:gridCol w:w="223"/>
        <w:gridCol w:w="651"/>
        <w:gridCol w:w="114"/>
        <w:gridCol w:w="109"/>
        <w:gridCol w:w="109"/>
        <w:gridCol w:w="109"/>
        <w:gridCol w:w="272"/>
        <w:gridCol w:w="622"/>
        <w:gridCol w:w="142"/>
        <w:gridCol w:w="109"/>
        <w:gridCol w:w="109"/>
        <w:gridCol w:w="109"/>
        <w:gridCol w:w="223"/>
        <w:gridCol w:w="651"/>
        <w:gridCol w:w="114"/>
        <w:gridCol w:w="109"/>
        <w:gridCol w:w="109"/>
        <w:gridCol w:w="109"/>
        <w:gridCol w:w="269"/>
        <w:gridCol w:w="614"/>
        <w:gridCol w:w="202"/>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9"/>
        <w:gridCol w:w="747"/>
        <w:gridCol w:w="753"/>
        <w:gridCol w:w="211"/>
        <w:gridCol w:w="721"/>
        <w:gridCol w:w="109"/>
        <w:gridCol w:w="109"/>
        <w:gridCol w:w="109"/>
        <w:gridCol w:w="109"/>
        <w:gridCol w:w="272"/>
        <w:gridCol w:w="622"/>
        <w:gridCol w:w="142"/>
        <w:gridCol w:w="109"/>
        <w:gridCol w:w="109"/>
        <w:gridCol w:w="109"/>
        <w:gridCol w:w="220"/>
        <w:gridCol w:w="644"/>
        <w:gridCol w:w="113"/>
        <w:gridCol w:w="109"/>
        <w:gridCol w:w="109"/>
        <w:gridCol w:w="109"/>
        <w:gridCol w:w="229"/>
        <w:gridCol w:w="689"/>
        <w:gridCol w:w="120"/>
        <w:gridCol w:w="109"/>
        <w:gridCol w:w="109"/>
        <w:gridCol w:w="109"/>
        <w:gridCol w:w="211"/>
        <w:gridCol w:w="721"/>
        <w:gridCol w:w="109"/>
        <w:gridCol w:w="109"/>
        <w:gridCol w:w="109"/>
        <w:gridCol w:w="109"/>
        <w:gridCol w:w="229"/>
        <w:gridCol w:w="687"/>
        <w:gridCol w:w="172"/>
      </w:tblGrid>
      <w:tr>
        <w:trPr/>
        <w:tc>
          <w:tcPr>
            <w:tcW w:w="8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2024</w:t>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sales or transfers of investment securities and no realized gains or losses on these securities during the year ended December 31, 2025 or 2024.</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FHLB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Bank is a member of the FHLB system. As a member, we are required to maintain a minimum level of investment in FHLB stock based on a percentage of our previous year-end assets and our FHLB advances outstanding. At December 31, 2025 and December 31, 2024, the Bank owned $0.4 million and $0.3 million, respectively, of FHLB stock, which is carried at cost. The Company evaluated the carrying value of its FHLB stock investment at December 31, 2025 and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43840"/>
                <wp:effectExtent l="0" t="0" r="0" b="0"/>
                <wp:wrapNone/>
                <wp:docPr id="93" name="Frame9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 Loans</w:t>
      </w:r>
    </w:p>
    <w:p>
      <w:pPr>
        <w:pStyle w:val="TextBody"/>
        <w:bidi w:val="0"/>
        <w:spacing w:lineRule="auto" w:line="288" w:before="200" w:after="283"/>
        <w:jc w:val="left"/>
        <w:rPr/>
      </w:pPr>
      <w:r>
        <w:rPr>
          <w:rFonts w:ascii="Times New Roman;serif" w:hAnsi="Times New Roman;serif"/>
          <w:b/>
          <w:color w:val="000000"/>
          <w:sz w:val="20"/>
          <w:shd w:fill="FFFFFF" w:val="clear"/>
        </w:rPr>
        <w:t xml:space="preserve">Loans held-for-investment, net </w:t>
      </w:r>
      <w:r>
        <w:rPr>
          <w:color w:val="000000"/>
          <w:shd w:fill="FFFFFF" w:val="clear"/>
        </w:rPr>
        <w:t xml:space="preserve">– </w:t>
      </w:r>
      <w:r>
        <w:rPr>
          <w:rFonts w:ascii="Times New Roman;serif" w:hAnsi="Times New Roman;serif"/>
          <w:b w:val="false"/>
          <w:color w:val="000000"/>
          <w:sz w:val="20"/>
          <w:shd w:fill="FFFFFF" w:val="clear"/>
        </w:rPr>
        <w:t>The Company’s loans held-for-investment outstanding by general ledger classification as of December 31, 2025 and December 31, 2024, consisted of the following:</w:t>
      </w:r>
    </w:p>
    <w:tbl>
      <w:tblPr>
        <w:tblW w:w="10205" w:type="dxa"/>
        <w:jc w:val="left"/>
        <w:tblInd w:w="0" w:type="dxa"/>
        <w:tblLayout w:type="fixed"/>
        <w:tblCellMar>
          <w:top w:w="28" w:type="dxa"/>
          <w:left w:w="28" w:type="dxa"/>
          <w:bottom w:w="28" w:type="dxa"/>
          <w:right w:w="28" w:type="dxa"/>
        </w:tblCellMar>
      </w:tblPr>
      <w:tblGrid>
        <w:gridCol w:w="2313"/>
        <w:gridCol w:w="1760"/>
        <w:gridCol w:w="1766"/>
        <w:gridCol w:w="348"/>
        <w:gridCol w:w="1367"/>
        <w:gridCol w:w="179"/>
        <w:gridCol w:w="167"/>
        <w:gridCol w:w="167"/>
        <w:gridCol w:w="167"/>
        <w:gridCol w:w="348"/>
        <w:gridCol w:w="1364"/>
        <w:gridCol w:w="259"/>
      </w:tblGrid>
      <w:tr>
        <w:trPr/>
        <w:tc>
          <w:tcPr>
            <w:tcW w:w="231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255,056 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Included in the SBA loans held-for-investment above are $102.7 million and $158.7 million of loans guaranteed by the SBA as of December 31, 2025 and December 31, 2024, respectively.</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sells participation interests in some loans it originates and may acquire a participation interest in loans originated by others. All reported amounts reflect only the Bank’s ownership interest in the loans.</w:t>
      </w:r>
    </w:p>
    <w:p>
      <w:pPr>
        <w:pStyle w:val="TextBody"/>
        <w:bidi w:val="0"/>
        <w:spacing w:lineRule="auto" w:line="288" w:before="200" w:after="283"/>
        <w:jc w:val="left"/>
        <w:rPr/>
      </w:pPr>
      <w:r>
        <w:rPr>
          <w:rFonts w:ascii="Times New Roman;serif" w:hAnsi="Times New Roman;serif"/>
          <w:b/>
          <w:color w:val="000000"/>
          <w:sz w:val="20"/>
          <w:shd w:fill="FFFFFF" w:val="clear"/>
        </w:rPr>
        <w:t xml:space="preserve">Strategic Program Loans </w:t>
      </w:r>
      <w:r>
        <w:rPr>
          <w:color w:val="000000"/>
          <w:shd w:fill="FFFFFF" w:val="clear"/>
        </w:rPr>
        <w:t xml:space="preserve">– </w:t>
      </w:r>
      <w:r>
        <w:rPr>
          <w:rFonts w:ascii="Times New Roman;serif" w:hAnsi="Times New Roman;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choose to retain all or part of the originated loans or receivables, rather than selling them in their entirety. The portion that remains with the Company is classified as held-for-investment on the balance sheet.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43840"/>
                <wp:effectExtent l="0" t="0" r="0" b="0"/>
                <wp:wrapNone/>
                <wp:docPr id="94" name="Frame9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serve as sub-servicer and perform primary servicing duties including loan collections, modifications, charging-off, reporting and monitoring, for which the Company incurs a cost.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Each Strategic Program provider establishes a “reserve” deposit account with the Company to reasonably ensure the strategic programs will have sufficient funds available to purchase the loans. The agreements generally require that the </w:t>
      </w:r>
      <w:r>
        <w:rPr>
          <w:rFonts w:ascii="Times New Roman;serif" w:hAnsi="Times New Roman;serif"/>
          <w:b w:val="false"/>
          <w:color w:val="000000"/>
          <w:sz w:val="20"/>
        </w:rPr>
        <w:t>reserve</w:t>
      </w:r>
      <w:r>
        <w:rPr>
          <w:color w:val="000000"/>
          <w:shd w:fill="FFFFFF" w:val="clear"/>
        </w:rPr>
        <w:t xml:space="preserve"> </w:t>
      </w:r>
      <w:r>
        <w:rPr>
          <w:rFonts w:ascii="Times New Roman;serif" w:hAnsi="Times New Roman;serif"/>
          <w:b w:val="false"/>
          <w:color w:val="000000"/>
          <w:sz w:val="20"/>
          <w:shd w:fill="FFFFFF" w:val="clear"/>
        </w:rPr>
        <w:t>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 providers at the Company at December 31, 2025 and December 31, 2024, was $53.4 million and $53.9 million, respectively.</w:t>
      </w:r>
    </w:p>
    <w:p>
      <w:pPr>
        <w:pStyle w:val="TextBody"/>
        <w:bidi w:val="0"/>
        <w:spacing w:lineRule="auto" w:line="288" w:before="200" w:after="283"/>
        <w:jc w:val="left"/>
        <w:rPr/>
      </w:pPr>
      <w:r>
        <w:rPr>
          <w:rFonts w:ascii="Times New Roman;serif" w:hAnsi="Times New Roman;serif"/>
          <w:b w:val="false"/>
          <w:color w:val="000000"/>
          <w:sz w:val="20"/>
        </w:rPr>
        <w:t xml:space="preserve">Strategic Program providers that participate in the Company’s credit enhanced balance sheet program guarantee the credit and fraud losses by maintaining a reserve deposit account with the Bank. This reserve deposit account is intended to protect the Bank by ensuring that sufficient funds are available to cover any credit and fraud losses, and the Strategic Program provider must periodically replenish the account as needed to meet the required balance. Collateral reserve balances associated with the Company’s credit enhanced balance sheet program totaled </w:t>
      </w:r>
      <w:r>
        <w:rPr>
          <w:rFonts w:ascii="Times New Roman;serif" w:hAnsi="Times New Roman;serif"/>
          <w:b w:val="false"/>
          <w:color w:val="000000"/>
          <w:sz w:val="20"/>
          <w:shd w:fill="FFFFFF" w:val="clear"/>
        </w:rPr>
        <w:t>$5.4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shd w:fill="FFFFFF" w:val="clear"/>
        </w:rPr>
        <w:t>at</w:t>
      </w:r>
      <w:r>
        <w:rPr>
          <w:color w:val="000000"/>
        </w:rPr>
        <w:t xml:space="preserve"> </w:t>
      </w:r>
      <w:r>
        <w:rPr>
          <w:rFonts w:ascii="Times New Roman;serif" w:hAnsi="Times New Roman;serif"/>
          <w:b w:val="false"/>
          <w:color w:val="000000"/>
          <w:sz w:val="20"/>
          <w:shd w:fill="FFFFFF" w:val="clear"/>
        </w:rPr>
        <w:t xml:space="preserve">December 31, 2025 and December 31, 2024, respectively.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Strategic Program loans retained and held-for-sale as of December 31, 2025 and December 31, 2024, are summarized as follows:</w:t>
      </w:r>
    </w:p>
    <w:tbl>
      <w:tblPr>
        <w:tblW w:w="5994" w:type="dxa"/>
        <w:jc w:val="left"/>
        <w:tblInd w:w="0" w:type="dxa"/>
        <w:tblLayout w:type="fixed"/>
        <w:tblCellMar>
          <w:top w:w="28" w:type="dxa"/>
          <w:left w:w="28" w:type="dxa"/>
          <w:bottom w:w="28" w:type="dxa"/>
          <w:right w:w="28" w:type="dxa"/>
        </w:tblCellMar>
      </w:tblPr>
      <w:tblGrid>
        <w:gridCol w:w="1124"/>
        <w:gridCol w:w="988"/>
        <w:gridCol w:w="992"/>
        <w:gridCol w:w="232"/>
        <w:gridCol w:w="908"/>
        <w:gridCol w:w="119"/>
        <w:gridCol w:w="109"/>
        <w:gridCol w:w="109"/>
        <w:gridCol w:w="109"/>
        <w:gridCol w:w="231"/>
        <w:gridCol w:w="905"/>
        <w:gridCol w:w="16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Retained Strategic Program loans</w:t>
            </w:r>
            <w:r>
              <w:rPr>
                <w:rFonts w:ascii="Times New Roman;serif" w:hAnsi="Times New Roman;serif"/>
                <w:b w:val="false"/>
                <w:color w:val="000000"/>
                <w:sz w:val="13"/>
              </w:rPr>
              <w:t>(1)</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Strategic Program loans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$108.1 million and $0.9 million of credit enhanced loans at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respectively.</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Allowance for Credit Losses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43840"/>
                <wp:effectExtent l="0" t="0" r="0" b="0"/>
                <wp:wrapNone/>
                <wp:docPr id="95" name="Frame9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reporting purposes, which are based upon the proposed use of the loan proceeds. The following pool segments were identified as of December 31, 2025 and 2024 for the purposes of estimating the ACL:</w:t>
      </w:r>
    </w:p>
    <w:tbl>
      <w:tblPr>
        <w:tblW w:w="7344" w:type="dxa"/>
        <w:jc w:val="left"/>
        <w:tblInd w:w="0" w:type="dxa"/>
        <w:tblLayout w:type="fixed"/>
        <w:tblCellMar>
          <w:top w:w="28" w:type="dxa"/>
          <w:left w:w="28" w:type="dxa"/>
          <w:bottom w:w="28" w:type="dxa"/>
          <w:right w:w="28" w:type="dxa"/>
        </w:tblCellMar>
      </w:tblPr>
      <w:tblGrid>
        <w:gridCol w:w="1613"/>
        <w:gridCol w:w="1417"/>
        <w:gridCol w:w="1424"/>
        <w:gridCol w:w="232"/>
        <w:gridCol w:w="908"/>
        <w:gridCol w:w="119"/>
        <w:gridCol w:w="109"/>
        <w:gridCol w:w="109"/>
        <w:gridCol w:w="109"/>
        <w:gridCol w:w="231"/>
        <w:gridCol w:w="905"/>
        <w:gridCol w:w="168"/>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ACL by common characteristic loan pools was as follows for the periods indicated:</w:t>
      </w:r>
    </w:p>
    <w:tbl>
      <w:tblPr>
        <w:tblW w:w="10205" w:type="dxa"/>
        <w:jc w:val="left"/>
        <w:tblInd w:w="0" w:type="dxa"/>
        <w:tblLayout w:type="fixed"/>
        <w:tblCellMar>
          <w:top w:w="28" w:type="dxa"/>
          <w:left w:w="28" w:type="dxa"/>
          <w:bottom w:w="28" w:type="dxa"/>
          <w:right w:w="28" w:type="dxa"/>
        </w:tblCellMar>
      </w:tblPr>
      <w:tblGrid>
        <w:gridCol w:w="973"/>
        <w:gridCol w:w="710"/>
        <w:gridCol w:w="678"/>
        <w:gridCol w:w="255"/>
        <w:gridCol w:w="875"/>
        <w:gridCol w:w="132"/>
        <w:gridCol w:w="109"/>
        <w:gridCol w:w="109"/>
        <w:gridCol w:w="109"/>
        <w:gridCol w:w="379"/>
        <w:gridCol w:w="1296"/>
        <w:gridCol w:w="195"/>
        <w:gridCol w:w="109"/>
        <w:gridCol w:w="109"/>
        <w:gridCol w:w="109"/>
        <w:gridCol w:w="227"/>
        <w:gridCol w:w="795"/>
        <w:gridCol w:w="119"/>
        <w:gridCol w:w="109"/>
        <w:gridCol w:w="109"/>
        <w:gridCol w:w="109"/>
        <w:gridCol w:w="233"/>
        <w:gridCol w:w="681"/>
        <w:gridCol w:w="122"/>
        <w:gridCol w:w="109"/>
        <w:gridCol w:w="109"/>
        <w:gridCol w:w="109"/>
        <w:gridCol w:w="237"/>
        <w:gridCol w:w="812"/>
        <w:gridCol w:w="178"/>
      </w:tblGrid>
      <w:tr>
        <w:trPr/>
        <w:tc>
          <w:tcPr>
            <w:tcW w:w="9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27"/>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2025</w:t>
            </w:r>
          </w:p>
        </w:tc>
      </w:tr>
      <w:tr>
        <w:trPr/>
        <w:tc>
          <w:tcPr>
            <w:tcW w:w="2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43840"/>
                <wp:effectExtent l="0" t="0" r="0" b="0"/>
                <wp:wrapNone/>
                <wp:docPr id="96" name="Frame9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14"/>
        <w:gridCol w:w="721"/>
        <w:gridCol w:w="689"/>
        <w:gridCol w:w="257"/>
        <w:gridCol w:w="879"/>
        <w:gridCol w:w="132"/>
        <w:gridCol w:w="109"/>
        <w:gridCol w:w="109"/>
        <w:gridCol w:w="109"/>
        <w:gridCol w:w="384"/>
        <w:gridCol w:w="1313"/>
        <w:gridCol w:w="198"/>
        <w:gridCol w:w="109"/>
        <w:gridCol w:w="109"/>
        <w:gridCol w:w="109"/>
        <w:gridCol w:w="227"/>
        <w:gridCol w:w="795"/>
        <w:gridCol w:w="119"/>
        <w:gridCol w:w="109"/>
        <w:gridCol w:w="109"/>
        <w:gridCol w:w="109"/>
        <w:gridCol w:w="233"/>
        <w:gridCol w:w="681"/>
        <w:gridCol w:w="122"/>
        <w:gridCol w:w="109"/>
        <w:gridCol w:w="109"/>
        <w:gridCol w:w="109"/>
        <w:gridCol w:w="238"/>
        <w:gridCol w:w="815"/>
        <w:gridCol w:w="180"/>
      </w:tblGrid>
      <w:tr>
        <w:trPr/>
        <w:tc>
          <w:tcPr>
            <w:tcW w:w="9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Year Ended </w:t>
            </w:r>
            <w:r>
              <w:rPr>
                <w:rFonts w:ascii="Times New Roman;serif" w:hAnsi="Times New Roman;serif"/>
                <w:b/>
                <w:color w:val="000000"/>
                <w:sz w:val="20"/>
                <w:shd w:fill="FFFFFF" w:val="clear"/>
              </w:rPr>
              <w:t>December 31, 2024</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Nonaccrual and past due loans are summarized below as of December 31, 2025 and December 31, 2024:</w:t>
      </w:r>
    </w:p>
    <w:tbl>
      <w:tblPr>
        <w:tblW w:w="10335"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5"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Included in the nonaccrual loan balances are $23.9 million of SBA 7(a) loan balances guaranteed by the SBA.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43840"/>
                <wp:effectExtent l="0" t="0" r="0" b="0"/>
                <wp:wrapNone/>
                <wp:docPr id="97" name="Frame9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33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26"/>
        <w:gridCol w:w="436"/>
        <w:gridCol w:w="11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0" w:type="dxa"/>
            <w:gridSpan w:val="4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Included in the nonaccrual loan balances are $18.9 million of SBA 7(a) loan balances guaranteed by the SBA.</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There was no interest income recognized for the years ended December 31, 2025 and 2024, while loans were classified as nonaccrua</w:t>
      </w:r>
      <w:r>
        <w:rPr>
          <w:rFonts w:ascii="Times New Roman;serif" w:hAnsi="Times New Roman;serif"/>
          <w:b w:val="false"/>
          <w:color w:val="000000"/>
          <w:sz w:val="20"/>
        </w:rPr>
        <w:t xml:space="preserve">l. The amount of accrued interest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that was reversed against interest income on nonaccrual loans was approximately $0.9 million and $1.0 million,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Pass </w:t>
      </w:r>
      <w:r>
        <w:rPr>
          <w:color w:val="000000"/>
          <w:shd w:fill="FFFFFF" w:val="clear"/>
        </w:rPr>
        <w:t xml:space="preserve">– </w:t>
      </w:r>
      <w:r>
        <w:rPr>
          <w:rFonts w:ascii="Times New Roman;serif" w:hAnsi="Times New Roman;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erif" w:hAnsi="Times New Roman;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Watch </w:t>
      </w:r>
      <w:r>
        <w:rPr>
          <w:color w:val="000000"/>
          <w:shd w:fill="FFFFFF" w:val="clear"/>
        </w:rPr>
        <w:t xml:space="preserve">– </w:t>
      </w:r>
      <w:r>
        <w:rPr>
          <w:rFonts w:ascii="Times New Roman;serif" w:hAnsi="Times New Roman;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Special Mention </w:t>
      </w:r>
      <w:r>
        <w:rPr>
          <w:color w:val="000000"/>
          <w:shd w:fill="FFFFFF" w:val="clear"/>
        </w:rPr>
        <w:t xml:space="preserve">– </w:t>
      </w:r>
      <w:r>
        <w:rPr>
          <w:rFonts w:ascii="Times New Roman;serif" w:hAnsi="Times New Roman;serif"/>
          <w:b w:val="false"/>
          <w:color w:val="000000"/>
          <w:sz w:val="20"/>
          <w:shd w:fill="FFFFFF" w:val="clear"/>
        </w:rPr>
        <w:t>A Special Mention asset has potential weaknesses that may be</w:t>
      </w:r>
      <w:r>
        <w:rPr>
          <w:color w:val="000000"/>
          <w:shd w:fill="FFFFFF" w:val="clear"/>
        </w:rPr>
        <w:t xml:space="preserve"> </w:t>
      </w:r>
      <w:r>
        <w:rPr>
          <w:rFonts w:ascii="Times New Roman;serif" w:hAnsi="Times New Roman;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Substandard </w:t>
      </w:r>
      <w:r>
        <w:rPr>
          <w:color w:val="000000"/>
          <w:shd w:fill="FFFFFF" w:val="clear"/>
        </w:rPr>
        <w:t xml:space="preserve">– </w:t>
      </w:r>
      <w:r>
        <w:rPr>
          <w:rFonts w:ascii="Times New Roman;serif" w:hAnsi="Times New Roman;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erif" w:hAnsi="Times New Roman;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left"/>
        <w:rPr/>
      </w:pPr>
      <w:r>
        <w:rPr>
          <w:rFonts w:ascii="Times New Roman;serif" w:hAnsi="Times New Roman;serif"/>
          <w:b w:val="false"/>
          <w:i/>
          <w:color w:val="000000"/>
          <w:sz w:val="20"/>
        </w:rPr>
        <w:t>Doubtful</w:t>
      </w:r>
      <w:r>
        <w:rPr>
          <w:color w:val="000000"/>
        </w:rPr>
        <w:t xml:space="preserve"> </w:t>
      </w:r>
      <w:r>
        <w:rPr>
          <w:rFonts w:ascii="Times New Roman;serif" w:hAnsi="Times New Roman;serif"/>
          <w:b w:val="false"/>
          <w:color w:val="000000"/>
          <w:sz w:val="20"/>
        </w:rPr>
        <w:t xml:space="preserve">- A doubtful asset has an existing weakness or weaknesses that make collection or liquidation in full, on the basis of currently existing facts and conditions, highly questionable and improbable.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43840"/>
                <wp:effectExtent l="0" t="0" r="0" b="0"/>
                <wp:wrapNone/>
                <wp:docPr id="98" name="Frame9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i/>
          <w:color w:val="000000"/>
          <w:sz w:val="20"/>
        </w:rPr>
        <w:t>Loss</w:t>
      </w:r>
      <w:r>
        <w:rPr>
          <w:color w:val="000000"/>
        </w:rPr>
        <w:t xml:space="preserve"> </w:t>
      </w:r>
      <w:r>
        <w:rPr>
          <w:rFonts w:ascii="Times New Roman;serif" w:hAnsi="Times New Roman;serif"/>
          <w:b w:val="false"/>
          <w:color w:val="000000"/>
          <w:sz w:val="20"/>
        </w:rPr>
        <w:t>- A loss asset has an existing weakness or weaknesses that render the loan uncollectible and of such little value that continuing to carry as an asset on the Company’s books is not warranted. This classification does not mean that the loan has absolutely no recovery or salvage value, but rather it is not practical nor desirable to defer writing off this basically worthless asset, even though partial recovery may be effected in the future.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Not Rated </w:t>
      </w:r>
      <w:r>
        <w:rPr>
          <w:color w:val="000000"/>
          <w:shd w:fill="FFFFFF" w:val="clear"/>
        </w:rPr>
        <w:t xml:space="preserve">– </w:t>
      </w:r>
      <w:r>
        <w:rPr>
          <w:rFonts w:ascii="Times New Roman;serif" w:hAnsi="Times New Roman;serif"/>
          <w:b w:val="false"/>
          <w:color w:val="000000"/>
          <w:sz w:val="20"/>
          <w:shd w:fill="FFFFFF" w:val="clear"/>
        </w:rPr>
        <w:t>For Strategic Program loans,</w:t>
      </w:r>
      <w:r>
        <w:rPr>
          <w:color w:val="000000"/>
          <w:shd w:fill="FFFFFF" w:val="clear"/>
        </w:rPr>
        <w:t xml:space="preserve"> </w:t>
      </w:r>
      <w:r>
        <w:rPr>
          <w:rFonts w:ascii="Times New Roman;serif" w:hAnsi="Times New Roman;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December 31, 2025 in addition to the gross writeoff by collateral type for the year ended December 31, 2025. The loans are grouped based on how they are assessed under CECL.</w:t>
      </w:r>
    </w:p>
    <w:tbl>
      <w:tblPr>
        <w:tblW w:w="10387" w:type="dxa"/>
        <w:jc w:val="left"/>
        <w:tblInd w:w="0" w:type="dxa"/>
        <w:tblLayout w:type="fixed"/>
        <w:tblCellMar>
          <w:top w:w="28" w:type="dxa"/>
          <w:left w:w="28" w:type="dxa"/>
          <w:bottom w:w="28" w:type="dxa"/>
          <w:right w:w="28" w:type="dxa"/>
        </w:tblCellMar>
      </w:tblPr>
      <w:tblGrid>
        <w:gridCol w:w="619"/>
        <w:gridCol w:w="268"/>
        <w:gridCol w:w="26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10"/>
        <w:gridCol w:w="436"/>
        <w:gridCol w:w="109"/>
        <w:gridCol w:w="109"/>
        <w:gridCol w:w="109"/>
        <w:gridCol w:w="109"/>
        <w:gridCol w:w="231"/>
        <w:gridCol w:w="480"/>
        <w:gridCol w:w="130"/>
        <w:gridCol w:w="109"/>
        <w:gridCol w:w="109"/>
        <w:gridCol w:w="109"/>
        <w:gridCol w:w="196"/>
        <w:gridCol w:w="64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and Leases Amortized Cost Basis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 xml:space="preserve">Total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 multifamily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Commercial real estate-owner occupied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43840"/>
                <wp:effectExtent l="0" t="0" r="0" b="0"/>
                <wp:wrapNone/>
                <wp:docPr id="99" name="Frame9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99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54"/>
        <w:gridCol w:w="751"/>
        <w:gridCol w:w="753"/>
        <w:gridCol w:w="368"/>
        <w:gridCol w:w="368"/>
        <w:gridCol w:w="109"/>
        <w:gridCol w:w="109"/>
        <w:gridCol w:w="109"/>
        <w:gridCol w:w="109"/>
        <w:gridCol w:w="323"/>
        <w:gridCol w:w="323"/>
        <w:gridCol w:w="109"/>
        <w:gridCol w:w="109"/>
        <w:gridCol w:w="109"/>
        <w:gridCol w:w="109"/>
        <w:gridCol w:w="321"/>
        <w:gridCol w:w="325"/>
        <w:gridCol w:w="109"/>
        <w:gridCol w:w="109"/>
        <w:gridCol w:w="109"/>
        <w:gridCol w:w="109"/>
        <w:gridCol w:w="278"/>
        <w:gridCol w:w="278"/>
        <w:gridCol w:w="109"/>
        <w:gridCol w:w="109"/>
        <w:gridCol w:w="109"/>
        <w:gridCol w:w="109"/>
        <w:gridCol w:w="227"/>
        <w:gridCol w:w="229"/>
        <w:gridCol w:w="109"/>
        <w:gridCol w:w="109"/>
        <w:gridCol w:w="109"/>
        <w:gridCol w:w="109"/>
        <w:gridCol w:w="226"/>
        <w:gridCol w:w="230"/>
        <w:gridCol w:w="109"/>
        <w:gridCol w:w="109"/>
        <w:gridCol w:w="109"/>
        <w:gridCol w:w="109"/>
        <w:gridCol w:w="203"/>
        <w:gridCol w:w="203"/>
        <w:gridCol w:w="109"/>
        <w:gridCol w:w="109"/>
        <w:gridCol w:w="109"/>
        <w:gridCol w:w="109"/>
        <w:gridCol w:w="368"/>
        <w:gridCol w:w="368"/>
        <w:gridCol w:w="157"/>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estate-non-owner occupied</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Consumer </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financing receivables</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Retained Strategic Program loans</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Watch-with credit enhancement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Rated-without credit enhancement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 credit enhancement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83,262 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writeoff-without credit enhancement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(10,202)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43840"/>
                <wp:effectExtent l="0" t="0" r="0" b="0"/>
                <wp:wrapNone/>
                <wp:docPr id="100" name="Frame10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918" w:type="dxa"/>
        <w:jc w:val="left"/>
        <w:tblInd w:w="0" w:type="dxa"/>
        <w:tblLayout w:type="fixed"/>
        <w:tblCellMar>
          <w:top w:w="28" w:type="dxa"/>
          <w:left w:w="28" w:type="dxa"/>
          <w:bottom w:w="28" w:type="dxa"/>
          <w:right w:w="28" w:type="dxa"/>
        </w:tblCellMar>
      </w:tblPr>
      <w:tblGrid>
        <w:gridCol w:w="375"/>
        <w:gridCol w:w="330"/>
        <w:gridCol w:w="331"/>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writeoff-with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portfolio loans receivable,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(6,614)</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(16,413)</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 xml:space="preserve">The following table presents the amortized cost of the Company's loan and lease portfolio by collateral type, risk rating and origination year as of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in addition to the gross writeoff by collateral type for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The loans are grouped based on how they are assessed under CECL.</w:t>
      </w:r>
    </w:p>
    <w:tbl>
      <w:tblPr>
        <w:tblW w:w="10205" w:type="dxa"/>
        <w:jc w:val="left"/>
        <w:tblInd w:w="0" w:type="dxa"/>
        <w:tblLayout w:type="fixed"/>
        <w:tblCellMar>
          <w:top w:w="28" w:type="dxa"/>
          <w:left w:w="28" w:type="dxa"/>
          <w:bottom w:w="28" w:type="dxa"/>
          <w:right w:w="28" w:type="dxa"/>
        </w:tblCellMar>
      </w:tblPr>
      <w:tblGrid>
        <w:gridCol w:w="807"/>
        <w:gridCol w:w="534"/>
        <w:gridCol w:w="535"/>
        <w:gridCol w:w="196"/>
        <w:gridCol w:w="646"/>
        <w:gridCol w:w="109"/>
        <w:gridCol w:w="109"/>
        <w:gridCol w:w="109"/>
        <w:gridCol w:w="109"/>
        <w:gridCol w:w="197"/>
        <w:gridCol w:w="559"/>
        <w:gridCol w:w="109"/>
        <w:gridCol w:w="109"/>
        <w:gridCol w:w="109"/>
        <w:gridCol w:w="109"/>
        <w:gridCol w:w="197"/>
        <w:gridCol w:w="650"/>
        <w:gridCol w:w="109"/>
        <w:gridCol w:w="109"/>
        <w:gridCol w:w="109"/>
        <w:gridCol w:w="109"/>
        <w:gridCol w:w="197"/>
        <w:gridCol w:w="559"/>
        <w:gridCol w:w="109"/>
        <w:gridCol w:w="109"/>
        <w:gridCol w:w="109"/>
        <w:gridCol w:w="109"/>
        <w:gridCol w:w="210"/>
        <w:gridCol w:w="436"/>
        <w:gridCol w:w="109"/>
        <w:gridCol w:w="109"/>
        <w:gridCol w:w="109"/>
        <w:gridCol w:w="109"/>
        <w:gridCol w:w="264"/>
        <w:gridCol w:w="550"/>
        <w:gridCol w:w="149"/>
        <w:gridCol w:w="109"/>
        <w:gridCol w:w="109"/>
        <w:gridCol w:w="109"/>
        <w:gridCol w:w="196"/>
        <w:gridCol w:w="646"/>
        <w:gridCol w:w="170"/>
      </w:tblGrid>
      <w:tr>
        <w:trPr/>
        <w:tc>
          <w:tcPr>
            <w:tcW w:w="8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and Leases Amortized Cost Basis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 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 xml:space="preserve">Total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61,316 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real estate multifamily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Commercial real estate-owner occupied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114,195 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190,286 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real estate-non-owner occupied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43840"/>
                <wp:effectExtent l="0" t="0" r="0" b="0"/>
                <wp:wrapNone/>
                <wp:docPr id="101" name="Frame10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12"/>
        <w:gridCol w:w="424"/>
        <w:gridCol w:w="37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6"/>
      </w:tblGrid>
      <w:tr>
        <w:trPr/>
        <w:tc>
          <w:tcPr>
            <w:tcW w:w="7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Consumer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financing receivables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portfolio loans receivable, gross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writeoff</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(12,669)</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 - Strategic Program Loans with Credit Enhancement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partners with certain Strategic Program service providers who offer credit enhancement on loans, indemnifying or reimbursing the Bank for credit and fraud losses. In line with GAAP, we estimate and record expected loss provisions for these loans without factoring in the credit enhancement. When these provisions are recorded, a corresponding credit enhancement asset is recognized, reflecting anticipated recoveries under the service provider’s guarantee. Reimbursements are made through a deposit reserve account, which the provider replenishes periodically. The credit enhancement asset is reduced as payments or recoveries are received from the provider or its reserve account. The table below shows the activity in the credit enhancement asset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43840"/>
                <wp:effectExtent l="0" t="0" r="0" b="0"/>
                <wp:wrapNone/>
                <wp:docPr id="102" name="Frame10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6248" w:type="dxa"/>
        <w:jc w:val="left"/>
        <w:tblInd w:w="0" w:type="dxa"/>
        <w:tblLayout w:type="fixed"/>
        <w:tblCellMar>
          <w:top w:w="28" w:type="dxa"/>
          <w:left w:w="28" w:type="dxa"/>
          <w:bottom w:w="28" w:type="dxa"/>
          <w:right w:w="28" w:type="dxa"/>
        </w:tblCellMar>
      </w:tblPr>
      <w:tblGrid>
        <w:gridCol w:w="1466"/>
        <w:gridCol w:w="1289"/>
        <w:gridCol w:w="1294"/>
        <w:gridCol w:w="211"/>
        <w:gridCol w:w="721"/>
        <w:gridCol w:w="109"/>
        <w:gridCol w:w="109"/>
        <w:gridCol w:w="109"/>
        <w:gridCol w:w="109"/>
        <w:gridCol w:w="211"/>
        <w:gridCol w:w="46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asset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settled with partner during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asset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Modified Loans to Troubled Borrowers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Modified Loans Held-for-Investment (Excluding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there were no new material loan modifications to loans held-for-investment, excluding Strategic Program loans which are discussed separately below. During the year ended December 31, 2025, there was a payment default of $0.2 million on a commercial real estate owner occupied loan to a borrower whose loan was modified due to financial difficulties within the previous twelve months and the loan was placed on nonaccrual status. Subsequent to December 31, 2025, there was a payment default of $0.2 million on a residential real estate loan to a borrower whose loan was modified due to financial difficulties within the previous twelve months and the loan was placed on nonaccrual status. The remaining modified loan was current as of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payment defaults during the year ended December 31, 2024 of modified loans that were modified during the previous twelve months. The following table presents the amortized cost basis as of December 31, 2024, the percentage of the loans modified to the total class of loans, and the financial effect of modified loans to troubled borrowers that were experiencing financial difficulty during the year ended December 31, 2024:</w:t>
      </w:r>
    </w:p>
    <w:tbl>
      <w:tblPr>
        <w:tblW w:w="10205" w:type="dxa"/>
        <w:jc w:val="left"/>
        <w:tblInd w:w="0" w:type="dxa"/>
        <w:tblLayout w:type="fixed"/>
        <w:tblCellMar>
          <w:top w:w="28" w:type="dxa"/>
          <w:left w:w="28" w:type="dxa"/>
          <w:bottom w:w="28" w:type="dxa"/>
          <w:right w:w="28" w:type="dxa"/>
        </w:tblCellMar>
      </w:tblPr>
      <w:tblGrid>
        <w:gridCol w:w="703"/>
        <w:gridCol w:w="600"/>
        <w:gridCol w:w="603"/>
        <w:gridCol w:w="109"/>
        <w:gridCol w:w="109"/>
        <w:gridCol w:w="109"/>
        <w:gridCol w:w="804"/>
        <w:gridCol w:w="804"/>
        <w:gridCol w:w="807"/>
        <w:gridCol w:w="109"/>
        <w:gridCol w:w="109"/>
        <w:gridCol w:w="109"/>
        <w:gridCol w:w="806"/>
        <w:gridCol w:w="1782"/>
        <w:gridCol w:w="418"/>
        <w:gridCol w:w="109"/>
        <w:gridCol w:w="109"/>
        <w:gridCol w:w="109"/>
        <w:gridCol w:w="410"/>
        <w:gridCol w:w="377"/>
        <w:gridCol w:w="1110"/>
      </w:tblGrid>
      <w:tr>
        <w:trPr/>
        <w:tc>
          <w:tcPr>
            <w:tcW w:w="70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Loan Type</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Retained Strategic Program Loans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Retained Strategic Program loans of $129.8 million and $20.1 million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 2024, respectively, consist of personal loans to individuals and loans to businesses.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 certain circumstances, some of the Company’s strategic programs will modify the original loan terms to optimize the recovery of principal and interest. The loan modifications may include (i) a delay in payment and extension of the loan term, or (ii) accrued interest forgiveness and interest rate and payment reductions. As of </w:t>
      </w:r>
      <w:r>
        <w:rPr>
          <w:rFonts w:ascii="Times New Roman;serif" w:hAnsi="Times New Roman;serif"/>
          <w:b w:val="false"/>
          <w:color w:val="000000"/>
          <w:sz w:val="20"/>
        </w:rPr>
        <w:t xml:space="preserve">December 31, 2025 and </w:t>
      </w:r>
      <w:r>
        <w:rPr>
          <w:rFonts w:ascii="Times New Roman;serif" w:hAnsi="Times New Roman;serif"/>
          <w:b w:val="false"/>
          <w:color w:val="000000"/>
          <w:sz w:val="20"/>
          <w:shd w:fill="FFFFFF" w:val="clear"/>
        </w:rPr>
        <w:t xml:space="preserve">2024, the balance of outstanding modified loans to individuals in the retained portfolio was approximately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and $4.4 million, respectively.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43840"/>
                <wp:effectExtent l="0" t="0" r="0" b="0"/>
                <wp:wrapNone/>
                <wp:docPr id="103" name="Frame10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Collateral-Dependent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amortized cost basis of collateral-dependent loans by class of loans as of the periods indicated:</w:t>
      </w:r>
    </w:p>
    <w:tbl>
      <w:tblPr>
        <w:tblW w:w="10205" w:type="dxa"/>
        <w:jc w:val="left"/>
        <w:tblInd w:w="0" w:type="dxa"/>
        <w:tblLayout w:type="fixed"/>
        <w:tblCellMar>
          <w:top w:w="28" w:type="dxa"/>
          <w:left w:w="28" w:type="dxa"/>
          <w:bottom w:w="28" w:type="dxa"/>
          <w:right w:w="28" w:type="dxa"/>
        </w:tblCellMar>
      </w:tblPr>
      <w:tblGrid>
        <w:gridCol w:w="1087"/>
        <w:gridCol w:w="951"/>
        <w:gridCol w:w="955"/>
        <w:gridCol w:w="653"/>
        <w:gridCol w:w="1442"/>
        <w:gridCol w:w="338"/>
        <w:gridCol w:w="109"/>
        <w:gridCol w:w="109"/>
        <w:gridCol w:w="109"/>
        <w:gridCol w:w="215"/>
        <w:gridCol w:w="737"/>
        <w:gridCol w:w="110"/>
        <w:gridCol w:w="109"/>
        <w:gridCol w:w="109"/>
        <w:gridCol w:w="109"/>
        <w:gridCol w:w="370"/>
        <w:gridCol w:w="1083"/>
        <w:gridCol w:w="191"/>
        <w:gridCol w:w="109"/>
        <w:gridCol w:w="109"/>
        <w:gridCol w:w="109"/>
        <w:gridCol w:w="211"/>
        <w:gridCol w:w="721"/>
        <w:gridCol w:w="160"/>
      </w:tblGrid>
      <w:tr>
        <w:trPr/>
        <w:tc>
          <w:tcPr>
            <w:tcW w:w="10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40,056 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December 31, 2025 include $23.9 million of SBA 7(a) loan balances that are guaranteed by the SBA.</w:t>
      </w:r>
    </w:p>
    <w:tbl>
      <w:tblPr>
        <w:tblW w:w="10205" w:type="dxa"/>
        <w:jc w:val="left"/>
        <w:tblInd w:w="0" w:type="dxa"/>
        <w:tblLayout w:type="fixed"/>
        <w:tblCellMar>
          <w:top w:w="28" w:type="dxa"/>
          <w:left w:w="28" w:type="dxa"/>
          <w:bottom w:w="28" w:type="dxa"/>
          <w:right w:w="28" w:type="dxa"/>
        </w:tblCellMar>
      </w:tblPr>
      <w:tblGrid>
        <w:gridCol w:w="1087"/>
        <w:gridCol w:w="951"/>
        <w:gridCol w:w="954"/>
        <w:gridCol w:w="707"/>
        <w:gridCol w:w="1361"/>
        <w:gridCol w:w="365"/>
        <w:gridCol w:w="109"/>
        <w:gridCol w:w="109"/>
        <w:gridCol w:w="109"/>
        <w:gridCol w:w="215"/>
        <w:gridCol w:w="737"/>
        <w:gridCol w:w="110"/>
        <w:gridCol w:w="109"/>
        <w:gridCol w:w="109"/>
        <w:gridCol w:w="109"/>
        <w:gridCol w:w="370"/>
        <w:gridCol w:w="1082"/>
        <w:gridCol w:w="191"/>
        <w:gridCol w:w="109"/>
        <w:gridCol w:w="109"/>
        <w:gridCol w:w="109"/>
        <w:gridCol w:w="211"/>
        <w:gridCol w:w="721"/>
        <w:gridCol w:w="162"/>
      </w:tblGrid>
      <w:tr>
        <w:trPr/>
        <w:tc>
          <w:tcPr>
            <w:tcW w:w="10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2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December 31, 2024 include $18.9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43840"/>
                <wp:effectExtent l="0" t="0" r="0" b="0"/>
                <wp:wrapNone/>
                <wp:docPr id="104" name="Frame10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Premises and Equipment and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net consist of the following for the periods indicated: </w:t>
      </w:r>
    </w:p>
    <w:tbl>
      <w:tblPr>
        <w:tblW w:w="5169" w:type="dxa"/>
        <w:jc w:val="left"/>
        <w:tblInd w:w="0" w:type="dxa"/>
        <w:tblLayout w:type="fixed"/>
        <w:tblCellMar>
          <w:top w:w="28" w:type="dxa"/>
          <w:left w:w="28" w:type="dxa"/>
          <w:bottom w:w="28" w:type="dxa"/>
          <w:right w:w="28" w:type="dxa"/>
        </w:tblCellMar>
      </w:tblPr>
      <w:tblGrid>
        <w:gridCol w:w="1059"/>
        <w:gridCol w:w="931"/>
        <w:gridCol w:w="935"/>
        <w:gridCol w:w="211"/>
        <w:gridCol w:w="616"/>
        <w:gridCol w:w="109"/>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fixtures, and equipment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premises and equipment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premises and equipment, included in occupancy and equipment expenses, was $0.9 million and $1.1 million for the years ended December 31, 2025 and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Leasing as a Lessor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cost and accumulated depreciation of commercial operating equipment the Company is leasing to third parties is as follows:</w:t>
      </w:r>
    </w:p>
    <w:tbl>
      <w:tblPr>
        <w:tblW w:w="6099" w:type="dxa"/>
        <w:jc w:val="left"/>
        <w:tblInd w:w="0" w:type="dxa"/>
        <w:tblLayout w:type="fixed"/>
        <w:tblCellMar>
          <w:top w:w="28" w:type="dxa"/>
          <w:left w:w="28" w:type="dxa"/>
          <w:bottom w:w="28" w:type="dxa"/>
          <w:right w:w="28" w:type="dxa"/>
        </w:tblCellMar>
      </w:tblPr>
      <w:tblGrid>
        <w:gridCol w:w="1320"/>
        <w:gridCol w:w="1160"/>
        <w:gridCol w:w="1165"/>
        <w:gridCol w:w="211"/>
        <w:gridCol w:w="721"/>
        <w:gridCol w:w="109"/>
        <w:gridCol w:w="109"/>
        <w:gridCol w:w="109"/>
        <w:gridCol w:w="109"/>
        <w:gridCol w:w="211"/>
        <w:gridCol w:w="721"/>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operating lease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operating lease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for assets leased and available for lease was $2.4 million and $1.6 million for the years ended December 31, 2025 and 2024, respectively, and is included in other operating expenses. Rental income from commercial operating leases for the years ended December 31, 2025 and 2024 was $3.2 million and $2.2 million,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Leasing as a Lessee</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under noncancelable operating leases. Rent expense was as follows:</w:t>
      </w:r>
    </w:p>
    <w:tbl>
      <w:tblPr>
        <w:tblW w:w="4434" w:type="dxa"/>
        <w:jc w:val="left"/>
        <w:tblInd w:w="0" w:type="dxa"/>
        <w:tblLayout w:type="fixed"/>
        <w:tblCellMar>
          <w:top w:w="28" w:type="dxa"/>
          <w:left w:w="28" w:type="dxa"/>
          <w:bottom w:w="28" w:type="dxa"/>
          <w:right w:w="28" w:type="dxa"/>
        </w:tblCellMar>
      </w:tblPr>
      <w:tblGrid>
        <w:gridCol w:w="902"/>
        <w:gridCol w:w="792"/>
        <w:gridCol w:w="796"/>
        <w:gridCol w:w="211"/>
        <w:gridCol w:w="466"/>
        <w:gridCol w:w="109"/>
        <w:gridCol w:w="109"/>
        <w:gridCol w:w="109"/>
        <w:gridCol w:w="109"/>
        <w:gridCol w:w="211"/>
        <w:gridCol w:w="46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rent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43840"/>
                <wp:effectExtent l="0" t="0" r="0" b="0"/>
                <wp:wrapNone/>
                <wp:docPr id="105" name="Frame10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minimum annual undiscounted rental payments for the Company’s operating leases are as follows as of December 31, 2025 ($ in thousands):</w:t>
      </w:r>
    </w:p>
    <w:tbl>
      <w:tblPr>
        <w:tblW w:w="4161" w:type="dxa"/>
        <w:jc w:val="left"/>
        <w:tblInd w:w="0" w:type="dxa"/>
        <w:tblLayout w:type="fixed"/>
        <w:tblCellMar>
          <w:top w:w="28" w:type="dxa"/>
          <w:left w:w="28" w:type="dxa"/>
          <w:bottom w:w="28" w:type="dxa"/>
          <w:right w:w="28" w:type="dxa"/>
        </w:tblCellMar>
      </w:tblPr>
      <w:tblGrid>
        <w:gridCol w:w="1151"/>
        <w:gridCol w:w="1011"/>
        <w:gridCol w:w="1018"/>
        <w:gridCol w:w="211"/>
        <w:gridCol w:w="61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lease term and discount rate used are as follows:</w:t>
      </w:r>
    </w:p>
    <w:tbl>
      <w:tblPr>
        <w:tblW w:w="9446" w:type="dxa"/>
        <w:jc w:val="left"/>
        <w:tblInd w:w="0" w:type="dxa"/>
        <w:tblLayout w:type="fixed"/>
        <w:tblCellMar>
          <w:top w:w="28" w:type="dxa"/>
          <w:left w:w="28" w:type="dxa"/>
          <w:bottom w:w="28" w:type="dxa"/>
          <w:right w:w="28" w:type="dxa"/>
        </w:tblCellMar>
      </w:tblPr>
      <w:tblGrid>
        <w:gridCol w:w="2038"/>
        <w:gridCol w:w="1790"/>
        <w:gridCol w:w="1797"/>
        <w:gridCol w:w="384"/>
        <w:gridCol w:w="384"/>
        <w:gridCol w:w="957"/>
        <w:gridCol w:w="109"/>
        <w:gridCol w:w="109"/>
        <w:gridCol w:w="109"/>
        <w:gridCol w:w="360"/>
        <w:gridCol w:w="360"/>
        <w:gridCol w:w="1049"/>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(in years)</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5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4793" w:type="dxa"/>
        <w:jc w:val="left"/>
        <w:tblInd w:w="0" w:type="dxa"/>
        <w:tblLayout w:type="fixed"/>
        <w:tblCellMar>
          <w:top w:w="28" w:type="dxa"/>
          <w:left w:w="28" w:type="dxa"/>
          <w:bottom w:w="28" w:type="dxa"/>
          <w:right w:w="28" w:type="dxa"/>
        </w:tblCellMar>
      </w:tblPr>
      <w:tblGrid>
        <w:gridCol w:w="922"/>
        <w:gridCol w:w="811"/>
        <w:gridCol w:w="816"/>
        <w:gridCol w:w="211"/>
        <w:gridCol w:w="616"/>
        <w:gridCol w:w="109"/>
        <w:gridCol w:w="109"/>
        <w:gridCol w:w="109"/>
        <w:gridCol w:w="109"/>
        <w:gridCol w:w="211"/>
        <w:gridCol w:w="61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SBA Servicing Asset,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sells the guaranteed portions of SBA loans and retains rights to service the loans. Loans serviced for others are not included in the accompanying balance sheets. The unpaid principal balances of SBA loans serviced for others was $275.8 million and $218.4 million at December 31, 2025 and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SBA servicing asset, net activity for the periods indicated:</w:t>
      </w:r>
    </w:p>
    <w:tbl>
      <w:tblPr>
        <w:tblW w:w="4899"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in the valuation allowance for the SBA servicing asset was as follows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43840"/>
                <wp:effectExtent l="0" t="0" r="0" b="0"/>
                <wp:wrapNone/>
                <wp:docPr id="106" name="Frame10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5034"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19.1%, weighted average term of 3.46 years, and a weighted average discount rate of 12.3% at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21.1%, weighted average term of 3.30 years, and a weighted average discount rate of 12.1%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Investment in Business Funding Group,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the Company’s common stock. On February 5, 2024, the transaction was consummated and the Company issued an aggregate 339,176 shares of the Company’s common stock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the Company’s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further information on the Company’s investment in BFG, see Note 14 -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43840"/>
                <wp:effectExtent l="0" t="0" r="0" b="0"/>
                <wp:wrapNone/>
                <wp:docPr id="107" name="Frame10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Deposits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Major classes of deposits are as follows:</w:t>
      </w:r>
    </w:p>
    <w:tbl>
      <w:tblPr>
        <w:tblW w:w="4989" w:type="dxa"/>
        <w:jc w:val="left"/>
        <w:tblInd w:w="0" w:type="dxa"/>
        <w:tblLayout w:type="fixed"/>
        <w:tblCellMar>
          <w:top w:w="28" w:type="dxa"/>
          <w:left w:w="28" w:type="dxa"/>
          <w:bottom w:w="28" w:type="dxa"/>
          <w:right w:w="28" w:type="dxa"/>
        </w:tblCellMar>
      </w:tblPr>
      <w:tblGrid>
        <w:gridCol w:w="842"/>
        <w:gridCol w:w="740"/>
        <w:gridCol w:w="743"/>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 with balances of $250,000 or more at December 31, 2025 and 2024 totaled approximately $13.6 million and $10.9 million, respectively. The Bank’s deposits are insurable to applicable limits by the FDIC.</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scheduled maturities of time deposits are as follows ($ in thousands):</w:t>
      </w:r>
    </w:p>
    <w:tbl>
      <w:tblPr>
        <w:tblW w:w="3846" w:type="dxa"/>
        <w:jc w:val="left"/>
        <w:tblInd w:w="0" w:type="dxa"/>
        <w:tblLayout w:type="fixed"/>
        <w:tblCellMar>
          <w:top w:w="28" w:type="dxa"/>
          <w:left w:w="28" w:type="dxa"/>
          <w:bottom w:w="28" w:type="dxa"/>
          <w:right w:w="28" w:type="dxa"/>
        </w:tblCellMar>
      </w:tblPr>
      <w:tblGrid>
        <w:gridCol w:w="961"/>
        <w:gridCol w:w="844"/>
        <w:gridCol w:w="850"/>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risk-weighting, and other factors. Prompt corrective action provisions are not applicable to the bank holding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2025 and December 31, 2024, that the Bank’s capital levels exceed the regulatory floors required to be classified as a well-capitalized bank.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most recent notification from the FDIC categorized the Bank as well-capitalized under the regulatory framework for prompt corrective action (there are no conditions or events since that notification that management believes have changed the Bank’s category). The following table presents the actual and required capital amounts and ratios for the Bank as of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43840"/>
                <wp:effectExtent l="0" t="0" r="0" b="0"/>
                <wp:wrapNone/>
                <wp:docPr id="108" name="Frame10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7413"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233"/>
        <w:gridCol w:w="233"/>
        <w:gridCol w:w="341"/>
        <w:gridCol w:w="109"/>
        <w:gridCol w:w="109"/>
        <w:gridCol w:w="109"/>
        <w:gridCol w:w="211"/>
        <w:gridCol w:w="721"/>
        <w:gridCol w:w="109"/>
        <w:gridCol w:w="109"/>
        <w:gridCol w:w="109"/>
        <w:gridCol w:w="109"/>
        <w:gridCol w:w="180"/>
        <w:gridCol w:w="181"/>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Well-Capitalized</w:t>
              <w:b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Bank 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and other regulatory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Home Loan Bank Secured Line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Bank’s available line of credit with the FHLB to borrow funds was $20.5 million and $25.0 million, respectively. All borrowings are short-term and the interest rate is equal to the correspondent bank’s daily federal funds purchase rate. As of December 31, 2025 and December 31, 2024, no amounts were outstanding under the line of credit. Loans totaling $34.2 million and $41.6 million were pledged to secure the FHLB line of credit as of December 31, 2025 and December 31,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Reserve Bank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December 31, 2024, the Bank had a maximum borrowing capacity of $193.8 million and $239.2 million, respectively, with the FRB, including the secured borrowing capacity through the Discount Window and the Borrower-in-Custody (“BIC”) program, to the extent of collateral pledged. Loans totaling $235.8 million and $240.8 million and securities of $37.4 million and $42.6 million were pledged to secure these lines of credit with the FRB as of December 31, 2025 and December 31, 2024, respectively. The Company had no advances outstanding under either program as of December 31, 2025 and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Bank had an available unsecured line of credit with Pacific Coast Bankers’ Bank to borrow up to $10.0 million in overnight funds at December 31, 2025. Through Zions Bank, the Bank had an available unsecured line of credit of $5.0 million at December 31, 2025 and December 31, 2024. The Bank had an available line of credit with Bankers’ Bank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43840"/>
                <wp:effectExtent l="0" t="0" r="0" b="0"/>
                <wp:wrapNone/>
                <wp:docPr id="109" name="Frame10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West to borrow up to $1.1 million in overnight funds at December 31, 2025 and December 31, 2024. The Bank had no outstanding balances on such unsecured or secured lines of credit as of December 31, 2025 and December 31, 2024.</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Instruments with Off-Balance Sheet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Commitments to Extend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Bank has entered into commitments to extend credit to customers which have not yet been exercised. These financial instruments include commitments to extend credit in the form of loans and credit card arrangements. Those instruments involve to varying degrees, elements of credit and interest rate risk in excess of the amount recognized in the balance sheets. For credit card customers, the Company reserves the right to modify or terminate the terms and conditions of credit card accounts at its discretion. It is important to note that a significant portion of the Company’s commitments and undrawn credit card lines are not fully utilized by customers, so the total amount of these commitments does not necessarily reflect the Company’s future cash obligations. The Company assesses each customer’s credit profile individually to determine creditworthiness. The Company’s commitments to extend credit as of the periods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financial instruments with off-balance-sheet risk were as follows:</w:t>
      </w:r>
    </w:p>
    <w:tbl>
      <w:tblPr>
        <w:tblW w:w="6355" w:type="dxa"/>
        <w:jc w:val="left"/>
        <w:tblInd w:w="0" w:type="dxa"/>
        <w:tblLayout w:type="fixed"/>
        <w:tblCellMar>
          <w:top w:w="28" w:type="dxa"/>
          <w:left w:w="28" w:type="dxa"/>
          <w:bottom w:w="28" w:type="dxa"/>
          <w:right w:w="28" w:type="dxa"/>
        </w:tblCellMar>
      </w:tblPr>
      <w:tblGrid>
        <w:gridCol w:w="1254"/>
        <w:gridCol w:w="1103"/>
        <w:gridCol w:w="1107"/>
        <w:gridCol w:w="232"/>
        <w:gridCol w:w="908"/>
        <w:gridCol w:w="119"/>
        <w:gridCol w:w="109"/>
        <w:gridCol w:w="109"/>
        <w:gridCol w:w="109"/>
        <w:gridCol w:w="253"/>
        <w:gridCol w:w="867"/>
        <w:gridCol w:w="185"/>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open-end lines of credit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card arrangements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commercial real estate loans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unused commitments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unfunded loan commitments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 on Unfunded Commitments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$0.6 million and $0.5 million as of December 31, 2025 and December 31, 2024,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Class Action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notified approximately 600,000 individuals of an alleged data breach in which their personal data was exposed by a former employee following termination of their employment. Subsequently, several class action lawsuits were filed, all of which have been consolidated into a single class action lawsuit in Utah federal court. The Company has disputed the claims and is vigorously defending the lawsuit. The Company participated in a pre-discovery mediation with the plaintiffs’ attorneys on March 17, 2026; however, the parties were unable to reach an agreement at that time.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insurance coverage that management believes is sufficient to cover any potential losses or damages arising from the lawsuit. As of December 31, 2025, no accrual for loss has been recorded as management does not believe a loss is probable or, if probable, is not reasonably estimable.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43840"/>
                <wp:effectExtent l="0" t="0" r="0" b="0"/>
                <wp:wrapNone/>
                <wp:docPr id="110" name="Frame11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Stock-Based Compensation and Employee Benefit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Stock Plan (“2019 Plan”) was adopted on June 20, 2019 following approval by the Company’s Board of Directors and shareholders. The 2019 Plan will terminate as to future awards 10 years from the later of the effective date or the earlier of the most recent Board or shareholder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December 31, 2025, 122,617 shares under the 2019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shareholder approval of an increase in the number of shares reserved for issuance under the 2016 Plan. At December 31, 2025, 2,189 shares under the 2016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stock options vary by employee or director and can have a term no more than 10 years, with the options generally having vesting periods ranging from 1 to 5 years. Restricted stock vests over periods ranging from approximately 1 to 5 years. Upon the exercise of stock options, the Company issues new authorized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1558"/>
        <w:gridCol w:w="1368"/>
        <w:gridCol w:w="1375"/>
        <w:gridCol w:w="296"/>
        <w:gridCol w:w="296"/>
        <w:gridCol w:w="304"/>
        <w:gridCol w:w="109"/>
        <w:gridCol w:w="109"/>
        <w:gridCol w:w="109"/>
        <w:gridCol w:w="232"/>
        <w:gridCol w:w="563"/>
        <w:gridCol w:w="121"/>
        <w:gridCol w:w="109"/>
        <w:gridCol w:w="109"/>
        <w:gridCol w:w="109"/>
        <w:gridCol w:w="588"/>
        <w:gridCol w:w="588"/>
        <w:gridCol w:w="590"/>
        <w:gridCol w:w="109"/>
        <w:gridCol w:w="109"/>
        <w:gridCol w:w="109"/>
        <w:gridCol w:w="211"/>
        <w:gridCol w:w="976"/>
        <w:gridCol w:w="158"/>
      </w:tblGrid>
      <w:tr>
        <w:trPr/>
        <w:tc>
          <w:tcPr>
            <w:tcW w:w="15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Remaining</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9,266,286 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8,744,727 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December 31, 2025</w:t>
            </w:r>
          </w:p>
        </w:tc>
        <w:tc>
          <w:tcPr>
            <w:tcW w:w="8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8,236,036 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from time-to-time grants shares of restricted stock to key employees or directors. These awards typically hold service requirements over various vesting periods. The value of the stock awarded is established as the fair market value of the stock at the time of the grant. The Company recognizes expense, equal to the total value of such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43840"/>
                <wp:effectExtent l="0" t="0" r="0" b="0"/>
                <wp:wrapNone/>
                <wp:docPr id="111" name="Frame11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ratably over the vesting period of the stock grants. All restricted stock agreements are conditioned upon continued employment. Termination of employment prior to a vesting date would terminate any interest in unvested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unvested restricted stock activity for the year ended December 31, 2025:</w:t>
      </w:r>
    </w:p>
    <w:tbl>
      <w:tblPr>
        <w:tblW w:w="8546" w:type="dxa"/>
        <w:jc w:val="left"/>
        <w:tblInd w:w="0" w:type="dxa"/>
        <w:tblLayout w:type="fixed"/>
        <w:tblCellMar>
          <w:top w:w="28" w:type="dxa"/>
          <w:left w:w="28" w:type="dxa"/>
          <w:bottom w:w="28" w:type="dxa"/>
          <w:right w:w="28" w:type="dxa"/>
        </w:tblCellMar>
      </w:tblPr>
      <w:tblGrid>
        <w:gridCol w:w="1060"/>
        <w:gridCol w:w="931"/>
        <w:gridCol w:w="934"/>
        <w:gridCol w:w="539"/>
        <w:gridCol w:w="539"/>
        <w:gridCol w:w="541"/>
        <w:gridCol w:w="109"/>
        <w:gridCol w:w="109"/>
        <w:gridCol w:w="109"/>
        <w:gridCol w:w="790"/>
        <w:gridCol w:w="2308"/>
        <w:gridCol w:w="577"/>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years ended December 31, 2025 and 2024 was $2.5 million and $1.2 million,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recognized and income tax benefit for stock-based compensation related to restricted shares:</w:t>
      </w:r>
    </w:p>
    <w:tbl>
      <w:tblPr>
        <w:tblW w:w="6069" w:type="dxa"/>
        <w:jc w:val="left"/>
        <w:tblInd w:w="0" w:type="dxa"/>
        <w:tblLayout w:type="fixed"/>
        <w:tblCellMar>
          <w:top w:w="28" w:type="dxa"/>
          <w:left w:w="28" w:type="dxa"/>
          <w:bottom w:w="28" w:type="dxa"/>
          <w:right w:w="28" w:type="dxa"/>
        </w:tblCellMar>
      </w:tblPr>
      <w:tblGrid>
        <w:gridCol w:w="1386"/>
        <w:gridCol w:w="1216"/>
        <w:gridCol w:w="1223"/>
        <w:gridCol w:w="211"/>
        <w:gridCol w:w="616"/>
        <w:gridCol w:w="109"/>
        <w:gridCol w:w="109"/>
        <w:gridCol w:w="109"/>
        <w:gridCol w:w="109"/>
        <w:gridCol w:w="211"/>
        <w:gridCol w:w="61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related to restricted shares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unrecognized stock-based compensation expense related to stock options and restricted stock of approximately $18.9 thousand and $4.5 million, respectively, which is expected to be recognized over the remaining weighted average vesting period of 0.5 years and 1.8 years,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Defined Contribution Plan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has established an employee directed 401(k) plan (“Plan”) for employees meeting certain eligibility requirements. The Plan requires the Company to provide a guaranteed safe harbor matching contribution equal to 100% of the first 4% of compensation that employees contribute to their account and this amount is immediately vested. </w:t>
      </w:r>
      <w:r>
        <w:rPr>
          <w:rFonts w:ascii="Times New Roman;serif" w:hAnsi="Times New Roman;serif"/>
          <w:b w:val="false"/>
          <w:color w:val="000000"/>
          <w:sz w:val="20"/>
        </w:rPr>
        <w:t>The Company may also, at its discretion, make matching and profit-sharing contributions based on each eligible employee’s compensation for the Plan year. Prior to January 1, 2026, employees were eligible for safe harbor contributions with no service requirement and eligible for employer matching and profit-sharing contributions after three months of service. After January 1, 2026, employees are eligible for safe harbor contributions after three months of service and eligible for employer matching and profit-sharing contributions after one year of service. Matching and profit-sharing contributions vest according to the Plan’s vesting schedule. The Company contributed $1.3 million and $1.1 million to the Plan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Fair Value of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U.S.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43840"/>
                <wp:effectExtent l="0" t="0" r="0" b="0"/>
                <wp:wrapNone/>
                <wp:docPr id="112" name="Frame11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left"/>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years ended December 31, 2025 and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erif" w:hAnsi="Times New Roman;serif"/>
          <w:b/>
          <w:color w:val="000000"/>
          <w:sz w:val="20"/>
        </w:rPr>
        <w:t>Investment securities available-for-sale:</w:t>
      </w:r>
      <w:r>
        <w:rPr>
          <w:color w:val="000000"/>
        </w:rPr>
        <w:t xml:space="preserve"> </w:t>
      </w:r>
      <w:r>
        <w:rPr>
          <w:rFonts w:ascii="Times New Roman;serif" w:hAnsi="Times New Roman;serif"/>
          <w:b w:val="false"/>
          <w:color w:val="000000"/>
          <w:sz w:val="20"/>
        </w:rPr>
        <w:t>Investment securities AFS consist of U.S. Treasury securities and are carried at fair value. The Company estimates the fair value of investment securities AFS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erif" w:hAnsi="Times New Roman;serif"/>
          <w:b/>
          <w:color w:val="000000"/>
          <w:sz w:val="20"/>
        </w:rPr>
        <w:t>Investment in BFG</w:t>
      </w:r>
      <w:r>
        <w:rPr>
          <w:rFonts w:ascii="Times New Roman;serif" w:hAnsi="Times New Roman;serif"/>
          <w:b w:val="false"/>
          <w:color w:val="000000"/>
          <w:sz w:val="20"/>
        </w:rPr>
        <w:t>: The Company’s valuation technique utilized the average of the discounted cash flow method and the Guideline Public Company method. A 4.50% discount for non-voting shares was applied to the valuation to arrive at fair value as of December 31, 2025 and December 31, 2024. The calculation of fair value utilized significant unobservable inputs, including projected cash flows, growth rates, and discount rates.</w:t>
      </w:r>
    </w:p>
    <w:p>
      <w:pPr>
        <w:pStyle w:val="TextBody"/>
        <w:bidi w:val="0"/>
        <w:spacing w:lineRule="auto" w:line="288" w:before="200" w:after="283"/>
        <w:jc w:val="left"/>
        <w:rPr/>
      </w:pPr>
      <w:r>
        <w:rPr>
          <w:rFonts w:ascii="Times New Roman;serif" w:hAnsi="Times New Roman;serif"/>
          <w:b/>
          <w:color w:val="000000"/>
          <w:sz w:val="20"/>
        </w:rPr>
        <w:t>Derivative instruments</w:t>
      </w:r>
      <w:r>
        <w:rPr>
          <w:rFonts w:ascii="Times New Roman;serif" w:hAnsi="Times New Roman;serif"/>
          <w:b w:val="false"/>
          <w:color w:val="000000"/>
          <w:sz w:val="20"/>
        </w:rPr>
        <w:t>: The Company’s derivative instruments consist of interest rate swaps accounted for as cash flow hedges. The Company’s derivative instruments are carried at fair value and considered Level 2 measurements. The Company measures fair value of interest rate swaps utilizing market observable inputs, such as forecasted yield curves.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recurring basis as of the periods indicated:</w:t>
      </w:r>
    </w:p>
    <w:tbl>
      <w:tblPr>
        <w:tblW w:w="6743" w:type="dxa"/>
        <w:jc w:val="left"/>
        <w:tblInd w:w="0" w:type="dxa"/>
        <w:tblLayout w:type="fixed"/>
        <w:tblCellMar>
          <w:top w:w="28" w:type="dxa"/>
          <w:left w:w="28" w:type="dxa"/>
          <w:bottom w:w="28" w:type="dxa"/>
          <w:right w:w="28" w:type="dxa"/>
        </w:tblCellMar>
      </w:tblPr>
      <w:tblGrid>
        <w:gridCol w:w="728"/>
        <w:gridCol w:w="639"/>
        <w:gridCol w:w="642"/>
        <w:gridCol w:w="195"/>
        <w:gridCol w:w="195"/>
        <w:gridCol w:w="196"/>
        <w:gridCol w:w="109"/>
        <w:gridCol w:w="109"/>
        <w:gridCol w:w="109"/>
        <w:gridCol w:w="349"/>
        <w:gridCol w:w="1195"/>
        <w:gridCol w:w="180"/>
        <w:gridCol w:w="109"/>
        <w:gridCol w:w="109"/>
        <w:gridCol w:w="109"/>
        <w:gridCol w:w="344"/>
        <w:gridCol w:w="1175"/>
        <w:gridCol w:w="25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43840"/>
                <wp:effectExtent l="0" t="0" r="0" b="0"/>
                <wp:wrapNone/>
                <wp:docPr id="113" name="Frame11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Company’s investment in BFG classified as a Level 3 financial instrument and measured at fair value on a recurring basis for the periods indicated:</w:t>
      </w:r>
    </w:p>
    <w:tbl>
      <w:tblPr>
        <w:tblW w:w="5243"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BFG ownership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nonrecurring basis as of the periods indicated:</w:t>
      </w:r>
    </w:p>
    <w:tbl>
      <w:tblPr>
        <w:tblW w:w="7711" w:type="dxa"/>
        <w:jc w:val="left"/>
        <w:tblInd w:w="0" w:type="dxa"/>
        <w:tblLayout w:type="fixed"/>
        <w:tblCellMar>
          <w:top w:w="28" w:type="dxa"/>
          <w:left w:w="28" w:type="dxa"/>
          <w:bottom w:w="28" w:type="dxa"/>
          <w:right w:w="28" w:type="dxa"/>
        </w:tblCellMar>
      </w:tblPr>
      <w:tblGrid>
        <w:gridCol w:w="1135"/>
        <w:gridCol w:w="998"/>
        <w:gridCol w:w="1002"/>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Financial Instrument</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20"/>
        </w:rPr>
        <w:t xml:space="preserve">Individually evaluated loans </w:t>
      </w:r>
      <w:r>
        <w:rPr>
          <w:color w:val="000000"/>
        </w:rPr>
        <w:t xml:space="preserve">– </w:t>
      </w:r>
      <w:r>
        <w:rPr>
          <w:rFonts w:ascii="Times New Roman;serif" w:hAnsi="Times New Roman;serif"/>
          <w:b w:val="false"/>
          <w:color w:val="000000"/>
          <w:sz w:val="20"/>
        </w:rPr>
        <w:t>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erif" w:hAnsi="Times New Roman;serif"/>
          <w:b/>
          <w:color w:val="000000"/>
          <w:sz w:val="20"/>
        </w:rPr>
        <w:t xml:space="preserve">Quantitative information for Level 3 fair value measurements </w:t>
      </w:r>
      <w:r>
        <w:rPr>
          <w:color w:val="000000"/>
        </w:rPr>
        <w:t xml:space="preserve">– </w:t>
      </w:r>
      <w:r>
        <w:rPr>
          <w:rFonts w:ascii="Times New Roman;serif" w:hAnsi="Times New Roman;serif"/>
          <w:b w:val="false"/>
          <w:color w:val="000000"/>
          <w:sz w:val="20"/>
        </w:rPr>
        <w:t>The following table presents information about quantitative inputs and assumptions used to fair value Level 3 nonrecurring assets as of December 31, 2025 and 2024:</w:t>
      </w:r>
    </w:p>
    <w:tbl>
      <w:tblPr>
        <w:tblW w:w="10205" w:type="dxa"/>
        <w:jc w:val="left"/>
        <w:tblInd w:w="0" w:type="dxa"/>
        <w:tblLayout w:type="fixed"/>
        <w:tblCellMar>
          <w:top w:w="28" w:type="dxa"/>
          <w:left w:w="28" w:type="dxa"/>
          <w:bottom w:w="28" w:type="dxa"/>
          <w:right w:w="28" w:type="dxa"/>
        </w:tblCellMar>
      </w:tblPr>
      <w:tblGrid>
        <w:gridCol w:w="796"/>
        <w:gridCol w:w="658"/>
        <w:gridCol w:w="661"/>
        <w:gridCol w:w="211"/>
        <w:gridCol w:w="721"/>
        <w:gridCol w:w="109"/>
        <w:gridCol w:w="109"/>
        <w:gridCol w:w="109"/>
        <w:gridCol w:w="109"/>
        <w:gridCol w:w="349"/>
        <w:gridCol w:w="349"/>
        <w:gridCol w:w="353"/>
        <w:gridCol w:w="1211"/>
        <w:gridCol w:w="1211"/>
        <w:gridCol w:w="1214"/>
        <w:gridCol w:w="109"/>
        <w:gridCol w:w="109"/>
        <w:gridCol w:w="109"/>
        <w:gridCol w:w="379"/>
        <w:gridCol w:w="338"/>
        <w:gridCol w:w="991"/>
      </w:tblGrid>
      <w:tr>
        <w:trPr/>
        <w:tc>
          <w:tcPr>
            <w:tcW w:w="79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w:t>
            </w:r>
          </w:p>
        </w:tc>
        <w:tc>
          <w:tcPr>
            <w:tcW w:w="3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w:t>
              <w:br/>
              <w:t xml:space="preserve">(Weighted Average) </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43840"/>
                <wp:effectExtent l="0" t="0" r="0" b="0"/>
                <wp:wrapNone/>
                <wp:docPr id="114" name="Frame11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range and weighted average of the significant unobservable inputs used to fair value the investment in BFG as of December 31, 2025 and as of December 31, 2024 are shown in the following table:</w:t>
      </w:r>
    </w:p>
    <w:tbl>
      <w:tblPr>
        <w:tblW w:w="6596" w:type="dxa"/>
        <w:jc w:val="left"/>
        <w:tblInd w:w="0" w:type="dxa"/>
        <w:tblLayout w:type="fixed"/>
        <w:tblCellMar>
          <w:top w:w="28" w:type="dxa"/>
          <w:left w:w="28" w:type="dxa"/>
          <w:bottom w:w="28" w:type="dxa"/>
          <w:right w:w="28" w:type="dxa"/>
        </w:tblCellMar>
      </w:tblPr>
      <w:tblGrid>
        <w:gridCol w:w="950"/>
        <w:gridCol w:w="835"/>
        <w:gridCol w:w="839"/>
        <w:gridCol w:w="400"/>
        <w:gridCol w:w="400"/>
        <w:gridCol w:w="1000"/>
        <w:gridCol w:w="109"/>
        <w:gridCol w:w="109"/>
        <w:gridCol w:w="109"/>
        <w:gridCol w:w="376"/>
        <w:gridCol w:w="376"/>
        <w:gridCol w:w="109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br/>
              <w:t>Range</w:t>
              <w:br/>
              <w:t>(Weighted Average)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Lack of marketability discount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Guideline Public Company</w:t>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3.5x to 5.3x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3.5x to 5.8x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carrying amount and estimated fair value of the Company's financial instruments at the periods indicated:</w:t>
      </w:r>
    </w:p>
    <w:tbl>
      <w:tblPr>
        <w:tblW w:w="10205" w:type="dxa"/>
        <w:jc w:val="left"/>
        <w:tblInd w:w="0" w:type="dxa"/>
        <w:tblLayout w:type="fixed"/>
        <w:tblCellMar>
          <w:top w:w="28" w:type="dxa"/>
          <w:left w:w="28" w:type="dxa"/>
          <w:bottom w:w="28" w:type="dxa"/>
          <w:right w:w="28" w:type="dxa"/>
        </w:tblCellMar>
      </w:tblPr>
      <w:tblGrid>
        <w:gridCol w:w="1165"/>
        <w:gridCol w:w="927"/>
        <w:gridCol w:w="9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2"/>
        <w:gridCol w:w="544"/>
        <w:gridCol w:w="156"/>
      </w:tblGrid>
      <w:tr>
        <w:trPr/>
        <w:tc>
          <w:tcPr>
            <w:tcW w:w="11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43840"/>
                <wp:effectExtent l="0" t="0" r="0" b="0"/>
                <wp:wrapNone/>
                <wp:docPr id="115" name="Frame11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165"/>
        <w:gridCol w:w="927"/>
        <w:gridCol w:w="9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2"/>
        <w:gridCol w:w="544"/>
        <w:gridCol w:w="156"/>
      </w:tblGrid>
      <w:tr>
        <w:trPr/>
        <w:tc>
          <w:tcPr>
            <w:tcW w:w="11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PPPLF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income tax expense consist of the following:</w:t>
      </w:r>
    </w:p>
    <w:tbl>
      <w:tblPr>
        <w:tblW w:w="5319" w:type="dxa"/>
        <w:jc w:val="left"/>
        <w:tblInd w:w="0" w:type="dxa"/>
        <w:tblLayout w:type="fixed"/>
        <w:tblCellMar>
          <w:top w:w="28" w:type="dxa"/>
          <w:left w:w="28" w:type="dxa"/>
          <w:bottom w:w="28" w:type="dxa"/>
          <w:right w:w="28" w:type="dxa"/>
        </w:tblCellMar>
      </w:tblPr>
      <w:tblGrid>
        <w:gridCol w:w="1087"/>
        <w:gridCol w:w="954"/>
        <w:gridCol w:w="959"/>
        <w:gridCol w:w="211"/>
        <w:gridCol w:w="691"/>
        <w:gridCol w:w="109"/>
        <w:gridCol w:w="109"/>
        <w:gridCol w:w="109"/>
        <w:gridCol w:w="109"/>
        <w:gridCol w:w="211"/>
        <w:gridCol w:w="61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tax expense</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expense (benefit)</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43840"/>
                <wp:effectExtent l="0" t="0" r="0" b="0"/>
                <wp:wrapNone/>
                <wp:docPr id="116" name="Frame11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components of net deferred income tax assets and liabilities on the balance sheet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are as follows:</w:t>
      </w:r>
    </w:p>
    <w:tbl>
      <w:tblPr>
        <w:tblW w:w="5453" w:type="dxa"/>
        <w:jc w:val="left"/>
        <w:tblInd w:w="0" w:type="dxa"/>
        <w:tblLayout w:type="fixed"/>
        <w:tblCellMar>
          <w:top w:w="28" w:type="dxa"/>
          <w:left w:w="28" w:type="dxa"/>
          <w:bottom w:w="28" w:type="dxa"/>
          <w:right w:w="28" w:type="dxa"/>
        </w:tblCellMar>
      </w:tblPr>
      <w:tblGrid>
        <w:gridCol w:w="1163"/>
        <w:gridCol w:w="1020"/>
        <w:gridCol w:w="1026"/>
        <w:gridCol w:w="211"/>
        <w:gridCol w:w="616"/>
        <w:gridCol w:w="109"/>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Nonqualified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securities AFS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 of fixed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trailing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cash flow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securities AFS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income tax expense recorded differs from the expected income tax expense and the reconciliation of these differences is as follows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tbl>
      <w:tblPr>
        <w:tblW w:w="8301" w:type="dxa"/>
        <w:jc w:val="left"/>
        <w:tblInd w:w="0" w:type="dxa"/>
        <w:tblLayout w:type="fixed"/>
        <w:tblCellMar>
          <w:top w:w="28" w:type="dxa"/>
          <w:left w:w="28" w:type="dxa"/>
          <w:bottom w:w="28" w:type="dxa"/>
          <w:right w:w="28" w:type="dxa"/>
        </w:tblCellMar>
      </w:tblPr>
      <w:tblGrid>
        <w:gridCol w:w="1390"/>
        <w:gridCol w:w="1222"/>
        <w:gridCol w:w="1227"/>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at the 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43840"/>
                <wp:effectExtent l="0" t="0" r="0" b="0"/>
                <wp:wrapNone/>
                <wp:docPr id="117" name="Frame11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Income taxes paid, net of refunds </w:t>
      </w:r>
      <w:r>
        <w:rPr>
          <w:rFonts w:ascii="Times New Roman;serif" w:hAnsi="Times New Roman;serif"/>
          <w:b w:val="false"/>
          <w:color w:val="000000"/>
          <w:sz w:val="20"/>
        </w:rPr>
        <w:t>were as follows:</w:t>
      </w:r>
    </w:p>
    <w:tbl>
      <w:tblPr>
        <w:tblW w:w="9670" w:type="dxa"/>
        <w:jc w:val="left"/>
        <w:tblInd w:w="0" w:type="dxa"/>
        <w:tblLayout w:type="fixed"/>
        <w:tblCellMar>
          <w:top w:w="28" w:type="dxa"/>
          <w:left w:w="28" w:type="dxa"/>
          <w:bottom w:w="28" w:type="dxa"/>
          <w:right w:w="28" w:type="dxa"/>
        </w:tblCellMar>
      </w:tblPr>
      <w:tblGrid>
        <w:gridCol w:w="2077"/>
        <w:gridCol w:w="1824"/>
        <w:gridCol w:w="1835"/>
        <w:gridCol w:w="370"/>
        <w:gridCol w:w="1080"/>
        <w:gridCol w:w="191"/>
        <w:gridCol w:w="191"/>
        <w:gridCol w:w="191"/>
        <w:gridCol w:w="191"/>
        <w:gridCol w:w="370"/>
        <w:gridCol w:w="1080"/>
        <w:gridCol w:w="270"/>
      </w:tblGrid>
      <w:tr>
        <w:trPr/>
        <w:tc>
          <w:tcPr>
            <w:tcW w:w="20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and local taxes:</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70"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*The amount of income taxes paid during the years ended December 31, 2025 and 2024 does not meet the 5% disaggregation threshold.</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Realization of deferred tax assets is based on the Company's ability to generate sufficient future taxable income of the appropriate character. Management has reviewed all the available evidence, both positive and negative, and determined that a valuation allowance is not necessary as of December 31, 2025.</w:t>
      </w:r>
    </w:p>
    <w:p>
      <w:pPr>
        <w:pStyle w:val="TextBody"/>
        <w:bidi w:val="0"/>
        <w:spacing w:lineRule="auto" w:line="288" w:before="200" w:after="283"/>
        <w:jc w:val="left"/>
        <w:rPr/>
      </w:pPr>
      <w:r>
        <w:rPr>
          <w:rFonts w:ascii="Times New Roman;serif" w:hAnsi="Times New Roman;serif"/>
          <w:b w:val="false"/>
          <w:color w:val="000000"/>
          <w:sz w:val="20"/>
        </w:rPr>
        <w:t>At December 31, 2025 and 2024, the Compa</w:t>
      </w:r>
      <w:r>
        <w:rPr>
          <w:rFonts w:ascii="Times New Roman;serif" w:hAnsi="Times New Roman;serif"/>
          <w:b w:val="false"/>
          <w:color w:val="000000"/>
          <w:sz w:val="20"/>
          <w:shd w:fill="FFFFFF" w:val="clear"/>
        </w:rPr>
        <w:t>ny had no material unrecognized tax benefits or accrued interest and penalties recorded.</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and its subsidiaries are subject to income tax within U.S. federal and various state jurisdictions. The Company remains subject to examination for income tax returns in all federal and state jurisdictions for the years ending on or after December 31, </w:t>
      </w:r>
      <w:r>
        <w:rPr>
          <w:rFonts w:ascii="Times New Roman;serif" w:hAnsi="Times New Roman;serif"/>
          <w:b w:val="false"/>
          <w:color w:val="000000"/>
          <w:sz w:val="20"/>
        </w:rPr>
        <w:t>2022</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Derivatives and Hedging Activities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Management Objective of Using Derivatives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estimates that an additional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will be reclassified as an increase to interest expense.</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43840"/>
                <wp:effectExtent l="0" t="0" r="0" b="0"/>
                <wp:wrapNone/>
                <wp:docPr id="118" name="Frame11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Derivative Instruments on the Consolidated Balance Sheets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notional amount, location, and fair value of the Company’s derivative financial instruments on the Consolidated Balance Sheets as of the periods indicated:</w:t>
      </w:r>
    </w:p>
    <w:tbl>
      <w:tblPr>
        <w:tblW w:w="9457" w:type="dxa"/>
        <w:jc w:val="left"/>
        <w:tblInd w:w="0" w:type="dxa"/>
        <w:tblLayout w:type="fixed"/>
        <w:tblCellMar>
          <w:top w:w="28" w:type="dxa"/>
          <w:left w:w="28" w:type="dxa"/>
          <w:bottom w:w="28" w:type="dxa"/>
          <w:right w:w="28" w:type="dxa"/>
        </w:tblCellMar>
      </w:tblPr>
      <w:tblGrid>
        <w:gridCol w:w="1478"/>
        <w:gridCol w:w="1299"/>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7" w:type="dxa"/>
        <w:jc w:val="left"/>
        <w:tblInd w:w="0" w:type="dxa"/>
        <w:tblLayout w:type="fixed"/>
        <w:tblCellMar>
          <w:top w:w="28" w:type="dxa"/>
          <w:left w:w="28" w:type="dxa"/>
          <w:bottom w:w="28" w:type="dxa"/>
          <w:right w:w="28" w:type="dxa"/>
        </w:tblCellMar>
      </w:tblPr>
      <w:tblGrid>
        <w:gridCol w:w="1479"/>
        <w:gridCol w:w="1298"/>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Accumulated Other Comprehensive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pre-tax effect of cash flow hedge accounting on accumulated other comprehensive income for the periods indicated:</w:t>
      </w:r>
    </w:p>
    <w:tbl>
      <w:tblPr>
        <w:tblW w:w="10205" w:type="dxa"/>
        <w:jc w:val="left"/>
        <w:tblInd w:w="0" w:type="dxa"/>
        <w:tblLayout w:type="fixed"/>
        <w:tblCellMar>
          <w:top w:w="28" w:type="dxa"/>
          <w:left w:w="28" w:type="dxa"/>
          <w:bottom w:w="28" w:type="dxa"/>
          <w:right w:w="28" w:type="dxa"/>
        </w:tblCellMar>
      </w:tblPr>
      <w:tblGrid>
        <w:gridCol w:w="812"/>
        <w:gridCol w:w="696"/>
        <w:gridCol w:w="608"/>
        <w:gridCol w:w="109"/>
        <w:gridCol w:w="109"/>
        <w:gridCol w:w="109"/>
        <w:gridCol w:w="498"/>
        <w:gridCol w:w="1160"/>
        <w:gridCol w:w="251"/>
        <w:gridCol w:w="119"/>
        <w:gridCol w:w="119"/>
        <w:gridCol w:w="119"/>
        <w:gridCol w:w="119"/>
        <w:gridCol w:w="809"/>
        <w:gridCol w:w="809"/>
        <w:gridCol w:w="811"/>
        <w:gridCol w:w="119"/>
        <w:gridCol w:w="119"/>
        <w:gridCol w:w="119"/>
        <w:gridCol w:w="654"/>
        <w:gridCol w:w="1407"/>
        <w:gridCol w:w="369"/>
        <w:gridCol w:w="161"/>
      </w:tblGrid>
      <w:tr>
        <w:trPr/>
        <w:tc>
          <w:tcPr>
            <w:tcW w:w="81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2"/>
        <w:gridCol w:w="696"/>
        <w:gridCol w:w="608"/>
        <w:gridCol w:w="109"/>
        <w:gridCol w:w="109"/>
        <w:gridCol w:w="109"/>
        <w:gridCol w:w="544"/>
        <w:gridCol w:w="1110"/>
        <w:gridCol w:w="254"/>
        <w:gridCol w:w="119"/>
        <w:gridCol w:w="119"/>
        <w:gridCol w:w="119"/>
        <w:gridCol w:w="119"/>
        <w:gridCol w:w="809"/>
        <w:gridCol w:w="809"/>
        <w:gridCol w:w="811"/>
        <w:gridCol w:w="119"/>
        <w:gridCol w:w="119"/>
        <w:gridCol w:w="119"/>
        <w:gridCol w:w="653"/>
        <w:gridCol w:w="1406"/>
        <w:gridCol w:w="368"/>
        <w:gridCol w:w="165"/>
      </w:tblGrid>
      <w:tr>
        <w:trPr/>
        <w:tc>
          <w:tcPr>
            <w:tcW w:w="81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Year Ended December 31, 2024</w:t>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43840"/>
                <wp:effectExtent l="0" t="0" r="0" b="0"/>
                <wp:wrapNone/>
                <wp:docPr id="119" name="Frame11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the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effect of the Company’s derivative financial instruments on the Consolidated Statements of Income for the periods indicated:</w:t>
      </w:r>
    </w:p>
    <w:tbl>
      <w:tblPr>
        <w:tblW w:w="10205" w:type="dxa"/>
        <w:jc w:val="left"/>
        <w:tblInd w:w="0" w:type="dxa"/>
        <w:tblLayout w:type="fixed"/>
        <w:tblCellMar>
          <w:top w:w="28" w:type="dxa"/>
          <w:left w:w="28" w:type="dxa"/>
          <w:bottom w:w="28" w:type="dxa"/>
          <w:right w:w="28" w:type="dxa"/>
        </w:tblCellMar>
      </w:tblPr>
      <w:tblGrid>
        <w:gridCol w:w="1394"/>
        <w:gridCol w:w="1197"/>
        <w:gridCol w:w="1202"/>
        <w:gridCol w:w="109"/>
        <w:gridCol w:w="109"/>
        <w:gridCol w:w="109"/>
        <w:gridCol w:w="770"/>
        <w:gridCol w:w="1654"/>
        <w:gridCol w:w="429"/>
        <w:gridCol w:w="109"/>
        <w:gridCol w:w="109"/>
        <w:gridCol w:w="109"/>
        <w:gridCol w:w="736"/>
        <w:gridCol w:w="1582"/>
        <w:gridCol w:w="587"/>
      </w:tblGrid>
      <w:tr>
        <w:trPr/>
        <w:tc>
          <w:tcPr>
            <w:tcW w:w="13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Recognized in Income on Cash Flow Hedging Relationships</w:t>
            </w:r>
          </w:p>
        </w:tc>
      </w:tr>
      <w:tr>
        <w:trPr/>
        <w:tc>
          <w:tcPr>
            <w:tcW w:w="3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 of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consolidated statements of income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Offsetting Derivative Assets and Liabilities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a gross presentation, the effects of offsetting, and a net presentation of the Company’s derivatives as of the periods indicated. The net amounts of derivative assets and liabilities can be reconciled to the tabular disclosure of fair value. The tabular disclosure of fair value provides the location that derivative assets and liabilities are presented on the consolidated balance sheets.</w:t>
      </w:r>
    </w:p>
    <w:tbl>
      <w:tblPr>
        <w:tblW w:w="10205" w:type="dxa"/>
        <w:jc w:val="left"/>
        <w:tblInd w:w="0" w:type="dxa"/>
        <w:tblLayout w:type="fixed"/>
        <w:tblCellMar>
          <w:top w:w="28" w:type="dxa"/>
          <w:left w:w="28" w:type="dxa"/>
          <w:bottom w:w="28" w:type="dxa"/>
          <w:right w:w="28" w:type="dxa"/>
        </w:tblCellMar>
      </w:tblPr>
      <w:tblGrid>
        <w:gridCol w:w="459"/>
        <w:gridCol w:w="403"/>
        <w:gridCol w:w="404"/>
        <w:gridCol w:w="342"/>
        <w:gridCol w:w="736"/>
        <w:gridCol w:w="192"/>
        <w:gridCol w:w="109"/>
        <w:gridCol w:w="109"/>
        <w:gridCol w:w="109"/>
        <w:gridCol w:w="383"/>
        <w:gridCol w:w="794"/>
        <w:gridCol w:w="215"/>
        <w:gridCol w:w="109"/>
        <w:gridCol w:w="109"/>
        <w:gridCol w:w="109"/>
        <w:gridCol w:w="414"/>
        <w:gridCol w:w="890"/>
        <w:gridCol w:w="232"/>
        <w:gridCol w:w="117"/>
        <w:gridCol w:w="117"/>
        <w:gridCol w:w="117"/>
        <w:gridCol w:w="339"/>
        <w:gridCol w:w="694"/>
        <w:gridCol w:w="131"/>
        <w:gridCol w:w="117"/>
        <w:gridCol w:w="117"/>
        <w:gridCol w:w="117"/>
        <w:gridCol w:w="344"/>
        <w:gridCol w:w="521"/>
        <w:gridCol w:w="133"/>
        <w:gridCol w:w="117"/>
        <w:gridCol w:w="117"/>
        <w:gridCol w:w="117"/>
        <w:gridCol w:w="233"/>
        <w:gridCol w:w="454"/>
        <w:gridCol w:w="185"/>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Liabilities presented in the Statement of Financial Position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Cash Collateral Pledged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0"/>
        <w:gridCol w:w="404"/>
        <w:gridCol w:w="405"/>
        <w:gridCol w:w="335"/>
        <w:gridCol w:w="721"/>
        <w:gridCol w:w="188"/>
        <w:gridCol w:w="109"/>
        <w:gridCol w:w="109"/>
        <w:gridCol w:w="109"/>
        <w:gridCol w:w="388"/>
        <w:gridCol w:w="803"/>
        <w:gridCol w:w="217"/>
        <w:gridCol w:w="109"/>
        <w:gridCol w:w="109"/>
        <w:gridCol w:w="109"/>
        <w:gridCol w:w="410"/>
        <w:gridCol w:w="881"/>
        <w:gridCol w:w="230"/>
        <w:gridCol w:w="117"/>
        <w:gridCol w:w="117"/>
        <w:gridCol w:w="117"/>
        <w:gridCol w:w="340"/>
        <w:gridCol w:w="695"/>
        <w:gridCol w:w="131"/>
        <w:gridCol w:w="117"/>
        <w:gridCol w:w="117"/>
        <w:gridCol w:w="117"/>
        <w:gridCol w:w="347"/>
        <w:gridCol w:w="530"/>
        <w:gridCol w:w="136"/>
        <w:gridCol w:w="117"/>
        <w:gridCol w:w="117"/>
        <w:gridCol w:w="117"/>
        <w:gridCol w:w="233"/>
        <w:gridCol w:w="455"/>
        <w:gridCol w:w="18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Assets presented in the Statement of Financial Position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Received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 Related Party Transactions</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may grant loans to certain executive officers and directors and the companies with which they are associated. The Company had no and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loans outstanding to related parties as of December 31, 2025 and December 31, 2024. Total deposits from certain executive officers and directors and the companies with which they are associated were $1.2 million and $2.1 million as of December 31, 2025 and December 31,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BFG is a small business loan broker, primarily under the SBA’s 7(a) loan program. As noted in Note 6 - Investment in Business Funding Group, LLC, the Company has a 20% ownership in the outstanding membership units of BFG, as of December 31, 2025. The Company underwrites loans sourced by BFG in its normal course of business. If approved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43840"/>
                <wp:effectExtent l="0" t="0" r="0" b="0"/>
                <wp:wrapNone/>
                <wp:docPr id="120" name="Frame12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funded, the Company pays BFG a commission fee based on the amount funded. There is no guarantee or commitment made by the Company to BFG to approve or fund loans referred by BFG. The Company is able to use its sole discretion in deciding to approve and fund loans referred by BFG.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related party transactions with BFG for the periods indicated:</w:t>
      </w:r>
    </w:p>
    <w:tbl>
      <w:tblPr>
        <w:tblW w:w="5379"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7(a) loans sourced from BFG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fees paid to BFG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Distributions received from BFG</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components used to derive basic and diluted EPS for the years ended December 31, 2025 and 2024 ($ in thousands, except per share amounts):</w:t>
      </w:r>
    </w:p>
    <w:tbl>
      <w:tblPr>
        <w:tblW w:w="9921" w:type="dxa"/>
        <w:jc w:val="left"/>
        <w:tblInd w:w="0" w:type="dxa"/>
        <w:tblLayout w:type="fixed"/>
        <w:tblCellMar>
          <w:top w:w="28" w:type="dxa"/>
          <w:left w:w="28" w:type="dxa"/>
          <w:bottom w:w="28" w:type="dxa"/>
          <w:right w:w="28" w:type="dxa"/>
        </w:tblCellMar>
      </w:tblPr>
      <w:tblGrid>
        <w:gridCol w:w="2583"/>
        <w:gridCol w:w="2272"/>
        <w:gridCol w:w="2285"/>
        <w:gridCol w:w="109"/>
        <w:gridCol w:w="109"/>
        <w:gridCol w:w="109"/>
        <w:gridCol w:w="211"/>
        <w:gridCol w:w="721"/>
        <w:gridCol w:w="109"/>
        <w:gridCol w:w="109"/>
        <w:gridCol w:w="109"/>
        <w:gridCol w:w="109"/>
        <w:gridCol w:w="211"/>
        <w:gridCol w:w="721"/>
        <w:gridCol w:w="154"/>
      </w:tblGrid>
      <w:tr>
        <w:trPr/>
        <w:tc>
          <w:tcPr>
            <w:tcW w:w="258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Amounts allocated to participating common shareholders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12,612,455</w:t>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491,036</w:t>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125,378</w:t>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13,565,336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13,228,869</w:t>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excluded from the calculation of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77,723</w:t>
            </w:r>
          </w:p>
        </w:tc>
      </w:tr>
    </w:tbl>
    <w:p>
      <w:pPr>
        <w:pStyle w:val="TextBody"/>
        <w:bidi w:val="0"/>
        <w:spacing w:lineRule="auto" w:line="288" w:before="120" w:after="283"/>
        <w:ind w:left="0" w:right="0" w:hanging="27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earnings attributable to holders of unvested restricted stock issued to the Company’s directors and employees. On December 31, 2025, executive management elected to waive the dividend rights on their unvested restricted stock awards. As a result, beginning on December 31, 2025, the unvested shares related to executive management will no longer be treated as participating securities and are excluded from the two-class method calculation of EPS. This change was effective beginning with the quarter ending December 31, 2025 and had a de minimus impact on basic and diluted earnings per share. The change does not affect previously reported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43840"/>
                <wp:effectExtent l="0" t="0" r="0" b="0"/>
                <wp:wrapNone/>
                <wp:docPr id="121" name="Frame12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16 – Accumulated Other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changes to accumulated other comprehensive income by component for the periods indicated (in thousands):</w:t>
      </w:r>
    </w:p>
    <w:tbl>
      <w:tblPr>
        <w:tblW w:w="10205" w:type="dxa"/>
        <w:jc w:val="left"/>
        <w:tblInd w:w="0" w:type="dxa"/>
        <w:tblLayout w:type="fixed"/>
        <w:tblCellMar>
          <w:top w:w="28" w:type="dxa"/>
          <w:left w:w="28" w:type="dxa"/>
          <w:bottom w:w="28" w:type="dxa"/>
          <w:right w:w="28" w:type="dxa"/>
        </w:tblCellMar>
      </w:tblPr>
      <w:tblGrid>
        <w:gridCol w:w="1697"/>
        <w:gridCol w:w="1378"/>
        <w:gridCol w:w="1383"/>
        <w:gridCol w:w="646"/>
        <w:gridCol w:w="1244"/>
        <w:gridCol w:w="335"/>
        <w:gridCol w:w="109"/>
        <w:gridCol w:w="109"/>
        <w:gridCol w:w="109"/>
        <w:gridCol w:w="360"/>
        <w:gridCol w:w="796"/>
        <w:gridCol w:w="185"/>
        <w:gridCol w:w="109"/>
        <w:gridCol w:w="109"/>
        <w:gridCol w:w="109"/>
        <w:gridCol w:w="385"/>
        <w:gridCol w:w="853"/>
        <w:gridCol w:w="289"/>
      </w:tblGrid>
      <w:tr>
        <w:trPr/>
        <w:tc>
          <w:tcPr>
            <w:tcW w:w="169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6"/>
        <w:gridCol w:w="1376"/>
        <w:gridCol w:w="1381"/>
        <w:gridCol w:w="597"/>
        <w:gridCol w:w="1319"/>
        <w:gridCol w:w="310"/>
        <w:gridCol w:w="109"/>
        <w:gridCol w:w="109"/>
        <w:gridCol w:w="109"/>
        <w:gridCol w:w="335"/>
        <w:gridCol w:w="839"/>
        <w:gridCol w:w="173"/>
        <w:gridCol w:w="109"/>
        <w:gridCol w:w="109"/>
        <w:gridCol w:w="109"/>
        <w:gridCol w:w="385"/>
        <w:gridCol w:w="853"/>
        <w:gridCol w:w="287"/>
      </w:tblGrid>
      <w:tr>
        <w:trPr/>
        <w:tc>
          <w:tcPr>
            <w:tcW w:w="169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the Company experienced significant growth in size and complexity, management reassessed its approach to analyzing revenues, financial performance, and business activities. To align with the internal financial reporting with the organizational structure and how the CODM manages the business, evaluates performance, and allocates resources, the Company completed a technology project to capture financial information by segment. The CODM currently reviews the revenues and financial results for three operating and reportable segments: traditional banking, banking as a service (“BaaS”), and treasury and administration. Considering management’s needs due to the increased volume and complexity of its business, management implemented new processes and utilized system capabilities to capture accounting information by cost centers. The cost centers are subsequently mapped to the established business segments and reports reflecting the new structure and processes were finalized and provided to the CODM during the third quarter of 2025. Due to the fact that financial data was not previously recorded by cost center, it is not practicable to present segment financial information for comparative prior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traditional banking segment provides loan and deposit products and services to consumers and businesses nationally and in and around the Salt Lake City, Utah MSA. The Company’s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applicable to our segments are consistent with those applied to the preparation of the accompanying consolidated financial statements. Intersegment interest and expense transactions are recorded at the Company’s cost; there is no intercompany profit or loss on intersegment transactions. The Company has implemented a transfer pricing process that credits or charges the traditional banking and BaaS segments with intrabank interest income or expense, with the treasury and administration segment as the offset for those entries.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evaluates performance and allocates resources for each of the Company’s reportable segments based on segment income or loss before other allocated operating expenses and net income. The CODM uses income or loss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43840"/>
                <wp:effectExtent l="0" t="0" r="0" b="0"/>
                <wp:wrapNone/>
                <wp:docPr id="122" name="Frame12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allocated operating expenses to allocate resources for each segment predominantly in the annual budget and forecasting process. The CODM considers budget-to-actual variances on a monthly basis using the income before other allocated operating expenses when making decisions about allocating capital and personnel to the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and its president.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 provides segment information for the periods indicated ($ in thousands):</w:t>
      </w:r>
    </w:p>
    <w:tbl>
      <w:tblPr>
        <w:tblW w:w="10205" w:type="dxa"/>
        <w:jc w:val="left"/>
        <w:tblInd w:w="0" w:type="dxa"/>
        <w:tblLayout w:type="fixed"/>
        <w:tblCellMar>
          <w:top w:w="28" w:type="dxa"/>
          <w:left w:w="28" w:type="dxa"/>
          <w:bottom w:w="28" w:type="dxa"/>
          <w:right w:w="28" w:type="dxa"/>
        </w:tblCellMar>
      </w:tblPr>
      <w:tblGrid>
        <w:gridCol w:w="1005"/>
        <w:gridCol w:w="607"/>
        <w:gridCol w:w="575"/>
        <w:gridCol w:w="249"/>
        <w:gridCol w:w="977"/>
        <w:gridCol w:w="129"/>
        <w:gridCol w:w="109"/>
        <w:gridCol w:w="109"/>
        <w:gridCol w:w="109"/>
        <w:gridCol w:w="211"/>
        <w:gridCol w:w="826"/>
        <w:gridCol w:w="109"/>
        <w:gridCol w:w="109"/>
        <w:gridCol w:w="109"/>
        <w:gridCol w:w="109"/>
        <w:gridCol w:w="227"/>
        <w:gridCol w:w="891"/>
        <w:gridCol w:w="117"/>
        <w:gridCol w:w="109"/>
        <w:gridCol w:w="109"/>
        <w:gridCol w:w="109"/>
        <w:gridCol w:w="322"/>
        <w:gridCol w:w="1129"/>
        <w:gridCol w:w="169"/>
        <w:gridCol w:w="109"/>
        <w:gridCol w:w="109"/>
        <w:gridCol w:w="109"/>
        <w:gridCol w:w="211"/>
        <w:gridCol w:w="826"/>
        <w:gridCol w:w="317"/>
      </w:tblGrid>
      <w:tr>
        <w:trPr/>
        <w:tc>
          <w:tcPr>
            <w:tcW w:w="10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 and for the Year Ended December 31, 2025</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other operating expense allocations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59,359 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allocations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439,518 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259,155 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977,135 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43840"/>
                <wp:effectExtent l="0" t="0" r="0" b="0"/>
                <wp:wrapNone/>
                <wp:docPr id="123" name="Frame12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Condensed Financial Statements of Parent Company</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Financial information pertaining only to FinWise Bancorp, on a parent company-only basis, is as follows as of and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Balance Sheets</w:t>
      </w:r>
    </w:p>
    <w:tbl>
      <w:tblPr>
        <w:tblW w:w="6248" w:type="dxa"/>
        <w:jc w:val="left"/>
        <w:tblInd w:w="0" w:type="dxa"/>
        <w:tblLayout w:type="fixed"/>
        <w:tblCellMar>
          <w:top w:w="28" w:type="dxa"/>
          <w:left w:w="28" w:type="dxa"/>
          <w:bottom w:w="28" w:type="dxa"/>
          <w:right w:w="28" w:type="dxa"/>
        </w:tblCellMar>
      </w:tblPr>
      <w:tblGrid>
        <w:gridCol w:w="1287"/>
        <w:gridCol w:w="1131"/>
        <w:gridCol w:w="1136"/>
        <w:gridCol w:w="211"/>
        <w:gridCol w:w="841"/>
        <w:gridCol w:w="109"/>
        <w:gridCol w:w="109"/>
        <w:gridCol w:w="109"/>
        <w:gridCol w:w="109"/>
        <w:gridCol w:w="211"/>
        <w:gridCol w:w="84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FinWise Bank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 at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FinWise Investment, LLC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194,287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174,134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194,287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174,134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Statements of Income</w:t>
      </w:r>
    </w:p>
    <w:tbl>
      <w:tblPr>
        <w:tblW w:w="6338" w:type="dxa"/>
        <w:jc w:val="left"/>
        <w:tblInd w:w="0" w:type="dxa"/>
        <w:tblLayout w:type="fixed"/>
        <w:tblCellMar>
          <w:top w:w="28" w:type="dxa"/>
          <w:left w:w="28" w:type="dxa"/>
          <w:bottom w:w="28" w:type="dxa"/>
          <w:right w:w="28" w:type="dxa"/>
        </w:tblCellMar>
      </w:tblPr>
      <w:tblGrid>
        <w:gridCol w:w="1396"/>
        <w:gridCol w:w="1226"/>
        <w:gridCol w:w="1232"/>
        <w:gridCol w:w="211"/>
        <w:gridCol w:w="736"/>
        <w:gridCol w:w="109"/>
        <w:gridCol w:w="109"/>
        <w:gridCol w:w="109"/>
        <w:gridCol w:w="109"/>
        <w:gridCol w:w="211"/>
        <w:gridCol w:w="73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earnings of subsidiary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12,742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43840"/>
                <wp:effectExtent l="0" t="0" r="0" b="0"/>
                <wp:wrapNone/>
                <wp:docPr id="124" name="Frame12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Statements of Cash Flows</w:t>
      </w:r>
    </w:p>
    <w:tbl>
      <w:tblPr>
        <w:tblW w:w="8768" w:type="dxa"/>
        <w:jc w:val="left"/>
        <w:tblInd w:w="0" w:type="dxa"/>
        <w:tblLayout w:type="fixed"/>
        <w:tblCellMar>
          <w:top w:w="28" w:type="dxa"/>
          <w:left w:w="28" w:type="dxa"/>
          <w:bottom w:w="28" w:type="dxa"/>
          <w:right w:w="28" w:type="dxa"/>
        </w:tblCellMar>
      </w:tblPr>
      <w:tblGrid>
        <w:gridCol w:w="2286"/>
        <w:gridCol w:w="2009"/>
        <w:gridCol w:w="2019"/>
        <w:gridCol w:w="211"/>
        <w:gridCol w:w="721"/>
        <w:gridCol w:w="109"/>
        <w:gridCol w:w="109"/>
        <w:gridCol w:w="109"/>
        <w:gridCol w:w="109"/>
        <w:gridCol w:w="211"/>
        <w:gridCol w:w="721"/>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6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net income of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other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43840"/>
                <wp:effectExtent l="0" t="0" r="0" b="0"/>
                <wp:wrapNone/>
                <wp:docPr id="125" name="Frame12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125</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ind w:left="0" w:right="0" w:hanging="27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Report of Management’s Assessment of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Rules 13a-15(f) and 15d-15(f). Our management conducted an assessment of the effectiveness of our internal control over financial reporting. This assessment was based upon the criteria for effective internal control over financial reporting established in the 2013 Internal Control - Integrated Framework, issued by the Committee of Sponsoring Organizations of the Treadway Commission.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internal control over financial reporting involves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controls themselves, as well as monitoring of the controls and internal auditing practices and actions to correct deficiencies identified. Because of its inherent limitations, internal control over financial reporting may not prevent or detect all misstatements.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assessed the effectiveness of the Company’s internal control over financial reporting as of December 31, 2025. Based on this assessment, management concluded that, as of December 31, 2025, the Company’s internal control over financial reporting was effective.</w:t>
      </w:r>
    </w:p>
    <w:p>
      <w:pPr>
        <w:pStyle w:val="TextBody"/>
        <w:bidi w:val="0"/>
        <w:spacing w:lineRule="auto" w:line="288" w:before="200" w:after="283"/>
        <w:ind w:left="0" w:right="0" w:hanging="270"/>
        <w:jc w:val="left"/>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identified in connection with the evaluation required by paragraph (d) of Exchange Act Rules 13a-15 or 15d-15 that occurred during the quarter ended December 31, 2025 that have materially affected, or were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None of our directors or officers have adopted, modified, or terminated a Rule 10b5-1(c) trading arrangement or a non-Rule 10b5-1 trading arrangement during the fiscal quarter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00" w:after="283"/>
        <w:jc w:val="left"/>
        <w:rPr/>
      </w:pPr>
      <w:r>
        <w:rPr>
          <w:rFonts w:ascii="Times New Roman;serif" w:hAnsi="Times New Roman;serif"/>
          <w:b w:val="false"/>
          <w:color w:val="000000"/>
          <w:sz w:val="20"/>
          <w:shd w:fill="FFFFFF" w:val="clear"/>
        </w:rPr>
        <w:t>The information required by Items 401, 405, 406 and 407 (c)(3); (d)(4), (d)</w:t>
      </w:r>
      <w:r>
        <w:rPr>
          <w:rFonts w:ascii="Times New Roman;serif" w:hAnsi="Times New Roman;serif"/>
          <w:b w:val="false"/>
          <w:color w:val="000000"/>
          <w:sz w:val="20"/>
        </w:rPr>
        <w:t>(5), and 408(b) o</w:t>
      </w:r>
      <w:r>
        <w:rPr>
          <w:rFonts w:ascii="Times New Roman;serif" w:hAnsi="Times New Roman;serif"/>
          <w:b w:val="false"/>
          <w:color w:val="000000"/>
          <w:sz w:val="20"/>
          <w:shd w:fill="FFFFFF" w:val="clear"/>
        </w:rPr>
        <w:t xml:space="preserve">f Regulation S-K is incorporated into this Form 10-K by reference to the Company’s definitive proxy statement for its 2025 Annual Meeting of Shareholders (the “Definitive Proxy Statement”) to be filed within 120 days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43840"/>
                <wp:effectExtent l="0" t="0" r="0" b="0"/>
                <wp:wrapNone/>
                <wp:docPr id="126" name="Frame12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126</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This insider trading policy is filed as Exhibit 19.1 to this Form 10-K. The definitive proxy statement will contain additional information relating to the Company’s Inside Information, Market Communications and Securities Trading Policy and Procedures,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information required by Item 402 of Regulation S-K is incorporated into this Form 10-K by reference to the Definitive Proxy Statement to be filed within 120 days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information required by Item 201(d) and Item 403 of Regulation S-K is incorporated into this Form 10-K by reference to the Definitive Proxy Statement, to be filed within 120 days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information as of December 31, 2025, with respect to the shares of our common stock that may be issued under our equity incentive plans approved or not approved by our shareholders, including individual compensation arrangements:</w:t>
      </w:r>
    </w:p>
    <w:tbl>
      <w:tblPr>
        <w:tblW w:w="10205" w:type="dxa"/>
        <w:jc w:val="left"/>
        <w:tblInd w:w="0" w:type="dxa"/>
        <w:tblLayout w:type="fixed"/>
        <w:tblCellMar>
          <w:top w:w="28" w:type="dxa"/>
          <w:left w:w="28" w:type="dxa"/>
          <w:bottom w:w="28" w:type="dxa"/>
          <w:right w:w="28" w:type="dxa"/>
        </w:tblCellMar>
      </w:tblPr>
      <w:tblGrid>
        <w:gridCol w:w="1191"/>
        <w:gridCol w:w="1044"/>
        <w:gridCol w:w="1007"/>
        <w:gridCol w:w="109"/>
        <w:gridCol w:w="109"/>
        <w:gridCol w:w="109"/>
        <w:gridCol w:w="589"/>
        <w:gridCol w:w="589"/>
        <w:gridCol w:w="591"/>
        <w:gridCol w:w="109"/>
        <w:gridCol w:w="109"/>
        <w:gridCol w:w="109"/>
        <w:gridCol w:w="538"/>
        <w:gridCol w:w="1304"/>
        <w:gridCol w:w="280"/>
        <w:gridCol w:w="109"/>
        <w:gridCol w:w="109"/>
        <w:gridCol w:w="109"/>
        <w:gridCol w:w="610"/>
        <w:gridCol w:w="610"/>
        <w:gridCol w:w="871"/>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Securities to be</w:t>
              <w:br/>
              <w:t>Issued Upon Exercise of</w:t>
              <w:br/>
              <w:t>Outstanding Options</w:t>
              <w:b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Exercise</w:t>
              <w:br/>
              <w:t>Price of Outstanding Options</w:t>
              <w:b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Securities</w:t>
              <w:br/>
              <w:t>Remaining Available for</w:t>
              <w:br/>
              <w:t>Future Issuance under Equity</w:t>
              <w:br/>
              <w:t>Compensation Plans (excluding</w:t>
              <w:br/>
              <w:t>securities reflected in the first</w:t>
              <w:br/>
              <w:t>column)</w:t>
            </w:r>
          </w:p>
        </w:tc>
      </w:tr>
      <w:tr>
        <w:trPr/>
        <w:tc>
          <w:tcPr>
            <w:tcW w:w="3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 2016 Stock Option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 2019 Stock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122,617</w:t>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Equity compensation plans not approved by security holders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124,806</w:t>
            </w:r>
          </w:p>
        </w:tc>
      </w:tr>
    </w:tbl>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(1)Includes (a) a grant to Kent Landvatter of an aggregate 40,914 non-qualified stock options, (b) a grant to James Noone of 60,000 non-qualified stock options, (c) grants to Howard Reynolds of an aggregate of 18,000 non-qualified stock options, (d) grants to Gerald E. Cunningham of an aggregate of 18,000 non-qualified stock options, (e) grants to Thomas E. Gibson of an aggregate of 9,000 non-qualified stock options, (f) grants to James N. Giordano of an aggregate of 18,000 non-qualified stock options, (g) grants to Jeana Hutchings of an aggregate of 9,000 non-qualified stock options and (h) grants to Lisa Ann Nievaard of an aggregate of 9,000 non-qualified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information required by Items 404 and 407(a) of Regulation S-K is incorporated into this Form 10-K by reference to the Definitive Proxy Statement to be filed within 120 days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information required by Item 9(e) of Schedule 14A is incorporated into this Form 10-K by reference to the Definitive Proxy Statement to be filed within 120 days following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43840"/>
                <wp:effectExtent l="0" t="0" r="0" b="0"/>
                <wp:wrapNone/>
                <wp:docPr id="127" name="Frame12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127</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00" w:after="283"/>
        <w:ind w:left="0" w:right="0" w:hanging="270"/>
        <w:jc w:val="left"/>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The following documents are filed as part of this Report:</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Financial Statements. See Part II, Item 8 of this Report.</w:t>
      </w:r>
    </w:p>
    <w:p>
      <w:pPr>
        <w:pStyle w:val="TextBody"/>
        <w:bidi w:val="0"/>
        <w:spacing w:lineRule="auto" w:line="288" w:before="20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Financial Statement Schedules. Financial statement schedules have been omitted in this Report because they are not applicable, not required under the instructions or the information requested is set forth in the financial statements or related notes thereto.</w:t>
      </w:r>
    </w:p>
    <w:p>
      <w:pPr>
        <w:pStyle w:val="TextBody"/>
        <w:bidi w:val="0"/>
        <w:spacing w:lineRule="auto" w:line="288" w:before="20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Exhibits. See Exhibit Index listed in Item 15(b) below for a list of those exhibits filed as part of this Report or incorporated by reference.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9"/>
        <w:gridCol w:w="2640"/>
        <w:gridCol w:w="37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(incorporated by reference to Exhibit 3.1 of the Registrant’s Current Report on Form 8-K filed with the Securities and Exchange Commission on April 22, 2025).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Specimen common stock certificate (incorporated by reference to Exhibit 4.1 of the Registrant's Annual Report on Form 10-K filed with the Securities and Exchange Commission on March 30, 2023).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Warrant to BFG Members to Purchase Common Stock of FinWise Bancorp (incorporated by reference to Exhibit 4.2 of the Registrant’s Registration Statement on Form S-1 filed with the Securities and Exchange Commission on July 15, 2021 (File No. 333-257929)).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Description of Securities Registered Under Section 12 of the Securities Exchange Act of 1934, as amended (incorporated by reference to Exhibit 4.3 of the Registrant's Annual Report on Form 10-K filed with the Securities and Exchange Commission on March 30, 2023).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FinWise Bancorp 2019 Stock Option Plan (incorporated by reference to Exhibit 10.1 of the Registrant’s Current Report on Form 8-K filed with the Securities and Exchange Commission on June 14, 2022).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Stock Option Agreement under the FinWise Bancorp 2019 Stock Option Plan (incorporated by reference to Exhibit 10.2 of the Registrant’s Registration Statement on Form S-1 filed with the Securities and Exchange Commission on July 15,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FinWise Bancorp 2016 Stock Option Plan (incorporated by reference to Exhibit 10.3 of the Registrant’s Registration Statement on Form S-1 filed with the Securities and Exchange Commission on July 30, 2021 (File No. 333-257929)).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Stock Option Agreement under the FinWise Bancorp 2016 Stock Option Plan (incorporated by reference to Exhibit 10.4 of the Registrant’s Registration Statement on Form S-1 filed with the Securities and Exchange Commission on July 15,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Non-qualified Stock Option Agreement with Javvis Jacobson (incorporated by reference to Exhibit 4.6 of the Registrant’s Registration Statement on Form S-8 filed with the Securities and Exchange Commission on February 4, 2022 (File No. 333-262531)).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Non-qualified Stock Option Agreement with Jim Noone (incorporated by reference to Exhibit 4.7 of the Registrant’s Registration Statement on Form S-8 filed with the Securities and Exchange Commission on February 4, 2022 (File No. 333-262531)).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Non-qualified Stock Option Agreement with Kent Landvatter (incorporated by reference to Exhibit 4.8 of the Registrant’s Registration Statement on Form S-8 filed with the Securities and Exchange Commission on February 4, 2022 (File No. 333-262531)).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Non-qualified Stock Option Agreement with Howard Reynolds for 2020 service (incorporated by reference to Exhibit 4.11 of the Registrant’s Registration Statement on Form S-8 filed with the Securities and Exchange Commission on February 4, 2022 (File No. 333-262531)).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8"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128</w:t>
                      </w:r>
                    </w:p>
                  </w:txbxContent>
                </v:textbox>
                <w10:wrap type="none"/>
              </v:rect>
            </w:pict>
          </mc:Fallback>
        </mc:AlternateContent>
      </w:r>
    </w:p>
    <w:p>
      <w:pPr>
        <w:pStyle w:val="TextBody"/>
        <w:bidi w:val="0"/>
        <w:spacing w:lineRule="auto" w:line="288" w:before="0" w:after="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6"/>
        <w:gridCol w:w="199"/>
        <w:gridCol w:w="109"/>
        <w:gridCol w:w="109"/>
        <w:gridCol w:w="109"/>
        <w:gridCol w:w="2711"/>
        <w:gridCol w:w="2711"/>
        <w:gridCol w:w="383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Non-qualified Stock Option Agreement with Howard Reynolds for 2021 service (incorporated by reference to Exhibit 4.12 of the Registrant’s Registration Statement on Form S-8 filed with the Securities and Exchange Commission on February 4, 2022 (File No. 333-262531)).</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Non-qualified Stock Option Agreement with Jerry Cunningham for 2020 service (incorporated by reference to Exhibit 4.13 of the Registrant’s Registration Statement on Form S-8 filed with the Securities and Exchange Commission on February 4, 2022 (File No. 333-262531)).</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Non-qualified Stock Option Agreement with Jerry Cunningham for 2021 service (incorporated by reference to Exhibit 4.14 of the Registrant’s Registration Statement on Form S-8 filed with the Securities and Exchange Commission on February 4, 2022 (File No. 333-262531)).</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Non-qualified Stock Option Agreement with Tom Gibson for 2020 service (incorporated by reference to Exhibit 4.15 of the Registrant’s Registration Statement on Form S-8 filed with the Securities and Exchange Commission on February 4, 2022 (File No. 333-262531)).</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Non-qualified Stock Option Agreement with Jim Giordano for 2020 service (incorporated by reference to Exhibit 4.17 of the Registrant’s Registration Statement on Form S-8 filed with the Securities and Exchange Commission on February 4, 2022 (File No. 333-262531)).</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Non-qualified Stock Option Agreement with Jim Giordano for 2021 service (incorporated by reference to Exhibit 4.18 of the Registrant’s Registration Statement on Form S-8 filed with the Securities and Exchange Commission on February 4, 2022 (File No. 333-262531)).</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Non-qualified Stock Option Agreement with Jeana Hutchings for 2020 service (incorporated by reference to Exhibit 4.19 of the Registrant’s Registration Statement on Form S-8 filed with the Securities and Exchange Commission on February 4, 2022 (File No. 333-262531)).</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Non-qualified Stock Option Agreement with Jeana Hutchings for 2021 service (incorporated by reference to Exhibit 4.20 of the Registrant’s Registration Statement on Form S-8 filed with the Securities and Exchange Commission on February 4, 2022 (File No. 333-262531)).</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Non-qualified Stock Option Agreement with Lisa Chapman for 2020 service (incorporated by reference to Exhibit 4.21 of the Registrant’s Registration Statement on Form S-8 filed with the Securities and Exchange Commission on February 4, 2022 (File No. 333-262531)).</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Non-qualified Stock Option Agreement with Lisa Chapman for 2021 service (incorporated by reference to Exhibit 4.22 of the Registrant’s Registration Statement on Form S-8 filed with the Securities and Exchange Commission on February 4, 2022 (File No. 333-262531)).</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Employee Restricted Stock Agreement under the FinWise Bancorp 2019 Stock Option Plan (incorporated by reference to Exhibit 10.23 of the Registrant's Annual Report on Form 10-K filed with the Securities and Exchange Commission on March 30, 2023).</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Employee Incentive Stock Option Agreement under the FinWise Bancorp 2019 Stock Option Plan (incorporated by reference to Exhibit 10.24 of the Registrant's Annual Report on Form 10-K filed with the Securities and Exchange Commission on March 30, 2023).</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Form of Employee Incentive Stock Option Agreement under the FinWise Bancorp 2016 Stock Option Plan and the FinWise Bancorp 2019 Stock Option Plan (incorporated by reference to Exhibit 10.25 of the Registrant's Annual Report on Form 10-K filed with the Securities and Exchange Commission on March 30, 2023).</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Standstill Agreement dated January 19, 2016, by and between FinWise Bancorp and Business Funding Group (incorporated by reference to Exhibit 10.7 of the Registrant’s Registration Statement on Form S-1 filed with the Securities and Exchange Commission on July 15, 2021 (File No. 333-257929)).</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Right of First Refusal and Option Agreement dated March 31, 2020, by and among FinWise Bancorp and the members of Business Funding Group (incorporated by reference to Exhibit 10.8 of the Registrant’s Registration Statement on Form S-1 filed with the Securities and Exchange Commission on July 15, 2021 (File No. 333-257929)).</w:t>
              </w:r>
            </w:hyperlink>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Membership Interest Purchase Agreement dated as of July 25, 2023, among Business Funding Group, LLC, certain of its members named therein and FinWise Bancorp (incorporated by reference to Exhibit 10.1 of the Registrant’s Current Report on Form 8-K filed with the Securities and Exchange Commission on July 27, 2023).</w:t>
              </w:r>
            </w:hyperlink>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Lease dated January 27, 1999, between FPA Sandy Mall Associates, LLC and FinWise Bancorp (incorporated by reference to Exhibit 10.11 of the Registrant’s Registration Statement on Form S-1 filed with the Securities and Exchange Commission on July 15, 2021 (File No. 333-257929)).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9"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129</w:t>
                      </w:r>
                    </w:p>
                  </w:txbxContent>
                </v:textbox>
                <w10:wrap type="none"/>
              </v:rect>
            </w:pict>
          </mc:Fallback>
        </mc:AlternateContent>
      </w:r>
    </w:p>
    <w:p>
      <w:pPr>
        <w:pStyle w:val="TextBody"/>
        <w:bidi w:val="0"/>
        <w:spacing w:lineRule="auto" w:line="288" w:before="0" w:after="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758"/>
        <w:gridCol w:w="2694"/>
        <w:gridCol w:w="3812"/>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First Amendment to Lease dated June 3, 2009, between FPA Sandy Mall Associates, LLC and FinWise Bancorp (incorporated by reference to Exhibit 10.12 of the Registrant’s Registration Statement on Form S-1 filed with the Securities and Exchange Commission on July 15,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Second Amendment to Lease dated April 25, 2014, between FPA Sandy Mall Associates, LLC and FinWise Bancorp (incorporated by reference to Exhibit 10.13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Lease dated July 30, 2021, between Mountain View Business Center, LLC and FinWise Bancorp (incorporated by reference to Exhibit 10.15 of the Registrant’s Registration Statement on Form S-1 filed with the Securities and Exchange Commission on August 4,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Amendment to Membership Interest Purchase Agreement, dated as of January 26, 2024, among Business Funding Group, LLC, certain of its members named therein and FinWise Bancorp (incorporated by reference to Exhibit 10.1 of the Registrant's Current Report on Form 8-K filed with the Securities and Exchange Commission on January 29, 2024).</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FinWise Bancorp 2019 Stock Option Plan, as amended and restated (incorporated by reference to Exhibit 10.1 of the Registrant's Current Report on Form 8-K filed with the Securities and Exchange Commission on July 3, 2024).</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Form of Employee Restricted Stock Agreement under the FinWise Bancorp 2019 Stock Option Plan (incorporated by reference to Exhibit 10.1 of the Registrant’s Quarterly Report on Form 10-Q filed with the Securities and Exchange Commission on November 12, 2024)</w:t>
              </w:r>
            </w:hyperlink>
            <w:r>
              <w:rPr>
                <w:rFonts w:ascii="Times New Roman;serif" w:hAnsi="Times New Roman;serif"/>
                <w:b w:val="false"/>
                <w:color w:val="000000"/>
                <w:sz w:val="20"/>
              </w:rPr>
              <w:t>.</w:t>
            </w:r>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Form of Director Restricted Stock Agreement under the FinWise Bancorp 2019 Stock Option Plan (incorporated by reference to Exhibit 10.2 of the Registrant’s Quarterly Report on Form 10-Q filed with the Securities and Exchange Commission on November 12, 2024)</w:t>
              </w:r>
            </w:hyperlink>
            <w:r>
              <w:rPr>
                <w:rFonts w:ascii="Times New Roman;serif" w:hAnsi="Times New Roman;serif"/>
                <w:b w:val="false"/>
                <w:color w:val="000000"/>
                <w:sz w:val="20"/>
              </w:rPr>
              <w:t>.</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80"/>
                  <w:sz w:val="20"/>
                  <w:u w:val="single"/>
                </w:rPr>
                <w:t>Third Amendment to Lease dated May 14, 2024, between FPA Sandy Mall Associates, LLC and FinWise Bank</w:t>
              </w:r>
            </w:hyperlink>
            <w:hyperlink r:id="rId40">
              <w:r>
                <w:rPr>
                  <w:rStyle w:val="InternetLink"/>
                  <w:rFonts w:ascii="Times New Roman;serif" w:hAnsi="Times New Roman;serif"/>
                  <w:b w:val="false"/>
                  <w:color w:val="000080"/>
                  <w:sz w:val="20"/>
                  <w:u w:val="single"/>
                </w:rPr>
                <w:t xml:space="preserve"> </w:t>
              </w:r>
            </w:hyperlink>
            <w:hyperlink r:id="rId41">
              <w:r>
                <w:rPr>
                  <w:rStyle w:val="InternetLink"/>
                  <w:rFonts w:ascii="Times New Roman;serif" w:hAnsi="Times New Roman;serif"/>
                  <w:b w:val="false"/>
                  <w:color w:val="000080"/>
                  <w:sz w:val="20"/>
                  <w:u w:val="single"/>
                </w:rPr>
                <w:t>(incorporated by reference to Exhibit 10.36 of the Re</w:t>
              </w:r>
            </w:hyperlink>
            <w:hyperlink r:id="rId42">
              <w:r>
                <w:rPr>
                  <w:rStyle w:val="InternetLink"/>
                  <w:rFonts w:ascii="Times New Roman;serif" w:hAnsi="Times New Roman;serif"/>
                  <w:b w:val="false"/>
                  <w:color w:val="000080"/>
                  <w:sz w:val="20"/>
                  <w:u w:val="single"/>
                </w:rPr>
                <w:t>gistrant</w:t>
              </w:r>
            </w:hyperlink>
            <w:hyperlink r:id="rId43">
              <w:r>
                <w:rPr>
                  <w:rStyle w:val="InternetLink"/>
                  <w:rFonts w:ascii="Times New Roman;serif" w:hAnsi="Times New Roman;serif"/>
                  <w:b w:val="false"/>
                  <w:color w:val="000080"/>
                  <w:sz w:val="20"/>
                  <w:u w:val="single"/>
                </w:rPr>
                <w:t>’</w:t>
              </w:r>
            </w:hyperlink>
            <w:hyperlink r:id="rId44">
              <w:r>
                <w:rPr>
                  <w:rStyle w:val="InternetLink"/>
                  <w:rFonts w:ascii="Times New Roman;serif" w:hAnsi="Times New Roman;serif"/>
                  <w:b w:val="false"/>
                  <w:color w:val="000080"/>
                  <w:sz w:val="20"/>
                  <w:u w:val="single"/>
                </w:rPr>
                <w:t>s Annual Report on Form 10-K filed with the Securities and Exchange Commission on March 26, 2025).</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80"/>
                  <w:sz w:val="20"/>
                  <w:u w:val="single"/>
                </w:rPr>
                <w:t>Fourth Amendment to Lease dated March 10, 2025, between FPA Sandy Mall Associates, LLC and FinWise Bank</w:t>
              </w:r>
            </w:hyperlink>
            <w:hyperlink r:id="rId46">
              <w:r>
                <w:rPr>
                  <w:rStyle w:val="InternetLink"/>
                  <w:rFonts w:ascii="Times New Roman;serif" w:hAnsi="Times New Roman;serif"/>
                  <w:b w:val="false"/>
                  <w:color w:val="000080"/>
                  <w:sz w:val="20"/>
                  <w:u w:val="single"/>
                </w:rPr>
                <w:t xml:space="preserve"> </w:t>
              </w:r>
            </w:hyperlink>
            <w:hyperlink r:id="rId47">
              <w:r>
                <w:rPr>
                  <w:rStyle w:val="InternetLink"/>
                  <w:rFonts w:ascii="Times New Roman;serif" w:hAnsi="Times New Roman;serif"/>
                  <w:b w:val="false"/>
                  <w:color w:val="000080"/>
                  <w:sz w:val="20"/>
                  <w:u w:val="single"/>
                </w:rPr>
                <w:t>(incorporated by reference to Exhibit 10.3</w:t>
              </w:r>
            </w:hyperlink>
            <w:hyperlink r:id="rId48">
              <w:r>
                <w:rPr>
                  <w:rStyle w:val="InternetLink"/>
                  <w:rFonts w:ascii="Times New Roman;serif" w:hAnsi="Times New Roman;serif"/>
                  <w:b w:val="false"/>
                  <w:color w:val="000080"/>
                  <w:sz w:val="20"/>
                  <w:u w:val="single"/>
                </w:rPr>
                <w:t>7</w:t>
              </w:r>
            </w:hyperlink>
            <w:hyperlink r:id="rId49">
              <w:r>
                <w:rPr>
                  <w:rStyle w:val="InternetLink"/>
                  <w:rFonts w:ascii="Times New Roman;serif" w:hAnsi="Times New Roman;serif"/>
                  <w:b w:val="false"/>
                  <w:color w:val="000080"/>
                  <w:sz w:val="20"/>
                  <w:u w:val="single"/>
                </w:rPr>
                <w:t xml:space="preserve"> of the Registrant’s Annual Report on Form 10-K filed with the Securities and Exchange Commission on March 26, 2025).</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FinWise Bancorp 2019 Stock Plan (incorporated by reference to Exhibit 10.1 of the Registrant’s Current Report on Form 8-K filed with the Securities and Exchange Commission on April 22, 2025).</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FinWise Bancorp 2016 Stock Plan (incorporated by reference to Exhibit 10.2 of the Registrant’s Current Report on Form 8-K filed with the Securities and Exchange Commission on April 22, 2025).</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80"/>
                  <w:sz w:val="20"/>
                  <w:u w:val="single"/>
                </w:rPr>
                <w:t>Insider Trading Policy</w:t>
              </w:r>
            </w:hyperlink>
            <w:hyperlink r:id="rId53">
              <w:r>
                <w:rPr>
                  <w:rStyle w:val="InternetLink"/>
                  <w:rFonts w:ascii="Times New Roman;serif" w:hAnsi="Times New Roman;serif"/>
                  <w:b w:val="false"/>
                  <w:color w:val="000080"/>
                  <w:sz w:val="20"/>
                  <w:u w:val="single"/>
                </w:rPr>
                <w:t xml:space="preserve"> </w:t>
              </w:r>
            </w:hyperlink>
            <w:hyperlink r:id="rId54">
              <w:r>
                <w:rPr>
                  <w:rStyle w:val="InternetLink"/>
                  <w:rFonts w:ascii="Times New Roman;serif" w:hAnsi="Times New Roman;serif"/>
                  <w:b w:val="false"/>
                  <w:color w:val="000080"/>
                  <w:sz w:val="20"/>
                  <w:u w:val="single"/>
                </w:rPr>
                <w:t>(</w:t>
              </w:r>
            </w:hyperlink>
            <w:hyperlink r:id="rId55">
              <w:r>
                <w:rPr>
                  <w:rStyle w:val="InternetLink"/>
                  <w:rFonts w:ascii="Times New Roman;serif" w:hAnsi="Times New Roman;serif"/>
                  <w:b w:val="false"/>
                  <w:color w:val="000080"/>
                  <w:sz w:val="20"/>
                  <w:u w:val="single"/>
                </w:rPr>
                <w:t>incorporated by reference to Exhibit 19.1 of the Re</w:t>
              </w:r>
            </w:hyperlink>
            <w:hyperlink r:id="rId56">
              <w:r>
                <w:rPr>
                  <w:rStyle w:val="InternetLink"/>
                  <w:rFonts w:ascii="Times New Roman;serif" w:hAnsi="Times New Roman;serif"/>
                  <w:b w:val="false"/>
                  <w:color w:val="000080"/>
                  <w:sz w:val="20"/>
                  <w:u w:val="single"/>
                </w:rPr>
                <w:t>gistrants A</w:t>
              </w:r>
            </w:hyperlink>
            <w:hyperlink r:id="rId57">
              <w:r>
                <w:rPr>
                  <w:rStyle w:val="InternetLink"/>
                  <w:rFonts w:ascii="Times New Roman;serif" w:hAnsi="Times New Roman;serif"/>
                  <w:b w:val="false"/>
                  <w:color w:val="000080"/>
                  <w:sz w:val="20"/>
                  <w:u w:val="single"/>
                </w:rPr>
                <w:t>n</w:t>
              </w:r>
            </w:hyperlink>
            <w:hyperlink r:id="rId58">
              <w:r>
                <w:rPr>
                  <w:rStyle w:val="InternetLink"/>
                  <w:rFonts w:ascii="Times New Roman;serif" w:hAnsi="Times New Roman;serif"/>
                  <w:b w:val="false"/>
                  <w:color w:val="000080"/>
                  <w:sz w:val="20"/>
                  <w:u w:val="single"/>
                </w:rPr>
                <w:t>nual Report on Form 10-K filed with the Securities and Exchange Commission on March 26, 2025).</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10-kexh211.htm">
              <w:r>
                <w:rPr>
                  <w:rStyle w:val="InternetLink"/>
                  <w:rFonts w:ascii="Times New Roman;serif" w:hAnsi="Times New Roman;serif"/>
                  <w:b w:val="false"/>
                  <w:color w:val="0000FF"/>
                  <w:sz w:val="20"/>
                  <w:u w:val="single"/>
                </w:rPr>
                <w:t>Subsidiaries of FinWise Bancorp.</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uditorsconsent12312025.htm">
              <w:r>
                <w:rPr>
                  <w:rStyle w:val="InternetLink"/>
                  <w:rFonts w:ascii="Times New Roman;serif" w:hAnsi="Times New Roman;serif"/>
                  <w:b w:val="false"/>
                  <w:color w:val="000080"/>
                  <w:sz w:val="20"/>
                  <w:u w:val="single"/>
                </w:rPr>
                <w:t>Consent of Baker Tilly US</w:t>
              </w:r>
            </w:hyperlink>
            <w:hyperlink w:anchor="auditorsconsent12312025.htm">
              <w:r>
                <w:rPr>
                  <w:rStyle w:val="InternetLink"/>
                  <w:rFonts w:ascii="Times New Roman;serif" w:hAnsi="Times New Roman;serif"/>
                  <w:b w:val="false"/>
                  <w:color w:val="000080"/>
                  <w:sz w:val="20"/>
                  <w:u w:val="single"/>
                </w:rPr>
                <w:t>,</w:t>
              </w:r>
            </w:hyperlink>
            <w:hyperlink w:anchor="auditorsconsent12312025.htm">
              <w:r>
                <w:rPr>
                  <w:rStyle w:val="InternetLink"/>
                  <w:rFonts w:ascii="Times New Roman;serif" w:hAnsi="Times New Roman;serif"/>
                  <w:b w:val="false"/>
                  <w:color w:val="000080"/>
                  <w:sz w:val="20"/>
                  <w:u w:val="single"/>
                </w:rPr>
                <w:t xml:space="preserve"> LLP</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1231xex311.htm">
              <w:r>
                <w:rPr>
                  <w:rStyle w:val="InternetLink"/>
                  <w:rFonts w:ascii="Times New Roman;serif" w:hAnsi="Times New Roman;serif"/>
                  <w:b w:val="false"/>
                  <w:color w:val="0000FF"/>
                  <w:sz w:val="20"/>
                  <w:u w:val="single"/>
                </w:rPr>
                <w:t>Rule 13a-14(a) Certification of the Principal Executive Officer.</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51231xex312.htm">
              <w:r>
                <w:rPr>
                  <w:rStyle w:val="InternetLink"/>
                  <w:rFonts w:ascii="Times New Roman;serif" w:hAnsi="Times New Roman;serif"/>
                  <w:b w:val="false"/>
                  <w:color w:val="0000FF"/>
                  <w:sz w:val="20"/>
                  <w:u w:val="single"/>
                </w:rPr>
                <w:t>Rule 13a-14(a) Certification of the Principal Financial Officer.</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51231x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FinWise Bancorp Compensation Recoupment Policy (incorporated by reference to Exhibit 97.1 of the Registrant’s Annual Report on Form 10-K filed with the Securities and Exchange Commission on March 25, 2024).</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Interactive Data</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in Exhibit 101)</w:t>
            </w:r>
          </w:p>
        </w:tc>
      </w:tr>
    </w:tbl>
    <w:p>
      <w:pPr>
        <w:pStyle w:val="TextBody"/>
        <w:bidi w:val="0"/>
        <w:spacing w:lineRule="auto" w:line="288" w:before="200" w:after="283"/>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20"/>
          <w:shd w:fill="FFFFFF" w:val="clear"/>
        </w:rPr>
        <w:t>Management contract or compensation plan, contract or arrangement.</w:t>
      </w:r>
    </w:p>
    <w:p>
      <w:pPr>
        <w:pStyle w:val="TextBody"/>
        <w:bidi w:val="0"/>
        <w:spacing w:lineRule="auto" w:line="288" w:before="200" w:after="283"/>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20"/>
          <w:shd w:fill="FFFFFF" w:val="clear"/>
        </w:rPr>
        <w:t>Filed herewith</w:t>
      </w:r>
    </w:p>
    <w:p>
      <w:pPr>
        <w:pStyle w:val="TextBody"/>
        <w:bidi w:val="0"/>
        <w:spacing w:lineRule="auto" w:line="288" w:before="20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Furnished herewith</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Certain portions of this exhibit have been omitted pursuant to Regulation S-K, Item 601(b)(10)(iv).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30"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43840"/>
                <wp:effectExtent l="0" t="0" r="0" b="0"/>
                <wp:wrapNone/>
                <wp:docPr id="131" name="Frame13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131</w:t>
                      </w:r>
                    </w:p>
                  </w:txbxContent>
                </v:textbox>
                <w10:wrap type="none"/>
              </v:rect>
            </w:pict>
          </mc:Fallback>
        </mc:AlternateContent>
      </w:r>
    </w:p>
    <w:p>
      <w:pPr>
        <w:pStyle w:val="TextBody"/>
        <w:bidi w:val="0"/>
        <w:spacing w:lineRule="auto" w:line="288" w:before="200" w:after="200"/>
        <w:jc w:val="left"/>
        <w:rPr/>
      </w:pPr>
      <w:hyperlink w:anchor="i5bed39f75d3242be9fdb78973a5abdd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493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307"/>
        <w:gridCol w:w="307"/>
        <w:gridCol w:w="307"/>
        <w:gridCol w:w="600"/>
        <w:gridCol w:w="600"/>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this report has been signed below by the following persons on behalf of the Registrant and in the capacities and on the dates indicated.</w:t>
      </w:r>
    </w:p>
    <w:tbl>
      <w:tblPr>
        <w:tblW w:w="8521" w:type="dxa"/>
        <w:jc w:val="left"/>
        <w:tblInd w:w="0" w:type="dxa"/>
        <w:tblLayout w:type="fixed"/>
        <w:tblCellMar>
          <w:top w:w="28" w:type="dxa"/>
          <w:left w:w="28" w:type="dxa"/>
          <w:bottom w:w="28" w:type="dxa"/>
          <w:right w:w="28" w:type="dxa"/>
        </w:tblCellMar>
      </w:tblPr>
      <w:tblGrid>
        <w:gridCol w:w="175"/>
        <w:gridCol w:w="154"/>
        <w:gridCol w:w="154"/>
        <w:gridCol w:w="733"/>
        <w:gridCol w:w="733"/>
        <w:gridCol w:w="739"/>
        <w:gridCol w:w="1458"/>
        <w:gridCol w:w="1458"/>
        <w:gridCol w:w="1478"/>
        <w:gridCol w:w="420"/>
        <w:gridCol w:w="420"/>
        <w:gridCol w:w="599"/>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br/>
              <w:t>Chairman of the Board</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and Accounting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Alan Weichselbaum</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Alan Weichselbaum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N. Giordano</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N. Giordano</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Ann Nievaard</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Lisa Ann Nievaard</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Jeana Hutchings</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Jeana Hutchings</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Gerald E. Cunningham</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Gerald E. Cunningham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Ehrlich</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Ehrlich</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43840"/>
                <wp:effectExtent l="0" t="0" r="0" b="0"/>
                <wp:wrapNone/>
                <wp:docPr id="132" name="Frame13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16"/>
                        </w:rPr>
                      </w:pPr>
                      <w:r>
                        <w:rPr>
                          <w:rFonts w:ascii="Times New Roman;serif" w:hAnsi="Times New Roman;serif"/>
                          <w:b w:val="false"/>
                          <w:color w:val="000000"/>
                          <w:sz w:val="16"/>
                        </w:rPr>
                        <w:t>132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Subsidiaries of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4"/>
        </w:rPr>
      </w:pPr>
      <w:r>
        <w:rPr>
          <w:rFonts w:ascii="Times New Roman;serif" w:hAnsi="Times New Roman;serif"/>
          <w:b w:val="false"/>
          <w:color w:val="000000"/>
          <w:sz w:val="24"/>
        </w:rPr>
        <w:t>The following is a list of subsidiaries of FinWise Bancorp, the names under which such subsidiaries do business, and the jurisdiction in which each was organized. All subsidiaries are wholly-owned unless otherwise noted.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Subsidiaries of FinWise Bancorp</w:t>
      </w:r>
    </w:p>
    <w:p>
      <w:pPr>
        <w:pStyle w:val="TextBody"/>
        <w:bidi w:val="0"/>
        <w:spacing w:before="0" w:after="0"/>
        <w:jc w:val="left"/>
        <w:rPr/>
      </w:pPr>
      <w:r>
        <w:rPr/>
      </w:r>
    </w:p>
    <w:tbl>
      <w:tblPr>
        <w:tblW w:w="4723" w:type="dxa"/>
        <w:jc w:val="left"/>
        <w:tblInd w:w="0" w:type="dxa"/>
        <w:tblLayout w:type="fixed"/>
        <w:tblCellMar>
          <w:top w:w="28" w:type="dxa"/>
          <w:left w:w="28" w:type="dxa"/>
          <w:bottom w:w="28" w:type="dxa"/>
          <w:right w:w="28" w:type="dxa"/>
        </w:tblCellMar>
      </w:tblPr>
      <w:tblGrid>
        <w:gridCol w:w="827"/>
        <w:gridCol w:w="728"/>
        <w:gridCol w:w="739"/>
        <w:gridCol w:w="711"/>
        <w:gridCol w:w="711"/>
        <w:gridCol w:w="1007"/>
      </w:tblGrid>
      <w:tr>
        <w:trPr/>
        <w:tc>
          <w:tcPr>
            <w:tcW w:w="8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w:t>
            </w:r>
          </w:p>
        </w:tc>
        <w:tc>
          <w:tcPr>
            <w:tcW w:w="24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Jurisdiction of Organization</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FinWise Bank</w:t>
            </w:r>
          </w:p>
        </w:tc>
        <w:tc>
          <w:tcPr>
            <w:tcW w:w="24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Utah</w:t>
            </w:r>
          </w:p>
        </w:tc>
      </w:tr>
      <w:tr>
        <w:trPr/>
        <w:tc>
          <w:tcPr>
            <w:tcW w:w="22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FinWise Investment, LLC</w:t>
            </w:r>
          </w:p>
        </w:tc>
        <w:tc>
          <w:tcPr>
            <w:tcW w:w="24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Utah</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Subsidiaries of FinWise Bank and FinWise Investment, LLC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Statements on Form S-3 (No. 333-291620) and Form S-8 (No. 333-262531, No. 333-268550 and No. 333-280688) of FinWise Bancorp and Subsidiaries (the “Company”), of our report dated March 20, 2026, relating to the consolidated financial statements of the Company (which report expresses an unqualified opinion), appearing in this Annual Report on Form 10-K of the Company for the year ended December 31, 2025.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Baker Tilly US,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Everett, Washington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Kent Landvatter,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95"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Robert Wahlman,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2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FinWise Bancorp (the “Company”) for the period ending December 31, 2025,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part of the Report or as a separate disclosure document.</w:t>
      </w:r>
    </w:p>
    <w:tbl>
      <w:tblPr>
        <w:tblW w:w="72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Archives/edgar/data/1856365/000185636525000011/kl3-3748711xv2xbylawsapril.htm" TargetMode="External"/><Relationship Id="rId4" Type="http://schemas.openxmlformats.org/officeDocument/2006/relationships/hyperlink" Target="https://www.sec.gov/ix?doc=/Archives/edgar/data/0001856365/000114036123014828/brhc10050360_10k.htm" TargetMode="External"/><Relationship Id="rId5" Type="http://schemas.openxmlformats.org/officeDocument/2006/relationships/hyperlink" Target="https://www.sec.gov/Archives/edgar/data/1856365/000114036121024467/nt10024103x6_ex4-2.htm" TargetMode="External"/><Relationship Id="rId6" Type="http://schemas.openxmlformats.org/officeDocument/2006/relationships/hyperlink" Target="https://www.sec.gov/ix?doc=/Archives/edgar/data/0001856365/000114036123014828/brhc10050360_10k.htm" TargetMode="External"/><Relationship Id="rId7" Type="http://schemas.openxmlformats.org/officeDocument/2006/relationships/hyperlink" Target="https://www.sec.gov/Archives/edgar/data/1856365/000114036122022905/brhc10038736_ex10-1.htm" TargetMode="External"/><Relationship Id="rId8" Type="http://schemas.openxmlformats.org/officeDocument/2006/relationships/hyperlink" Target="https://www.sec.gov/Archives/edgar/data/1856365/000114036121024467/nt10024103x6_ex10-2.htm" TargetMode="External"/><Relationship Id="rId9" Type="http://schemas.openxmlformats.org/officeDocument/2006/relationships/hyperlink" Target="https://www.sec.gov/Archives/edgar/data/1856365/000114036121026281/nt10024103x7_ex10-3.htm" TargetMode="External"/><Relationship Id="rId10" Type="http://schemas.openxmlformats.org/officeDocument/2006/relationships/hyperlink" Target="https://www.sec.gov/Archives/edgar/data/1856365/000114036121024467/nt10024103x6_ex10-4.htm" TargetMode="External"/><Relationship Id="rId11" Type="http://schemas.openxmlformats.org/officeDocument/2006/relationships/hyperlink" Target="https://www.sec.gov/Archives/edgar/data/1856365/000114036122003901/brhc10033452_ex4-6.htm" TargetMode="External"/><Relationship Id="rId12" Type="http://schemas.openxmlformats.org/officeDocument/2006/relationships/hyperlink" Target="https://www.sec.gov/Archives/edgar/data/1856365/000114036122003901/brhc10033452_ex4-7.htm" TargetMode="External"/><Relationship Id="rId13" Type="http://schemas.openxmlformats.org/officeDocument/2006/relationships/hyperlink" Target="https://www.sec.gov/Archives/edgar/data/1856365/000114036122003901/brhc10033452_ex4-8.htm" TargetMode="External"/><Relationship Id="rId14" Type="http://schemas.openxmlformats.org/officeDocument/2006/relationships/hyperlink" Target="https://www.sec.gov/Archives/edgar/data/1856365/000114036122003901/brhc10033452_ex4-11.htm" TargetMode="External"/><Relationship Id="rId15" Type="http://schemas.openxmlformats.org/officeDocument/2006/relationships/hyperlink" Target="https://www.sec.gov/Archives/edgar/data/1856365/000114036122003901/brhc10033452_ex4-12.htm" TargetMode="External"/><Relationship Id="rId16" Type="http://schemas.openxmlformats.org/officeDocument/2006/relationships/hyperlink" Target="https://www.sec.gov/Archives/edgar/data/1856365/000114036122003901/brhc10033452_ex4-13.htm" TargetMode="External"/><Relationship Id="rId17" Type="http://schemas.openxmlformats.org/officeDocument/2006/relationships/hyperlink" Target="https://www.sec.gov/Archives/edgar/data/1856365/000114036122003901/brhc10033452_ex4-14.htm" TargetMode="External"/><Relationship Id="rId18" Type="http://schemas.openxmlformats.org/officeDocument/2006/relationships/hyperlink" Target="https://www.sec.gov/Archives/edgar/data/1856365/000114036122003901/brhc10033452_ex4-15.htm" TargetMode="External"/><Relationship Id="rId19" Type="http://schemas.openxmlformats.org/officeDocument/2006/relationships/hyperlink" Target="https://www.sec.gov/Archives/edgar/data/1856365/000114036122003901/brhc10033452_ex4-17.htm" TargetMode="External"/><Relationship Id="rId20" Type="http://schemas.openxmlformats.org/officeDocument/2006/relationships/hyperlink" Target="https://www.sec.gov/Archives/edgar/data/1856365/000114036122003901/brhc10033452_ex4-18.htm" TargetMode="External"/><Relationship Id="rId21" Type="http://schemas.openxmlformats.org/officeDocument/2006/relationships/hyperlink" Target="https://www.sec.gov/Archives/edgar/data/1856365/000114036122003901/brhc10033452_ex4-19.htm" TargetMode="External"/><Relationship Id="rId22" Type="http://schemas.openxmlformats.org/officeDocument/2006/relationships/hyperlink" Target="https://www.sec.gov/Archives/edgar/data/1856365/000114036122003901/brhc10033452_ex4-20.htm" TargetMode="External"/><Relationship Id="rId23" Type="http://schemas.openxmlformats.org/officeDocument/2006/relationships/hyperlink" Target="https://www.sec.gov/Archives/edgar/data/1856365/000114036122003901/brhc10033452_ex4-21.htm" TargetMode="External"/><Relationship Id="rId24" Type="http://schemas.openxmlformats.org/officeDocument/2006/relationships/hyperlink" Target="https://www.sec.gov/Archives/edgar/data/1856365/000114036122003901/brhc10033452_ex4-22.htm" TargetMode="External"/><Relationship Id="rId25" Type="http://schemas.openxmlformats.org/officeDocument/2006/relationships/hyperlink" Target="https://www.sec.gov/ix?doc=/Archives/edgar/data/0001856365/000114036123014828/brhc10050360_10k.htm" TargetMode="External"/><Relationship Id="rId26" Type="http://schemas.openxmlformats.org/officeDocument/2006/relationships/hyperlink" Target="https://www.sec.gov/ix?doc=/Archives/edgar/data/0001856365/000114036123014828/brhc10050360_10k.htm" TargetMode="External"/><Relationship Id="rId27" Type="http://schemas.openxmlformats.org/officeDocument/2006/relationships/hyperlink" Target="https://www.sec.gov/ix?doc=/Archives/edgar/data/0001856365/000114036123014828/brhc10050360_10k.htm" TargetMode="External"/><Relationship Id="rId28" Type="http://schemas.openxmlformats.org/officeDocument/2006/relationships/hyperlink" Target="https://www.sec.gov/Archives/edgar/data/1856365/000114036121024467/nt10024103x6_ex10-7.htm" TargetMode="External"/><Relationship Id="rId29" Type="http://schemas.openxmlformats.org/officeDocument/2006/relationships/hyperlink" Target="https://www.sec.gov/Archives/edgar/data/1856365/000114036121024467/nt10024103x6_ex10-8.htm" TargetMode="External"/><Relationship Id="rId30" Type="http://schemas.openxmlformats.org/officeDocument/2006/relationships/hyperlink" Target="https://www.sec.gov/ix?doc=/Archives/edgar/data/0001856365/000185636523000026/finw-20230725.htm" TargetMode="External"/><Relationship Id="rId31" Type="http://schemas.openxmlformats.org/officeDocument/2006/relationships/hyperlink" Target="https://www.sec.gov/Archives/edgar/data/1856365/000114036121024467/nt10024103x6_ex10-11.htm" TargetMode="External"/><Relationship Id="rId32" Type="http://schemas.openxmlformats.org/officeDocument/2006/relationships/hyperlink" Target="https://www.sec.gov/Archives/edgar/data/1856365/000114036121024467/nt10024103x6_ex10-12.htm" TargetMode="External"/><Relationship Id="rId33" Type="http://schemas.openxmlformats.org/officeDocument/2006/relationships/hyperlink" Target="https://www.sec.gov/Archives/edgar/data/1856365/000114036121024467/nt10024103x6_ex10-13.htm" TargetMode="External"/><Relationship Id="rId34" Type="http://schemas.openxmlformats.org/officeDocument/2006/relationships/hyperlink" Target="https://www.sec.gov/Archives/edgar/data/1856365/000114036121026810/nt10024103x8_ex10-15.htm" TargetMode="External"/><Relationship Id="rId35" Type="http://schemas.openxmlformats.org/officeDocument/2006/relationships/hyperlink" Target="https://www.sec.gov/ix?doc=/Archives/edgar/data/1856365/000185636524000003/finw-20240126.htm" TargetMode="External"/><Relationship Id="rId36" Type="http://schemas.openxmlformats.org/officeDocument/2006/relationships/hyperlink" Target="https://www.sec.gov/ix?doc=/Archives/edgar/data/1856365/000185636524000041/finw-20240627.htm" TargetMode="External"/><Relationship Id="rId37" Type="http://schemas.openxmlformats.org/officeDocument/2006/relationships/hyperlink" Target="https://www.sec.gov/ix?doc=/Archives/edgar/data/1856365/000185636524000065/finw-20240930.htm" TargetMode="External"/><Relationship Id="rId38" Type="http://schemas.openxmlformats.org/officeDocument/2006/relationships/hyperlink" Target="https://www.sec.gov/ix?doc=/Archives/edgar/data/1856365/000185636524000065/finw-20240930.htm" TargetMode="External"/><Relationship Id="rId39" Type="http://schemas.openxmlformats.org/officeDocument/2006/relationships/hyperlink" Target="https://www.sec.gov/Archives/edgar/data/1856365/000185636525000006/fimw-20241231xexxleasex3rd.htm" TargetMode="External"/><Relationship Id="rId40" Type="http://schemas.openxmlformats.org/officeDocument/2006/relationships/hyperlink" Target="https://www.sec.gov/Archives/edgar/data/1856365/000185636525000006/fimw-20241231xexxleasex3rd.htm" TargetMode="External"/><Relationship Id="rId41" Type="http://schemas.openxmlformats.org/officeDocument/2006/relationships/hyperlink" Target="https://www.sec.gov/Archives/edgar/data/1856365/000185636525000006/fimw-20241231xexxleasex3rd.htm" TargetMode="External"/><Relationship Id="rId42" Type="http://schemas.openxmlformats.org/officeDocument/2006/relationships/hyperlink" Target="https://www.sec.gov/Archives/edgar/data/1856365/000185636525000006/fimw-20241231xexxleasex3rd.htm" TargetMode="External"/><Relationship Id="rId43" Type="http://schemas.openxmlformats.org/officeDocument/2006/relationships/hyperlink" Target="https://www.sec.gov/Archives/edgar/data/1856365/000185636525000006/fimw-20241231xexxleasex3rd.htm" TargetMode="External"/><Relationship Id="rId44" Type="http://schemas.openxmlformats.org/officeDocument/2006/relationships/hyperlink" Target="https://www.sec.gov/Archives/edgar/data/1856365/000185636525000006/fimw-20241231xexxleasex3rd.htm" TargetMode="External"/><Relationship Id="rId45" Type="http://schemas.openxmlformats.org/officeDocument/2006/relationships/hyperlink" Target="https://www.sec.gov/Archives/edgar/data/1856365/000185636525000006/fimw-20241231xexxleasex4th.htm" TargetMode="External"/><Relationship Id="rId46" Type="http://schemas.openxmlformats.org/officeDocument/2006/relationships/hyperlink" Target="https://www.sec.gov/Archives/edgar/data/1856365/000185636525000006/fimw-20241231xexxleasex4th.htm" TargetMode="External"/><Relationship Id="rId47" Type="http://schemas.openxmlformats.org/officeDocument/2006/relationships/hyperlink" Target="https://www.sec.gov/Archives/edgar/data/1856365/000185636525000006/fimw-20241231xexxleasex4th.htm" TargetMode="External"/><Relationship Id="rId48" Type="http://schemas.openxmlformats.org/officeDocument/2006/relationships/hyperlink" Target="https://www.sec.gov/Archives/edgar/data/1856365/000185636525000006/fimw-20241231xexxleasex4th.htm" TargetMode="External"/><Relationship Id="rId49" Type="http://schemas.openxmlformats.org/officeDocument/2006/relationships/hyperlink" Target="https://www.sec.gov/Archives/edgar/data/1856365/000185636525000006/fimw-20241231xexxleasex4th.htm" TargetMode="External"/><Relationship Id="rId50" Type="http://schemas.openxmlformats.org/officeDocument/2006/relationships/hyperlink" Target="https://www.sec.gov/Archives/edgar/data/1856365/000185636525000011/kl2-3289865xv6xfinwise2019.htm" TargetMode="External"/><Relationship Id="rId51" Type="http://schemas.openxmlformats.org/officeDocument/2006/relationships/hyperlink" Target="https://www.sec.gov/Archives/edgar/data/1856365/000185636525000011/kl3-3342806xv6xallwestx201.htm" TargetMode="External"/><Relationship Id="rId52" Type="http://schemas.openxmlformats.org/officeDocument/2006/relationships/hyperlink" Target="https://www.sec.gov/Archives/edgar/data/1856365/000185636525000006/ex191insidertradingpolicy.htm" TargetMode="External"/><Relationship Id="rId53" Type="http://schemas.openxmlformats.org/officeDocument/2006/relationships/hyperlink" Target="https://www.sec.gov/Archives/edgar/data/1856365/000185636525000006/ex191insidertradingpolicy.htm" TargetMode="External"/><Relationship Id="rId54" Type="http://schemas.openxmlformats.org/officeDocument/2006/relationships/hyperlink" Target="https://www.sec.gov/Archives/edgar/data/1856365/000185636525000006/ex191insidertradingpolicy.htm" TargetMode="External"/><Relationship Id="rId55" Type="http://schemas.openxmlformats.org/officeDocument/2006/relationships/hyperlink" Target="https://www.sec.gov/Archives/edgar/data/1856365/000185636525000006/ex191insidertradingpolicy.htm" TargetMode="External"/><Relationship Id="rId56" Type="http://schemas.openxmlformats.org/officeDocument/2006/relationships/hyperlink" Target="https://www.sec.gov/Archives/edgar/data/1856365/000185636525000006/ex191insidertradingpolicy.htm" TargetMode="External"/><Relationship Id="rId57" Type="http://schemas.openxmlformats.org/officeDocument/2006/relationships/hyperlink" Target="https://www.sec.gov/Archives/edgar/data/1856365/000185636525000006/ex191insidertradingpolicy.htm" TargetMode="External"/><Relationship Id="rId58" Type="http://schemas.openxmlformats.org/officeDocument/2006/relationships/hyperlink" Target="https://www.sec.gov/Archives/edgar/data/1856365/000185636525000006/ex191insidertradingpolicy.htm" TargetMode="External"/><Relationship Id="rId59" Type="http://schemas.openxmlformats.org/officeDocument/2006/relationships/hyperlink" Target="https://www.sec.gov/ix?doc=/Archives/edgar/data/0001856365/000185636524000013/finw-20231231.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78219</Words>
  <Characters>439152</Characters>
  <CharactersWithSpaces>514372</CharactersWithSpaces>
  <Paragraphs>7362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