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color w:val="000000"/>
          <w:sz w:val="28"/>
          <w:shd w:fill="FFFFFF" w:val="clear"/>
        </w:rPr>
      </w:pPr>
      <w:r>
        <w:rPr>
          <w:rFonts w:ascii="Times New Roman;sans-serif" w:hAnsi="Times New Roman;sans-serif"/>
          <w:b/>
          <w:color w:val="000000"/>
          <w:sz w:val="28"/>
          <w:shd w:fill="FFFFFF" w:val="clear"/>
        </w:rPr>
        <w:t>UNITED STATES</w:t>
      </w:r>
    </w:p>
    <w:p>
      <w:pPr>
        <w:pStyle w:val="TextBody"/>
        <w:bidi w:val="0"/>
        <w:spacing w:lineRule="auto" w:line="288" w:before="0" w:after="0"/>
        <w:jc w:val="center"/>
        <w:rPr>
          <w:rFonts w:ascii="Times New Roman;sans-serif" w:hAnsi="Times New Roman;sans-serif"/>
          <w:b/>
          <w:color w:val="000000"/>
          <w:sz w:val="28"/>
          <w:shd w:fill="FFFFFF" w:val="clear"/>
        </w:rPr>
      </w:pPr>
      <w:r>
        <w:rPr>
          <w:rFonts w:ascii="Times New Roman;sans-serif" w:hAnsi="Times New Roman;sans-serif"/>
          <w:b/>
          <w:color w:val="000000"/>
          <w:sz w:val="28"/>
          <w:shd w:fill="FFFFFF" w:val="clear"/>
        </w:rPr>
        <w:t>SECURITIES AND EXCHANGE COMMISSION</w:t>
      </w:r>
    </w:p>
    <w:p>
      <w:pPr>
        <w:pStyle w:val="TextBody"/>
        <w:bidi w:val="0"/>
        <w:spacing w:lineRule="auto" w:line="288" w:before="0" w:after="0"/>
        <w:jc w:val="center"/>
        <w:rPr>
          <w:rFonts w:ascii="Times New Roman;sans-serif" w:hAnsi="Times New Roman;sans-serif"/>
          <w:b/>
          <w:color w:val="000000"/>
          <w:sz w:val="24"/>
          <w:shd w:fill="FFFFFF" w:val="clear"/>
        </w:rPr>
      </w:pPr>
      <w:r>
        <w:rPr>
          <w:rFonts w:ascii="Times New Roman;sans-serif" w:hAnsi="Times New Roman;sans-serif"/>
          <w:b/>
          <w:color w:val="000000"/>
          <w:sz w:val="24"/>
          <w:shd w:fill="FFFFFF" w:val="clear"/>
        </w:rPr>
        <w:t>WASHINGTON, DC 20549</w:t>
      </w:r>
    </w:p>
    <w:p>
      <w:pPr>
        <w:pStyle w:val="TextBody"/>
        <w:bidi w:val="0"/>
        <w:spacing w:lineRule="auto" w:line="288" w:before="200" w:after="283"/>
        <w:jc w:val="center"/>
        <w:rPr>
          <w:rFonts w:ascii="Times New Roman;sans-serif" w:hAnsi="Times New Roman;sans-serif"/>
          <w:b/>
          <w:color w:val="000000"/>
          <w:sz w:val="36"/>
          <w:shd w:fill="FFFFFF" w:val="clear"/>
        </w:rPr>
      </w:pPr>
      <w:r>
        <w:rPr>
          <w:rFonts w:ascii="Times New Roman;sans-serif" w:hAnsi="Times New Roman;sans-serif"/>
          <w:b/>
          <w:color w:val="000000"/>
          <w:sz w:val="36"/>
          <w:shd w:fill="FFFFFF" w:val="clear"/>
        </w:rPr>
        <w:t>Form 10-K</w:t>
      </w:r>
    </w:p>
    <w:p>
      <w:pPr>
        <w:pStyle w:val="TextBody"/>
        <w:bidi w:val="0"/>
        <w:spacing w:lineRule="auto" w:line="288" w:before="200" w:after="283"/>
        <w:jc w:val="center"/>
        <w:rPr/>
      </w:pPr>
      <w:r>
        <w:rPr>
          <w:rFonts w:ascii="Wingdings;sans-serif" w:hAnsi="Wingdings;sans-serif"/>
          <w:b w:val="false"/>
          <w:color w:val="000000"/>
          <w:sz w:val="20"/>
          <w:shd w:fill="FFFFFF" w:val="clear"/>
        </w:rPr>
        <w:t>x</w:t>
      </w:r>
      <w:r>
        <w:rPr>
          <w:color w:val="000000"/>
          <w:shd w:fill="FFFFFF" w:val="clear"/>
        </w:rPr>
        <w:t xml:space="preserve"> </w:t>
      </w:r>
      <w:r>
        <w:rPr>
          <w:rFonts w:ascii="Times New Roman;sans-serif" w:hAnsi="Times New Roman;sans-serif"/>
          <w:b/>
          <w:color w:val="000000"/>
          <w:sz w:val="20"/>
          <w:shd w:fill="FFFFFF" w:val="clear"/>
        </w:rPr>
        <w:t>ANNUAL REPORT PURSUANT TO SECTION 13 OR 15(d) OF THE SECURITIES EXCHANGE ACT OF 1934</w:t>
      </w:r>
    </w:p>
    <w:p>
      <w:pPr>
        <w:pStyle w:val="TextBody"/>
        <w:bidi w:val="0"/>
        <w:spacing w:lineRule="auto" w:line="288" w:before="200" w:after="283"/>
        <w:jc w:val="center"/>
        <w:rPr/>
      </w:pPr>
      <w:r>
        <w:rPr>
          <w:rFonts w:ascii="Times New Roman;sans-serif" w:hAnsi="Times New Roman;sans-serif"/>
          <w:b/>
          <w:color w:val="000000"/>
          <w:sz w:val="20"/>
          <w:shd w:fill="FFFFFF" w:val="clear"/>
        </w:rPr>
        <w:t xml:space="preserve">For the Fiscal Year Ended </w:t>
      </w:r>
      <w:r>
        <w:rPr>
          <w:rFonts w:ascii="Times New Roman;sans-serif" w:hAnsi="Times New Roman;sans-serif"/>
          <w:b w:val="false"/>
          <w:color w:val="000000"/>
          <w:sz w:val="20"/>
        </w:rPr>
        <w:t>December 31, 2023</w:t>
      </w:r>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or</w:t>
      </w:r>
    </w:p>
    <w:p>
      <w:pPr>
        <w:pStyle w:val="TextBody"/>
        <w:bidi w:val="0"/>
        <w:spacing w:lineRule="auto" w:line="288" w:before="200" w:after="283"/>
        <w:jc w:val="center"/>
        <w:rPr/>
      </w:pPr>
      <w:r>
        <w:rPr>
          <w:rFonts w:ascii="Wingdings;sans-serif" w:hAnsi="Wingdings;sans-serif"/>
          <w:b w:val="false"/>
          <w:color w:val="000000"/>
          <w:sz w:val="20"/>
          <w:shd w:fill="FFFFFF" w:val="clear"/>
        </w:rPr>
        <w:t>o</w:t>
      </w:r>
      <w:r>
        <w:rPr>
          <w:color w:val="000000"/>
          <w:shd w:fill="FFFFFF" w:val="clear"/>
        </w:rPr>
        <w:t xml:space="preserve"> </w:t>
      </w:r>
      <w:r>
        <w:rPr>
          <w:rFonts w:ascii="Times New Roman;sans-serif" w:hAnsi="Times New Roman;sans-serif"/>
          <w:b/>
          <w:color w:val="000000"/>
          <w:sz w:val="20"/>
          <w:shd w:fill="FFFFFF" w:val="clear"/>
        </w:rPr>
        <w:t>TRANSITION REPORT PURSUANT TO SECTION 13 OR 15(d) OF THE SECURITIES EXCHANGE ACT OF 1934</w:t>
      </w:r>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For the transition period from           to</w:t>
      </w:r>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Commission file number: 001-40721</w:t>
      </w:r>
    </w:p>
    <w:p>
      <w:pPr>
        <w:pStyle w:val="TextBody"/>
        <w:bidi w:val="0"/>
        <w:spacing w:lineRule="auto" w:line="288" w:before="200" w:after="283"/>
        <w:jc w:val="center"/>
        <w:rPr>
          <w:rFonts w:ascii="Times New Roman;sans-serif" w:hAnsi="Times New Roman;sans-serif"/>
          <w:b/>
          <w:color w:val="000000"/>
          <w:sz w:val="48"/>
          <w:shd w:fill="FFFFFF" w:val="clear"/>
        </w:rPr>
      </w:pPr>
      <w:r>
        <w:rPr>
          <w:rFonts w:ascii="Times New Roman;sans-serif" w:hAnsi="Times New Roman;sans-serif"/>
          <w:b/>
          <w:color w:val="000000"/>
          <w:sz w:val="48"/>
          <w:shd w:fill="FFFFFF" w:val="clear"/>
        </w:rPr>
        <w:t>FINWISE BANCORP</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(Exact Name of Registrant as Specified in its Charter)</w:t>
      </w:r>
    </w:p>
    <w:tbl>
      <w:tblPr>
        <w:tblW w:w="8396" w:type="dxa"/>
        <w:jc w:val="left"/>
        <w:tblInd w:w="0" w:type="dxa"/>
        <w:tblLayout w:type="fixed"/>
        <w:tblCellMar>
          <w:top w:w="28" w:type="dxa"/>
          <w:left w:w="28" w:type="dxa"/>
          <w:bottom w:w="28" w:type="dxa"/>
          <w:right w:w="28" w:type="dxa"/>
        </w:tblCellMar>
      </w:tblPr>
      <w:tblGrid>
        <w:gridCol w:w="1818"/>
        <w:gridCol w:w="1597"/>
        <w:gridCol w:w="1625"/>
        <w:gridCol w:w="109"/>
        <w:gridCol w:w="109"/>
        <w:gridCol w:w="109"/>
        <w:gridCol w:w="884"/>
        <w:gridCol w:w="884"/>
        <w:gridCol w:w="1261"/>
      </w:tblGrid>
      <w:tr>
        <w:trPr/>
        <w:tc>
          <w:tcPr>
            <w:tcW w:w="1818"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Utah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83-0356689</w:t>
            </w:r>
          </w:p>
        </w:tc>
      </w:tr>
      <w:tr>
        <w:trPr/>
        <w:tc>
          <w:tcPr>
            <w:tcW w:w="5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tbl>
      <w:tblPr>
        <w:tblW w:w="5024" w:type="dxa"/>
        <w:jc w:val="left"/>
        <w:tblInd w:w="0" w:type="dxa"/>
        <w:tblLayout w:type="fixed"/>
        <w:tblCellMar>
          <w:top w:w="28" w:type="dxa"/>
          <w:left w:w="28" w:type="dxa"/>
          <w:bottom w:w="28" w:type="dxa"/>
          <w:right w:w="28" w:type="dxa"/>
        </w:tblCellMar>
      </w:tblPr>
      <w:tblGrid>
        <w:gridCol w:w="1446"/>
        <w:gridCol w:w="1268"/>
        <w:gridCol w:w="1275"/>
        <w:gridCol w:w="303"/>
        <w:gridCol w:w="303"/>
        <w:gridCol w:w="429"/>
      </w:tblGrid>
      <w:tr>
        <w:trPr/>
        <w:tc>
          <w:tcPr>
            <w:tcW w:w="144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756 East Winchester, Suite 100, Murray, Utah</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84107</w:t>
            </w:r>
          </w:p>
        </w:tc>
      </w:tr>
      <w:tr>
        <w:trPr/>
        <w:tc>
          <w:tcPr>
            <w:tcW w:w="3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200" w:after="283"/>
        <w:jc w:val="center"/>
        <w:rPr/>
      </w:pPr>
      <w:r>
        <w:rPr>
          <w:rFonts w:ascii="Times New Roman;sans-serif" w:hAnsi="Times New Roman;sans-serif"/>
          <w:b/>
          <w:color w:val="000000"/>
          <w:sz w:val="20"/>
          <w:shd w:fill="FFFFFF" w:val="clear"/>
        </w:rPr>
        <w:t>(801)</w:t>
      </w:r>
      <w:r>
        <w:rPr>
          <w:color w:val="000000"/>
          <w:shd w:fill="FFFFFF" w:val="clear"/>
        </w:rPr>
        <w:t xml:space="preserve"> </w:t>
      </w:r>
      <w:r>
        <w:rPr>
          <w:rFonts w:ascii="Times New Roman;sans-serif" w:hAnsi="Times New Roman;sans-serif"/>
          <w:b/>
          <w:color w:val="000000"/>
          <w:sz w:val="20"/>
          <w:shd w:fill="FFFFFF" w:val="clear"/>
        </w:rPr>
        <w:t>501-7200</w:t>
      </w:r>
    </w:p>
    <w:p>
      <w:pPr>
        <w:pStyle w:val="TextBody"/>
        <w:bidi w:val="0"/>
        <w:spacing w:lineRule="auto" w:line="288" w:before="0" w:after="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(Registrant’s Telephone Number, Including Area Code)</w:t>
      </w:r>
    </w:p>
    <w:p>
      <w:pPr>
        <w:pStyle w:val="TextBody"/>
        <w:bidi w:val="0"/>
        <w:spacing w:lineRule="auto" w:line="288" w:before="200" w:after="283"/>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Securities registered pursuant to Section 12(b) of the Act:</w:t>
      </w:r>
    </w:p>
    <w:tbl>
      <w:tblPr>
        <w:tblW w:w="8797" w:type="dxa"/>
        <w:jc w:val="center"/>
        <w:tblInd w:w="0" w:type="dxa"/>
        <w:tblLayout w:type="fixed"/>
        <w:tblCellMar>
          <w:top w:w="28" w:type="dxa"/>
          <w:left w:w="28" w:type="dxa"/>
          <w:bottom w:w="28" w:type="dxa"/>
          <w:right w:w="28" w:type="dxa"/>
        </w:tblCellMar>
      </w:tblPr>
      <w:tblGrid>
        <w:gridCol w:w="1301"/>
        <w:gridCol w:w="1143"/>
        <w:gridCol w:w="1156"/>
        <w:gridCol w:w="109"/>
        <w:gridCol w:w="109"/>
        <w:gridCol w:w="109"/>
        <w:gridCol w:w="564"/>
        <w:gridCol w:w="564"/>
        <w:gridCol w:w="566"/>
        <w:gridCol w:w="109"/>
        <w:gridCol w:w="109"/>
        <w:gridCol w:w="109"/>
        <w:gridCol w:w="832"/>
        <w:gridCol w:w="832"/>
        <w:gridCol w:w="1185"/>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w:t>
              <w:br/>
              <w:t>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FINW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200" w:after="283"/>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Securities registered pursuant to Section 12(g) of the Act: None</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Indicate by check mark if the registrant is a well-known seasoned issuer, as defined in Rule 405 of the Securities Act. Yes </w:t>
      </w:r>
      <w:r>
        <w:rPr>
          <w:rFonts w:ascii="Wingdings;sans-serif" w:hAnsi="Wingdings;sans-serif"/>
          <w:b w:val="false"/>
          <w:color w:val="000000"/>
          <w:sz w:val="20"/>
          <w:shd w:fill="FFFFFF" w:val="clear"/>
        </w:rPr>
        <w:t>o</w:t>
      </w:r>
      <w:r>
        <w:rPr>
          <w:color w:val="000000"/>
          <w:shd w:fill="FFFFFF" w:val="clear"/>
        </w:rPr>
        <w:t xml:space="preserve"> </w:t>
      </w:r>
      <w:r>
        <w:rPr>
          <w:rFonts w:ascii="Times New Roman;sans-serif" w:hAnsi="Times New Roman;sans-serif"/>
          <w:b w:val="false"/>
          <w:color w:val="000000"/>
          <w:sz w:val="20"/>
          <w:shd w:fill="FFFFFF" w:val="clear"/>
        </w:rPr>
        <w:t xml:space="preserve">No </w:t>
      </w:r>
      <w:r>
        <w:rPr>
          <w:rFonts w:ascii="Wingdings;sans-serif" w:hAnsi="Wingdings;sans-serif"/>
          <w:b w:val="false"/>
          <w:color w:val="000000"/>
          <w:sz w:val="20"/>
          <w:shd w:fill="FFFFFF" w:val="clear"/>
        </w:rPr>
        <w:t>x</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Indicate by check mark if the registrant is not required to file reports pursuant to Section 13 or 15(d) of the Act. Yes </w:t>
      </w:r>
      <w:r>
        <w:rPr>
          <w:rFonts w:ascii="Wingdings;sans-serif" w:hAnsi="Wingdings;sans-serif"/>
          <w:b w:val="false"/>
          <w:color w:val="000000"/>
          <w:sz w:val="20"/>
          <w:shd w:fill="FFFFFF" w:val="clear"/>
        </w:rPr>
        <w:t>o</w:t>
      </w:r>
      <w:r>
        <w:rPr>
          <w:color w:val="000000"/>
          <w:shd w:fill="FFFFFF" w:val="clear"/>
        </w:rPr>
        <w:t xml:space="preserve"> </w:t>
      </w:r>
      <w:r>
        <w:rPr>
          <w:rFonts w:ascii="Times New Roman;sans-serif" w:hAnsi="Times New Roman;sans-serif"/>
          <w:b w:val="false"/>
          <w:color w:val="000000"/>
          <w:sz w:val="20"/>
          <w:shd w:fill="FFFFFF" w:val="clear"/>
        </w:rPr>
        <w:t xml:space="preserve">No </w:t>
      </w:r>
      <w:r>
        <w:rPr>
          <w:rFonts w:ascii="Wingdings;sans-serif" w:hAnsi="Wingdings;sans-serif"/>
          <w:b w:val="false"/>
          <w:color w:val="000000"/>
          <w:sz w:val="20"/>
          <w:shd w:fill="FFFFFF" w:val="clear"/>
        </w:rPr>
        <w:t>x</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shd w:fill="FFFFFF" w:val="clear"/>
        </w:rPr>
        <w:t>x</w:t>
      </w:r>
      <w:r>
        <w:rPr>
          <w:color w:val="000000"/>
          <w:shd w:fill="FFFFFF" w:val="clear"/>
        </w:rPr>
        <w:t xml:space="preserve"> </w:t>
      </w:r>
      <w:r>
        <w:rPr>
          <w:rFonts w:ascii="Times New Roman;sans-serif" w:hAnsi="Times New Roman;sans-serif"/>
          <w:b w:val="false"/>
          <w:color w:val="000000"/>
          <w:sz w:val="20"/>
          <w:shd w:fill="FFFFFF" w:val="clear"/>
        </w:rPr>
        <w:t xml:space="preserve">No </w:t>
      </w:r>
      <w:r>
        <w:rPr>
          <w:rFonts w:ascii="Wingdings;sans-serif" w:hAnsi="Wingdings;sans-serif"/>
          <w:b w:val="false"/>
          <w:color w:val="000000"/>
          <w:sz w:val="20"/>
          <w:shd w:fill="FFFFFF" w:val="clear"/>
        </w:rPr>
        <w:t>o</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shd w:fill="FFFFFF" w:val="clear"/>
        </w:rPr>
        <w:t>x</w:t>
      </w:r>
      <w:r>
        <w:rPr>
          <w:color w:val="000000"/>
          <w:shd w:fill="FFFFFF" w:val="clear"/>
        </w:rPr>
        <w:t xml:space="preserve"> </w:t>
      </w:r>
      <w:r>
        <w:rPr>
          <w:rFonts w:ascii="Times New Roman;sans-serif" w:hAnsi="Times New Roman;sans-serif"/>
          <w:b w:val="false"/>
          <w:color w:val="000000"/>
          <w:sz w:val="20"/>
          <w:shd w:fill="FFFFFF" w:val="clear"/>
        </w:rPr>
        <w:t xml:space="preserve">No </w:t>
      </w:r>
      <w:r>
        <w:rPr>
          <w:rFonts w:ascii="Wingdings;sans-serif" w:hAnsi="Wingdings;sans-serif"/>
          <w:b w:val="false"/>
          <w:color w:val="000000"/>
          <w:sz w:val="20"/>
          <w:shd w:fill="FFFFFF" w:val="clear"/>
        </w:rPr>
        <w:t>o</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05"/>
        <w:gridCol w:w="532"/>
        <w:gridCol w:w="534"/>
        <w:gridCol w:w="109"/>
        <w:gridCol w:w="109"/>
        <w:gridCol w:w="109"/>
        <w:gridCol w:w="444"/>
        <w:gridCol w:w="444"/>
        <w:gridCol w:w="446"/>
        <w:gridCol w:w="109"/>
        <w:gridCol w:w="109"/>
        <w:gridCol w:w="109"/>
        <w:gridCol w:w="564"/>
        <w:gridCol w:w="564"/>
        <w:gridCol w:w="566"/>
        <w:gridCol w:w="109"/>
        <w:gridCol w:w="109"/>
        <w:gridCol w:w="109"/>
        <w:gridCol w:w="634"/>
        <w:gridCol w:w="634"/>
        <w:gridCol w:w="636"/>
        <w:gridCol w:w="109"/>
        <w:gridCol w:w="109"/>
        <w:gridCol w:w="109"/>
        <w:gridCol w:w="638"/>
        <w:gridCol w:w="638"/>
        <w:gridCol w:w="640"/>
        <w:gridCol w:w="109"/>
        <w:gridCol w:w="109"/>
        <w:gridCol w:w="160"/>
      </w:tblGrid>
      <w:tr>
        <w:trPr/>
        <w:tc>
          <w:tcPr>
            <w:tcW w:w="605"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19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shd w:fill="FFFFFF" w:val="clear"/>
        </w:rPr>
        <w:t>o</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20"/>
          <w:shd w:fill="FFFFFF" w:val="clear"/>
        </w:rPr>
        <w:t>o</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20"/>
          <w:shd w:fill="FFFFFF" w:val="clear"/>
        </w:rPr>
        <w:t>o</w:t>
      </w:r>
      <w:r>
        <w:rPr>
          <w:color w:val="000000"/>
          <w:shd w:fill="FFFFFF" w:val="clear"/>
        </w:rPr>
        <w:t xml:space="preserve"> </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20"/>
          <w:shd w:fill="FFFFFF" w:val="clear"/>
        </w:rPr>
        <w:t>o</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Indicate by check mark whether the registrant is a shell company (as defined in Rule 12b-2 of the Securities Exchange Act of 1934). Yes </w:t>
      </w:r>
      <w:r>
        <w:rPr>
          <w:rFonts w:ascii="Wingdings;sans-serif" w:hAnsi="Wingdings;sans-serif"/>
          <w:b w:val="false"/>
          <w:color w:val="000000"/>
          <w:sz w:val="20"/>
          <w:shd w:fill="FFFFFF" w:val="clear"/>
        </w:rPr>
        <w:t>o</w:t>
      </w:r>
      <w:r>
        <w:rPr>
          <w:color w:val="000000"/>
          <w:shd w:fill="FFFFFF" w:val="clear"/>
        </w:rPr>
        <w:t xml:space="preserve"> </w:t>
      </w:r>
      <w:r>
        <w:rPr>
          <w:rFonts w:ascii="Times New Roman;sans-serif" w:hAnsi="Times New Roman;sans-serif"/>
          <w:b w:val="false"/>
          <w:color w:val="000000"/>
          <w:sz w:val="20"/>
          <w:shd w:fill="FFFFFF" w:val="clear"/>
        </w:rPr>
        <w:t xml:space="preserve">No </w:t>
      </w:r>
      <w:r>
        <w:rPr>
          <w:rFonts w:ascii="Wingdings;sans-serif" w:hAnsi="Wingdings;sans-serif"/>
          <w:b w:val="false"/>
          <w:color w:val="000000"/>
          <w:sz w:val="20"/>
          <w:shd w:fill="FFFFFF" w:val="clear"/>
        </w:rPr>
        <w:t>x</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The aggregate market value of the Registrant’s voting and non-voting common equity held by non-affiliates of the Registrant on the last business day of the Registrant’s most recently completed second fiscal quarter was </w:t>
      </w:r>
      <w:r>
        <w:rPr>
          <w:rFonts w:ascii="Times New Roman;sans-serif" w:hAnsi="Times New Roman;sans-serif"/>
          <w:b w:val="false"/>
          <w:color w:val="000000"/>
          <w:sz w:val="20"/>
        </w:rPr>
        <w:t>$93.0 million</w:t>
      </w:r>
      <w:r>
        <w:rPr>
          <w:rFonts w:ascii="Times New Roman;sans-serif" w:hAnsi="Times New Roman;sans-serif"/>
          <w:b w:val="false"/>
          <w:color w:val="000000"/>
          <w:sz w:val="20"/>
          <w:shd w:fill="FFFFFF" w:val="clear"/>
        </w:rPr>
        <w:t>. The Registrant h</w:t>
      </w:r>
      <w:r>
        <w:rPr>
          <w:rFonts w:ascii="Times New Roman;sans-serif" w:hAnsi="Times New Roman;sans-serif"/>
          <w:b w:val="false"/>
          <w:color w:val="000000"/>
          <w:sz w:val="20"/>
        </w:rPr>
        <w:t>ad 12,818,944 share</w:t>
      </w:r>
      <w:r>
        <w:rPr>
          <w:rFonts w:ascii="Times New Roman;sans-serif" w:hAnsi="Times New Roman;sans-serif"/>
          <w:b w:val="false"/>
          <w:color w:val="000000"/>
          <w:sz w:val="20"/>
          <w:shd w:fill="FFFFFF" w:val="clear"/>
        </w:rPr>
        <w:t>s of common stock, $0.001 par value, outstanding as of March 20, 2024.</w:t>
      </w:r>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DOCUMENTS INCORPORATED BY REFERENCE</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Portions of the registrant’s proxy statement to be filed with the Securities and Exchange Commission pursuant to Regulation 14A in connection with the registrant’s 2024 Annual Meeting of Stockholders, which will be filed subsequent to the date hereof, are incorporated by reference into Part III of this Form 10-K. Such proxy statement will be filed with the Securities and Exchange Commission not later than 120 days following the end of the registrant’s fiscal year ended December 31, 2023.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FinWise Bancorp</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INDEX</w:t>
      </w:r>
    </w:p>
    <w:tbl>
      <w:tblPr>
        <w:tblW w:w="10205" w:type="dxa"/>
        <w:jc w:val="left"/>
        <w:tblInd w:w="0" w:type="dxa"/>
        <w:tblLayout w:type="fixed"/>
        <w:tblCellMar>
          <w:top w:w="28" w:type="dxa"/>
          <w:left w:w="28" w:type="dxa"/>
          <w:bottom w:w="28" w:type="dxa"/>
          <w:right w:w="28" w:type="dxa"/>
        </w:tblCellMar>
      </w:tblPr>
      <w:tblGrid>
        <w:gridCol w:w="290"/>
        <w:gridCol w:w="255"/>
        <w:gridCol w:w="256"/>
        <w:gridCol w:w="2978"/>
        <w:gridCol w:w="2970"/>
        <w:gridCol w:w="2988"/>
        <w:gridCol w:w="136"/>
        <w:gridCol w:w="136"/>
        <w:gridCol w:w="196"/>
      </w:tblGrid>
      <w:tr>
        <w:trPr/>
        <w:tc>
          <w:tcPr>
            <w:tcW w:w="29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78" w:type="dxa"/>
            <w:tcBorders/>
            <w:vAlign w:val="center"/>
          </w:tcPr>
          <w:p>
            <w:pPr>
              <w:pStyle w:val="TableContents"/>
              <w:bidi w:val="0"/>
              <w:spacing w:before="0" w:after="283"/>
              <w:jc w:val="left"/>
              <w:rPr>
                <w:sz w:val="4"/>
                <w:szCs w:val="4"/>
              </w:rPr>
            </w:pPr>
            <w:r>
              <w:rPr>
                <w:sz w:val="4"/>
                <w:szCs w:val="4"/>
              </w:rPr>
            </w:r>
          </w:p>
        </w:tc>
        <w:tc>
          <w:tcPr>
            <w:tcW w:w="2970" w:type="dxa"/>
            <w:tcBorders/>
            <w:vAlign w:val="center"/>
          </w:tcPr>
          <w:p>
            <w:pPr>
              <w:pStyle w:val="TableContents"/>
              <w:bidi w:val="0"/>
              <w:spacing w:before="0" w:after="283"/>
              <w:jc w:val="left"/>
              <w:rPr>
                <w:sz w:val="4"/>
                <w:szCs w:val="4"/>
              </w:rPr>
            </w:pPr>
            <w:r>
              <w:rPr>
                <w:sz w:val="4"/>
                <w:szCs w:val="4"/>
              </w:rPr>
            </w:r>
          </w:p>
        </w:tc>
        <w:tc>
          <w:tcPr>
            <w:tcW w:w="298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13">
              <w:r>
                <w:rPr>
                  <w:rStyle w:val="InternetLink"/>
                  <w:rFonts w:ascii="Times New Roman;sans-serif" w:hAnsi="Times New Roman;sans-serif"/>
                  <w:b/>
                  <w:strike w:val="false"/>
                  <w:dstrike w:val="false"/>
                  <w:color w:val="000000"/>
                  <w:sz w:val="20"/>
                  <w:u w:val="none"/>
                  <w:effect w:val="none"/>
                </w:rPr>
                <w:t>Part I</w:t>
              </w:r>
            </w:hyperlink>
          </w:p>
        </w:tc>
        <w:tc>
          <w:tcPr>
            <w:tcW w:w="8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16">
              <w:r>
                <w:rPr>
                  <w:rStyle w:val="InternetLink"/>
                  <w:rFonts w:ascii="Times New Roman;sans-serif" w:hAnsi="Times New Roman;sans-serif"/>
                  <w:b w:val="false"/>
                  <w:strike w:val="false"/>
                  <w:dstrike w:val="false"/>
                  <w:color w:val="000000"/>
                  <w:sz w:val="20"/>
                  <w:u w:val="none"/>
                  <w:effect w:val="none"/>
                </w:rPr>
                <w:t>Item 1.</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16">
              <w:r>
                <w:rPr>
                  <w:rStyle w:val="InternetLink"/>
                  <w:rFonts w:ascii="Times New Roman;sans-serif" w:hAnsi="Times New Roman;sans-serif"/>
                  <w:b w:val="false"/>
                  <w:color w:val="0000FF"/>
                  <w:sz w:val="20"/>
                  <w:u w:val="single"/>
                </w:rPr>
                <w:t>Business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a473d16a0b248378eb2de2b08890873_16">
              <w:r>
                <w:rPr>
                  <w:rStyle w:val="InternetLink"/>
                  <w:rFonts w:ascii="Times New Roman;sans-serif" w:hAnsi="Times New Roman;sans-serif"/>
                  <w:b w:val="false"/>
                  <w:strike w:val="false"/>
                  <w:dstrike w:val="false"/>
                  <w:color w:val="000000"/>
                  <w:sz w:val="20"/>
                  <w:u w:val="none"/>
                  <w:effect w:val="none"/>
                </w:rPr>
                <w:t>4</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19">
              <w:r>
                <w:rPr>
                  <w:rStyle w:val="InternetLink"/>
                  <w:rFonts w:ascii="Times New Roman;sans-serif" w:hAnsi="Times New Roman;sans-serif"/>
                  <w:b w:val="false"/>
                  <w:strike w:val="false"/>
                  <w:dstrike w:val="false"/>
                  <w:color w:val="000000"/>
                  <w:sz w:val="20"/>
                  <w:u w:val="none"/>
                  <w:effect w:val="none"/>
                </w:rPr>
                <w:t>Item 1A.</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19">
              <w:r>
                <w:rPr>
                  <w:rStyle w:val="InternetLink"/>
                  <w:rFonts w:ascii="Times New Roman;sans-serif" w:hAnsi="Times New Roman;sans-serif"/>
                  <w:b w:val="false"/>
                  <w:color w:val="0000FF"/>
                  <w:sz w:val="20"/>
                  <w:u w:val="single"/>
                </w:rPr>
                <w:t>Risk Factors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a473d16a0b248378eb2de2b08890873_19">
              <w:r>
                <w:rPr>
                  <w:rStyle w:val="InternetLink"/>
                  <w:rFonts w:ascii="Times New Roman;sans-serif" w:hAnsi="Times New Roman;sans-serif"/>
                  <w:b w:val="false"/>
                  <w:strike w:val="false"/>
                  <w:dstrike w:val="false"/>
                  <w:color w:val="000000"/>
                  <w:sz w:val="20"/>
                  <w:u w:val="none"/>
                  <w:effect w:val="none"/>
                </w:rPr>
                <w:t>19</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22">
              <w:r>
                <w:rPr>
                  <w:rStyle w:val="InternetLink"/>
                  <w:rFonts w:ascii="Times New Roman;sans-serif" w:hAnsi="Times New Roman;sans-serif"/>
                  <w:b w:val="false"/>
                  <w:strike w:val="false"/>
                  <w:dstrike w:val="false"/>
                  <w:color w:val="000000"/>
                  <w:sz w:val="20"/>
                  <w:u w:val="none"/>
                  <w:effect w:val="none"/>
                </w:rPr>
                <w:t>Item 1B.</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22">
              <w:r>
                <w:rPr>
                  <w:rStyle w:val="InternetLink"/>
                  <w:rFonts w:ascii="Times New Roman;sans-serif" w:hAnsi="Times New Roman;sans-serif"/>
                  <w:b w:val="false"/>
                  <w:color w:val="0000FF"/>
                  <w:sz w:val="20"/>
                  <w:u w:val="single"/>
                </w:rPr>
                <w:t>Unresolved Staff Comments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a473d16a0b248378eb2de2b08890873_22">
              <w:r>
                <w:rPr>
                  <w:rStyle w:val="InternetLink"/>
                  <w:rFonts w:ascii="Times New Roman;sans-serif" w:hAnsi="Times New Roman;sans-serif"/>
                  <w:b w:val="false"/>
                  <w:strike w:val="false"/>
                  <w:dstrike w:val="false"/>
                  <w:color w:val="000000"/>
                  <w:sz w:val="20"/>
                  <w:u w:val="none"/>
                  <w:effect w:val="none"/>
                </w:rPr>
                <w:t>42</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691">
              <w:r>
                <w:rPr>
                  <w:rStyle w:val="InternetLink"/>
                  <w:rFonts w:ascii="Times New Roman;sans-serif" w:hAnsi="Times New Roman;sans-serif"/>
                  <w:b w:val="false"/>
                  <w:color w:val="000080"/>
                  <w:sz w:val="20"/>
                  <w:u w:val="single"/>
                </w:rPr>
                <w:t>C</w:t>
              </w:r>
            </w:hyperlink>
            <w:hyperlink w:anchor="i4a473d16a0b248378eb2de2b08890873_691">
              <w:r>
                <w:rPr>
                  <w:rStyle w:val="InternetLink"/>
                  <w:rFonts w:ascii="Times New Roman;sans-serif" w:hAnsi="Times New Roman;sans-serif"/>
                  <w:b w:val="false"/>
                  <w:color w:val="000080"/>
                  <w:sz w:val="20"/>
                  <w:u w:val="single"/>
                </w:rPr>
                <w:t>ybersecu</w:t>
              </w:r>
            </w:hyperlink>
            <w:hyperlink w:anchor="i4a473d16a0b248378eb2de2b08890873_691">
              <w:r>
                <w:rPr>
                  <w:rStyle w:val="InternetLink"/>
                  <w:rFonts w:ascii="Times New Roman;sans-serif" w:hAnsi="Times New Roman;sans-serif"/>
                  <w:b w:val="false"/>
                  <w:color w:val="000080"/>
                  <w:sz w:val="20"/>
                  <w:u w:val="single"/>
                </w:rPr>
                <w:t>rity</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a473d16a0b248378eb2de2b08890873_22">
              <w:r>
                <w:rPr>
                  <w:rStyle w:val="InternetLink"/>
                  <w:rFonts w:ascii="Times New Roman;sans-serif" w:hAnsi="Times New Roman;sans-serif"/>
                  <w:b w:val="false"/>
                  <w:strike w:val="false"/>
                  <w:dstrike w:val="false"/>
                  <w:color w:val="000000"/>
                  <w:sz w:val="20"/>
                  <w:u w:val="none"/>
                  <w:effect w:val="none"/>
                </w:rPr>
                <w:t>42</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25">
              <w:r>
                <w:rPr>
                  <w:rStyle w:val="InternetLink"/>
                  <w:rFonts w:ascii="Times New Roman;sans-serif" w:hAnsi="Times New Roman;sans-serif"/>
                  <w:b w:val="false"/>
                  <w:strike w:val="false"/>
                  <w:dstrike w:val="false"/>
                  <w:color w:val="000000"/>
                  <w:sz w:val="20"/>
                  <w:u w:val="none"/>
                  <w:effect w:val="none"/>
                </w:rPr>
                <w:t>Item 2.</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25">
              <w:r>
                <w:rPr>
                  <w:rStyle w:val="InternetLink"/>
                  <w:rFonts w:ascii="Times New Roman;sans-serif" w:hAnsi="Times New Roman;sans-serif"/>
                  <w:b w:val="false"/>
                  <w:color w:val="0000FF"/>
                  <w:sz w:val="20"/>
                  <w:u w:val="single"/>
                </w:rPr>
                <w:t>Properties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a473d16a0b248378eb2de2b08890873_25">
              <w:r>
                <w:rPr>
                  <w:rStyle w:val="InternetLink"/>
                  <w:rFonts w:ascii="Times New Roman;sans-serif" w:hAnsi="Times New Roman;sans-serif"/>
                  <w:b w:val="false"/>
                  <w:strike w:val="false"/>
                  <w:dstrike w:val="false"/>
                  <w:color w:val="000000"/>
                  <w:sz w:val="20"/>
                  <w:u w:val="none"/>
                  <w:effect w:val="none"/>
                </w:rPr>
                <w:t>44</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28">
              <w:r>
                <w:rPr>
                  <w:rStyle w:val="InternetLink"/>
                  <w:rFonts w:ascii="Times New Roman;sans-serif" w:hAnsi="Times New Roman;sans-serif"/>
                  <w:b w:val="false"/>
                  <w:strike w:val="false"/>
                  <w:dstrike w:val="false"/>
                  <w:color w:val="000000"/>
                  <w:sz w:val="20"/>
                  <w:u w:val="none"/>
                  <w:effect w:val="none"/>
                </w:rPr>
                <w:t>Item 3.</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28">
              <w:r>
                <w:rPr>
                  <w:rStyle w:val="InternetLink"/>
                  <w:rFonts w:ascii="Times New Roman;sans-serif" w:hAnsi="Times New Roman;sans-serif"/>
                  <w:b w:val="false"/>
                  <w:color w:val="0000FF"/>
                  <w:sz w:val="20"/>
                  <w:u w:val="single"/>
                </w:rPr>
                <w:t>Legal Proceedings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a473d16a0b248378eb2de2b08890873_28">
              <w:r>
                <w:rPr>
                  <w:rStyle w:val="InternetLink"/>
                  <w:rFonts w:ascii="Times New Roman;sans-serif" w:hAnsi="Times New Roman;sans-serif"/>
                  <w:b w:val="false"/>
                  <w:strike w:val="false"/>
                  <w:dstrike w:val="false"/>
                  <w:color w:val="000000"/>
                  <w:sz w:val="20"/>
                  <w:u w:val="none"/>
                  <w:effect w:val="none"/>
                </w:rPr>
                <w:t>44</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31">
              <w:r>
                <w:rPr>
                  <w:rStyle w:val="InternetLink"/>
                  <w:rFonts w:ascii="Times New Roman;sans-serif" w:hAnsi="Times New Roman;sans-serif"/>
                  <w:b w:val="false"/>
                  <w:strike w:val="false"/>
                  <w:dstrike w:val="false"/>
                  <w:color w:val="000000"/>
                  <w:sz w:val="20"/>
                  <w:u w:val="none"/>
                  <w:effect w:val="none"/>
                </w:rPr>
                <w:t>Item 4.</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31">
              <w:r>
                <w:rPr>
                  <w:rStyle w:val="InternetLink"/>
                  <w:rFonts w:ascii="Times New Roman;sans-serif" w:hAnsi="Times New Roman;sans-serif"/>
                  <w:b w:val="false"/>
                  <w:color w:val="0000FF"/>
                  <w:sz w:val="20"/>
                  <w:u w:val="single"/>
                </w:rPr>
                <w:t>Mine Safety Disclosures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a473d16a0b248378eb2de2b08890873_31">
              <w:r>
                <w:rPr>
                  <w:rStyle w:val="InternetLink"/>
                  <w:rFonts w:ascii="Times New Roman;sans-serif" w:hAnsi="Times New Roman;sans-serif"/>
                  <w:b w:val="false"/>
                  <w:strike w:val="false"/>
                  <w:dstrike w:val="false"/>
                  <w:color w:val="000000"/>
                  <w:sz w:val="20"/>
                  <w:u w:val="none"/>
                  <w:effect w:val="none"/>
                </w:rPr>
                <w:t>44</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34">
              <w:r>
                <w:rPr>
                  <w:rStyle w:val="InternetLink"/>
                  <w:rFonts w:ascii="Times New Roman;sans-serif" w:hAnsi="Times New Roman;sans-serif"/>
                  <w:b/>
                  <w:strike w:val="false"/>
                  <w:dstrike w:val="false"/>
                  <w:color w:val="000000"/>
                  <w:sz w:val="20"/>
                  <w:u w:val="none"/>
                  <w:effect w:val="none"/>
                </w:rPr>
                <w:t>Part II</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37">
              <w:r>
                <w:rPr>
                  <w:rStyle w:val="InternetLink"/>
                  <w:rFonts w:ascii="Times New Roman;sans-serif" w:hAnsi="Times New Roman;sans-serif"/>
                  <w:b w:val="false"/>
                  <w:strike w:val="false"/>
                  <w:dstrike w:val="false"/>
                  <w:color w:val="000000"/>
                  <w:sz w:val="20"/>
                  <w:u w:val="none"/>
                  <w:effect w:val="none"/>
                </w:rPr>
                <w:t>Item 5.</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37">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a473d16a0b248378eb2de2b08890873_37">
              <w:r>
                <w:rPr>
                  <w:rStyle w:val="InternetLink"/>
                  <w:rFonts w:ascii="Times New Roman;sans-serif" w:hAnsi="Times New Roman;sans-serif"/>
                  <w:b w:val="false"/>
                  <w:strike w:val="false"/>
                  <w:dstrike w:val="false"/>
                  <w:color w:val="000000"/>
                  <w:sz w:val="20"/>
                  <w:u w:val="none"/>
                  <w:effect w:val="none"/>
                </w:rPr>
                <w:t>45</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40">
              <w:r>
                <w:rPr>
                  <w:rStyle w:val="InternetLink"/>
                  <w:rFonts w:ascii="Times New Roman;sans-serif" w:hAnsi="Times New Roman;sans-serif"/>
                  <w:b w:val="false"/>
                  <w:strike w:val="false"/>
                  <w:dstrike w:val="false"/>
                  <w:color w:val="000000"/>
                  <w:sz w:val="20"/>
                  <w:u w:val="none"/>
                  <w:effect w:val="none"/>
                </w:rPr>
                <w:t>Item 6.</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40">
              <w:r>
                <w:rPr>
                  <w:rStyle w:val="InternetLink"/>
                  <w:rFonts w:ascii="Times New Roman;sans-serif" w:hAnsi="Times New Roman;sans-serif"/>
                  <w:b w:val="false"/>
                  <w:color w:val="0000FF"/>
                  <w:sz w:val="20"/>
                  <w:u w:val="single"/>
                </w:rPr>
                <w:t>[Reserved]</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a473d16a0b248378eb2de2b08890873_40">
              <w:r>
                <w:rPr>
                  <w:rStyle w:val="InternetLink"/>
                  <w:rFonts w:ascii="Times New Roman;sans-serif" w:hAnsi="Times New Roman;sans-serif"/>
                  <w:b w:val="false"/>
                  <w:strike w:val="false"/>
                  <w:dstrike w:val="false"/>
                  <w:color w:val="000000"/>
                  <w:sz w:val="20"/>
                  <w:u w:val="none"/>
                  <w:effect w:val="none"/>
                </w:rPr>
                <w:t>46</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43">
              <w:r>
                <w:rPr>
                  <w:rStyle w:val="InternetLink"/>
                  <w:rFonts w:ascii="Times New Roman;sans-serif" w:hAnsi="Times New Roman;sans-serif"/>
                  <w:b w:val="false"/>
                  <w:strike w:val="false"/>
                  <w:dstrike w:val="false"/>
                  <w:color w:val="000000"/>
                  <w:sz w:val="20"/>
                  <w:u w:val="none"/>
                  <w:effect w:val="none"/>
                </w:rPr>
                <w:t>Item 7.</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43">
              <w:r>
                <w:rPr>
                  <w:rStyle w:val="InternetLink"/>
                  <w:rFonts w:ascii="Times New Roman;sans-serif" w:hAnsi="Times New Roman;sans-serif"/>
                  <w:b w:val="false"/>
                  <w:color w:val="0000FF"/>
                  <w:sz w:val="20"/>
                  <w:u w:val="single"/>
                </w:rPr>
                <w:t>Management’s Discussion and Analysis of Financial Condition and Results of Operation</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a473d16a0b248378eb2de2b08890873_43">
              <w:r>
                <w:rPr>
                  <w:rStyle w:val="InternetLink"/>
                  <w:rFonts w:ascii="Times New Roman;sans-serif" w:hAnsi="Times New Roman;sans-serif"/>
                  <w:b w:val="false"/>
                  <w:strike w:val="false"/>
                  <w:dstrike w:val="false"/>
                  <w:color w:val="000000"/>
                  <w:sz w:val="20"/>
                  <w:u w:val="none"/>
                  <w:effect w:val="none"/>
                </w:rPr>
                <w:t>47</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67">
              <w:r>
                <w:rPr>
                  <w:rStyle w:val="InternetLink"/>
                  <w:rFonts w:ascii="Times New Roman;sans-serif" w:hAnsi="Times New Roman;sans-serif"/>
                  <w:b w:val="false"/>
                  <w:strike w:val="false"/>
                  <w:dstrike w:val="false"/>
                  <w:color w:val="000000"/>
                  <w:sz w:val="20"/>
                  <w:u w:val="none"/>
                  <w:effect w:val="none"/>
                </w:rPr>
                <w:t>Item 7A.</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67">
              <w:r>
                <w:rPr>
                  <w:rStyle w:val="InternetLink"/>
                  <w:rFonts w:ascii="Times New Roman;sans-serif" w:hAnsi="Times New Roman;sans-serif"/>
                  <w:b w:val="false"/>
                  <w:color w:val="0000FF"/>
                  <w:sz w:val="20"/>
                  <w:u w:val="single"/>
                </w:rPr>
                <w:t>Quantitative and Qualitative Disclosures About Market Risk</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a473d16a0b248378eb2de2b08890873_67">
              <w:r>
                <w:rPr>
                  <w:rStyle w:val="InternetLink"/>
                  <w:rFonts w:ascii="Times New Roman;sans-serif" w:hAnsi="Times New Roman;sans-serif"/>
                  <w:b w:val="false"/>
                  <w:strike w:val="false"/>
                  <w:dstrike w:val="false"/>
                  <w:color w:val="000000"/>
                  <w:sz w:val="20"/>
                  <w:u w:val="none"/>
                  <w:effect w:val="none"/>
                </w:rPr>
                <w:t>75</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70">
              <w:r>
                <w:rPr>
                  <w:rStyle w:val="InternetLink"/>
                  <w:rFonts w:ascii="Times New Roman;sans-serif" w:hAnsi="Times New Roman;sans-serif"/>
                  <w:b w:val="false"/>
                  <w:strike w:val="false"/>
                  <w:dstrike w:val="false"/>
                  <w:color w:val="000000"/>
                  <w:sz w:val="20"/>
                  <w:u w:val="none"/>
                  <w:effect w:val="none"/>
                </w:rPr>
                <w:t>Item 8.</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70">
              <w:r>
                <w:rPr>
                  <w:rStyle w:val="InternetLink"/>
                  <w:rFonts w:ascii="Times New Roman;sans-serif" w:hAnsi="Times New Roman;sans-serif"/>
                  <w:b w:val="false"/>
                  <w:color w:val="0000FF"/>
                  <w:sz w:val="20"/>
                  <w:u w:val="single"/>
                </w:rPr>
                <w:t>Financial Statements and Supplementary Data</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a473d16a0b248378eb2de2b08890873_70">
              <w:r>
                <w:rPr>
                  <w:rStyle w:val="InternetLink"/>
                  <w:rFonts w:ascii="Times New Roman;sans-serif" w:hAnsi="Times New Roman;sans-serif"/>
                  <w:b w:val="false"/>
                  <w:strike w:val="false"/>
                  <w:dstrike w:val="false"/>
                  <w:color w:val="000000"/>
                  <w:sz w:val="20"/>
                  <w:u w:val="none"/>
                  <w:effect w:val="none"/>
                </w:rPr>
                <w:t>76</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148">
              <w:r>
                <w:rPr>
                  <w:rStyle w:val="InternetLink"/>
                  <w:rFonts w:ascii="Times New Roman;sans-serif" w:hAnsi="Times New Roman;sans-serif"/>
                  <w:b w:val="false"/>
                  <w:strike w:val="false"/>
                  <w:dstrike w:val="false"/>
                  <w:color w:val="000000"/>
                  <w:sz w:val="20"/>
                  <w:u w:val="none"/>
                  <w:effect w:val="none"/>
                </w:rPr>
                <w:t>Item 9.</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148">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a473d16a0b248378eb2de2b08890873_148">
              <w:r>
                <w:rPr>
                  <w:rStyle w:val="InternetLink"/>
                  <w:rFonts w:ascii="Times New Roman;sans-serif" w:hAnsi="Times New Roman;sans-serif"/>
                  <w:b w:val="false"/>
                  <w:strike w:val="false"/>
                  <w:dstrike w:val="false"/>
                  <w:color w:val="000000"/>
                  <w:sz w:val="20"/>
                  <w:u w:val="none"/>
                  <w:effect w:val="none"/>
                </w:rPr>
                <w:t>120</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151">
              <w:r>
                <w:rPr>
                  <w:rStyle w:val="InternetLink"/>
                  <w:rFonts w:ascii="Times New Roman;sans-serif" w:hAnsi="Times New Roman;sans-serif"/>
                  <w:b w:val="false"/>
                  <w:strike w:val="false"/>
                  <w:dstrike w:val="false"/>
                  <w:color w:val="000000"/>
                  <w:sz w:val="20"/>
                  <w:u w:val="none"/>
                  <w:effect w:val="none"/>
                </w:rPr>
                <w:t>Item 9A.</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151">
              <w:r>
                <w:rPr>
                  <w:rStyle w:val="InternetLink"/>
                  <w:rFonts w:ascii="Times New Roman;sans-serif" w:hAnsi="Times New Roman;sans-serif"/>
                  <w:b w:val="false"/>
                  <w:color w:val="0000FF"/>
                  <w:sz w:val="20"/>
                  <w:u w:val="single"/>
                </w:rPr>
                <w:t>Controls and Procedures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a473d16a0b248378eb2de2b08890873_151">
              <w:r>
                <w:rPr>
                  <w:rStyle w:val="InternetLink"/>
                  <w:rFonts w:ascii="Times New Roman;sans-serif" w:hAnsi="Times New Roman;sans-serif"/>
                  <w:b w:val="false"/>
                  <w:strike w:val="false"/>
                  <w:dstrike w:val="false"/>
                  <w:color w:val="000000"/>
                  <w:sz w:val="20"/>
                  <w:u w:val="none"/>
                  <w:effect w:val="none"/>
                </w:rPr>
                <w:t>120</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154">
              <w:r>
                <w:rPr>
                  <w:rStyle w:val="InternetLink"/>
                  <w:rFonts w:ascii="Times New Roman;sans-serif" w:hAnsi="Times New Roman;sans-serif"/>
                  <w:b w:val="false"/>
                  <w:strike w:val="false"/>
                  <w:dstrike w:val="false"/>
                  <w:color w:val="000000"/>
                  <w:sz w:val="20"/>
                  <w:u w:val="none"/>
                  <w:effect w:val="none"/>
                </w:rPr>
                <w:t>Item 9B.</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154">
              <w:r>
                <w:rPr>
                  <w:rStyle w:val="InternetLink"/>
                  <w:rFonts w:ascii="Times New Roman;sans-serif" w:hAnsi="Times New Roman;sans-serif"/>
                  <w:b w:val="false"/>
                  <w:color w:val="0000FF"/>
                  <w:sz w:val="20"/>
                  <w:u w:val="single"/>
                </w:rPr>
                <w:t>Other Information</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a473d16a0b248378eb2de2b08890873_154">
              <w:r>
                <w:rPr>
                  <w:rStyle w:val="InternetLink"/>
                  <w:rFonts w:ascii="Times New Roman;sans-serif" w:hAnsi="Times New Roman;sans-serif"/>
                  <w:b w:val="false"/>
                  <w:strike w:val="false"/>
                  <w:dstrike w:val="false"/>
                  <w:color w:val="000000"/>
                  <w:sz w:val="20"/>
                  <w:u w:val="none"/>
                  <w:effect w:val="none"/>
                </w:rPr>
                <w:t>120</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160">
              <w:r>
                <w:rPr>
                  <w:rStyle w:val="InternetLink"/>
                  <w:rFonts w:ascii="Times New Roman;sans-serif" w:hAnsi="Times New Roman;sans-serif"/>
                  <w:b/>
                  <w:strike w:val="false"/>
                  <w:dstrike w:val="false"/>
                  <w:color w:val="000000"/>
                  <w:sz w:val="20"/>
                  <w:u w:val="none"/>
                  <w:effect w:val="none"/>
                </w:rPr>
                <w:t>Part III</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163">
              <w:r>
                <w:rPr>
                  <w:rStyle w:val="InternetLink"/>
                  <w:rFonts w:ascii="Times New Roman;sans-serif" w:hAnsi="Times New Roman;sans-serif"/>
                  <w:b w:val="false"/>
                  <w:strike w:val="false"/>
                  <w:dstrike w:val="false"/>
                  <w:color w:val="000000"/>
                  <w:sz w:val="20"/>
                  <w:u w:val="none"/>
                  <w:effect w:val="none"/>
                </w:rPr>
                <w:t>Item 10.</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163">
              <w:r>
                <w:rPr>
                  <w:rStyle w:val="InternetLink"/>
                  <w:rFonts w:ascii="Times New Roman;sans-serif" w:hAnsi="Times New Roman;sans-serif"/>
                  <w:b w:val="false"/>
                  <w:color w:val="0000FF"/>
                  <w:sz w:val="20"/>
                  <w:u w:val="single"/>
                </w:rPr>
                <w:t>Directors, Executive Officers and Corporate Governance</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a473d16a0b248378eb2de2b08890873_163">
              <w:r>
                <w:rPr>
                  <w:rStyle w:val="InternetLink"/>
                  <w:rFonts w:ascii="Times New Roman;sans-serif" w:hAnsi="Times New Roman;sans-serif"/>
                  <w:b w:val="false"/>
                  <w:strike w:val="false"/>
                  <w:dstrike w:val="false"/>
                  <w:color w:val="000000"/>
                  <w:sz w:val="20"/>
                  <w:u w:val="none"/>
                  <w:effect w:val="none"/>
                </w:rPr>
                <w:t>121</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166">
              <w:r>
                <w:rPr>
                  <w:rStyle w:val="InternetLink"/>
                  <w:rFonts w:ascii="Times New Roman;sans-serif" w:hAnsi="Times New Roman;sans-serif"/>
                  <w:b w:val="false"/>
                  <w:strike w:val="false"/>
                  <w:dstrike w:val="false"/>
                  <w:color w:val="000000"/>
                  <w:sz w:val="20"/>
                  <w:u w:val="none"/>
                  <w:effect w:val="none"/>
                </w:rPr>
                <w:t>Item 11.</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166">
              <w:r>
                <w:rPr>
                  <w:rStyle w:val="InternetLink"/>
                  <w:rFonts w:ascii="Times New Roman;sans-serif" w:hAnsi="Times New Roman;sans-serif"/>
                  <w:b w:val="false"/>
                  <w:color w:val="0000FF"/>
                  <w:sz w:val="20"/>
                  <w:u w:val="single"/>
                </w:rPr>
                <w:t>Executive Compensation</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a473d16a0b248378eb2de2b08890873_121">
              <w:r>
                <w:rPr>
                  <w:rStyle w:val="InternetLink"/>
                  <w:rFonts w:ascii="Times New Roman;sans-serif" w:hAnsi="Times New Roman;sans-serif"/>
                  <w:b w:val="false"/>
                  <w:strike w:val="false"/>
                  <w:dstrike w:val="false"/>
                  <w:color w:val="000000"/>
                  <w:sz w:val="20"/>
                  <w:u w:val="none"/>
                  <w:effect w:val="none"/>
                </w:rPr>
                <w:t>109</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169">
              <w:r>
                <w:rPr>
                  <w:rStyle w:val="InternetLink"/>
                  <w:rFonts w:ascii="Times New Roman;sans-serif" w:hAnsi="Times New Roman;sans-serif"/>
                  <w:b w:val="false"/>
                  <w:strike w:val="false"/>
                  <w:dstrike w:val="false"/>
                  <w:color w:val="000000"/>
                  <w:sz w:val="20"/>
                  <w:u w:val="none"/>
                  <w:effect w:val="none"/>
                </w:rPr>
                <w:t>Item 12.</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169">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a473d16a0b248378eb2de2b08890873_169">
              <w:r>
                <w:rPr>
                  <w:rStyle w:val="InternetLink"/>
                  <w:rFonts w:ascii="Times New Roman;sans-serif" w:hAnsi="Times New Roman;sans-serif"/>
                  <w:b w:val="false"/>
                  <w:strike w:val="false"/>
                  <w:dstrike w:val="false"/>
                  <w:color w:val="000000"/>
                  <w:sz w:val="20"/>
                  <w:u w:val="none"/>
                  <w:effect w:val="none"/>
                </w:rPr>
                <w:t>121</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172">
              <w:r>
                <w:rPr>
                  <w:rStyle w:val="InternetLink"/>
                  <w:rFonts w:ascii="Times New Roman;sans-serif" w:hAnsi="Times New Roman;sans-serif"/>
                  <w:b w:val="false"/>
                  <w:strike w:val="false"/>
                  <w:dstrike w:val="false"/>
                  <w:color w:val="000000"/>
                  <w:sz w:val="20"/>
                  <w:u w:val="none"/>
                  <w:effect w:val="none"/>
                </w:rPr>
                <w:t>Item 13.</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172">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a473d16a0b248378eb2de2b08890873_172">
              <w:r>
                <w:rPr>
                  <w:rStyle w:val="InternetLink"/>
                  <w:rFonts w:ascii="Times New Roman;sans-serif" w:hAnsi="Times New Roman;sans-serif"/>
                  <w:b w:val="false"/>
                  <w:strike w:val="false"/>
                  <w:dstrike w:val="false"/>
                  <w:color w:val="000000"/>
                  <w:sz w:val="20"/>
                  <w:u w:val="none"/>
                  <w:effect w:val="none"/>
                </w:rPr>
                <w:t>121</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175">
              <w:r>
                <w:rPr>
                  <w:rStyle w:val="InternetLink"/>
                  <w:rFonts w:ascii="Times New Roman;sans-serif" w:hAnsi="Times New Roman;sans-serif"/>
                  <w:b w:val="false"/>
                  <w:strike w:val="false"/>
                  <w:dstrike w:val="false"/>
                  <w:color w:val="000000"/>
                  <w:sz w:val="20"/>
                  <w:u w:val="none"/>
                  <w:effect w:val="none"/>
                </w:rPr>
                <w:t>Item 14.</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175">
              <w:r>
                <w:rPr>
                  <w:rStyle w:val="InternetLink"/>
                  <w:rFonts w:ascii="Times New Roman;sans-serif" w:hAnsi="Times New Roman;sans-serif"/>
                  <w:b w:val="false"/>
                  <w:color w:val="0000FF"/>
                  <w:sz w:val="20"/>
                  <w:u w:val="single"/>
                </w:rPr>
                <w:t>Principal Accounting Fees and Services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a473d16a0b248378eb2de2b08890873_175">
              <w:r>
                <w:rPr>
                  <w:rStyle w:val="InternetLink"/>
                  <w:rFonts w:ascii="Times New Roman;sans-serif" w:hAnsi="Times New Roman;sans-serif"/>
                  <w:b w:val="false"/>
                  <w:strike w:val="false"/>
                  <w:dstrike w:val="false"/>
                  <w:color w:val="000000"/>
                  <w:sz w:val="20"/>
                  <w:u w:val="none"/>
                  <w:effect w:val="none"/>
                </w:rPr>
                <w:t>121</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178">
              <w:r>
                <w:rPr>
                  <w:rStyle w:val="InternetLink"/>
                  <w:rFonts w:ascii="Times New Roman;sans-serif" w:hAnsi="Times New Roman;sans-serif"/>
                  <w:b/>
                  <w:strike w:val="false"/>
                  <w:dstrike w:val="false"/>
                  <w:color w:val="000000"/>
                  <w:sz w:val="20"/>
                  <w:u w:val="none"/>
                  <w:effect w:val="none"/>
                </w:rPr>
                <w:t>Part IV</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181">
              <w:r>
                <w:rPr>
                  <w:rStyle w:val="InternetLink"/>
                  <w:rFonts w:ascii="Times New Roman;sans-serif" w:hAnsi="Times New Roman;sans-serif"/>
                  <w:b w:val="false"/>
                  <w:strike w:val="false"/>
                  <w:dstrike w:val="false"/>
                  <w:color w:val="000000"/>
                  <w:sz w:val="20"/>
                  <w:u w:val="none"/>
                  <w:effect w:val="none"/>
                </w:rPr>
                <w:t>Item 15.</w:t>
              </w:r>
            </w:hyperlink>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181">
              <w:r>
                <w:rPr>
                  <w:rStyle w:val="InternetLink"/>
                  <w:rFonts w:ascii="Times New Roman;sans-serif" w:hAnsi="Times New Roman;sans-serif"/>
                  <w:b w:val="false"/>
                  <w:color w:val="0000FF"/>
                  <w:sz w:val="20"/>
                  <w:u w:val="single"/>
                </w:rPr>
                <w:t>Exhibits and Financial Statement Schedules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a473d16a0b248378eb2de2b08890873_181">
              <w:r>
                <w:rPr>
                  <w:rStyle w:val="InternetLink"/>
                  <w:rFonts w:ascii="Times New Roman;sans-serif" w:hAnsi="Times New Roman;sans-serif"/>
                  <w:b w:val="false"/>
                  <w:strike w:val="false"/>
                  <w:dstrike w:val="false"/>
                  <w:color w:val="000000"/>
                  <w:sz w:val="20"/>
                  <w:u w:val="none"/>
                  <w:effect w:val="none"/>
                </w:rPr>
                <w:t>122</w:t>
              </w:r>
            </w:hyperlink>
          </w:p>
        </w:tc>
      </w:tr>
      <w:tr>
        <w:trPr/>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184">
              <w:r>
                <w:rPr>
                  <w:rStyle w:val="InternetLink"/>
                  <w:rFonts w:ascii="Times New Roman;sans-serif" w:hAnsi="Times New Roman;sans-serif"/>
                  <w:b w:val="false"/>
                  <w:color w:val="0000FF"/>
                  <w:sz w:val="20"/>
                  <w:u w:val="single"/>
                </w:rPr>
                <w:t>Signatures</w:t>
              </w:r>
            </w:hyperlink>
          </w:p>
        </w:tc>
        <w:tc>
          <w:tcPr>
            <w:tcW w:w="46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a473d16a0b248378eb2de2b08890873_184">
              <w:r>
                <w:rPr>
                  <w:rStyle w:val="InternetLink"/>
                  <w:rFonts w:ascii="Times New Roman;sans-serif" w:hAnsi="Times New Roman;sans-serif"/>
                  <w:b w:val="false"/>
                  <w:strike w:val="false"/>
                  <w:dstrike w:val="false"/>
                  <w:color w:val="000000"/>
                  <w:sz w:val="20"/>
                  <w:u w:val="none"/>
                  <w:effect w:val="none"/>
                </w:rPr>
                <w:t>125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43840"/>
                <wp:effectExtent l="0" t="0" r="0" b="0"/>
                <wp:wrapNone/>
                <wp:docPr id="2" name="Frame2"/>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CAUTIONARY NOTE REGARDING FORWARD-LOOKING STATEMENTS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This Annual Report on Form 10-K (this “Report”) contains forward-looking statements made pursuant to the safe harbor provisions of the Private Securities Litigation Reform Act of 1995. These forward-looking statements reflect the Company’s current views with respect to, among other things, future events and its financial performance. These statements are often, but not always, made through the use of words or phrases such as “may,” “might,” “should,” “could,” “predict,” “potential,” “believe,” “will likely result,” “expect,” “continue,” “will,” “anticipate,” “seek,” “estimate,” “intend,” “plan,” “project,” “projection,” “forecast,” “budget,” “goal,” “target,” “would,” “aim” and “outlook,” or the negative version of those words or other comparable words or phrases of a future or forward-looking nature. These forward-looking statements are not historical facts, and are based on current expectations, estimates and projections about our industry and management’s beliefs and certain assumptions made by management, many of which, by their nature, are inherently uncertain and beyond our control. The inclusion of these forward-looking statements should not be regarded as a representation by us or any other person that such expectations, estimates and projections will be achieved.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factors, among others, could cause our financial performance to differ materially from that expressed in such forward-looking statements, including, but not limited to, the following:</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the success of the financial technology industry, as well as the continued evolution of the regulation of this industry;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the ability of our Strategic Program or Fintech Banking Solutions service providers to comply with regulatory regimes, and our ability to adequately oversee and monitor our Strategic Program and Fintech Banking Solutions service providers;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our ability to maintain and grow our relationships with our service providers;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changes in the laws, rules, regulations, interpretations or policies relating to financial institutions, accounting, tax, trade, monetary and fiscal matters, including the application of interest rate caps or maximums;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our ability to keep pace with rapid technological changes in the industry or implement new technology effectively;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system failure or cybersecurity breaches of our network security;</w:t>
      </w:r>
    </w:p>
    <w:p>
      <w:pPr>
        <w:pStyle w:val="TextBody"/>
        <w:bidi w:val="0"/>
        <w:spacing w:lineRule="auto" w:line="288" w:before="20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potential exposure to fraud, negligence, computer theft and cyber-crime and other disruptions in our computer systems relating to our development and use of new technology platforms;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our reliance on third-party service providers for core systems support, informational website hosting, internet services, online account opening and other processing services;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general economic and business conditions, either nationally or in our market areas;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increased national or regional competition in the financial services industry;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our ability to measure and manage our credit risk effectively and the potential deterioration of the business and economic conditions in our primary market areas;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the adequacy of our risk management framework;</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the adequacy of our allowance for credit losses (“ACL”);</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the financial soundness of other financial institutions;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new lines of business or new products and services;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changes in Small Business Administration (“SBA”) rules, regulations and loan products, including specifically the Section 7(a) program or changes to the status of the Bank as an SBA Preferred Lender;</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the value of collateral securing our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43840"/>
                <wp:effectExtent l="0" t="0" r="0" b="0"/>
                <wp:wrapNone/>
                <wp:docPr id="3" name="Frame3"/>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our levels of nonperforming assets;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losses from loan defaults;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our ability to protect our intellectual property and the risks we face with respect to claims and litigation initiated against us;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our ability to implement our growth strategy;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our ability to continue to launch new products or services successfully;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the concentration of our lending and depositor relationships through Strategic Programs in the financial technology industry generally;</w:t>
      </w:r>
    </w:p>
    <w:p>
      <w:pPr>
        <w:pStyle w:val="TextBody"/>
        <w:bidi w:val="0"/>
        <w:spacing w:lineRule="auto" w:line="288" w:before="20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interest-rate and liquidity risks: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the effectiveness of our internal control over financial reporting and our ability to remediate any future material weakness in our internal control over financial reporting;</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dependence on our management team and changes in management composition;</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the sufficiency of our capital;</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compliance with laws and regulations, supervisory actions, the Dodd-Frank Act, capital requirements, the Bank Secrecy Act and other anti-money laundering laws, predatory lending laws, and other statutes and regulations;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results of examinations of us by our regulators;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our involvement from time to time in legal proceedings;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natural disasters and adverse weather, acts of terrorism, pandemics, an outbreak of hostilities or other international or domestic calamities, and other matters beyond our control;</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 xml:space="preserve">future equity and debt issuances; </w:t>
      </w:r>
    </w:p>
    <w:p>
      <w:pPr>
        <w:pStyle w:val="TextBody"/>
        <w:bidi w:val="0"/>
        <w:spacing w:lineRule="auto" w:line="288" w:before="20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that the anticipated benefits new lines of business that we may enter or investments or acquisitions we may make are not realized within the expected time frame or at all as a result of such things as the strength or weakness of the economy and competitive factors in the areas where the Company and such other businesses operate; and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other factors that are discussed in the section entitled “Risk Factors,” beginning on page 19.</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foregoing factors should not be construed as exhaustive and should be read together with the other cautionary statements included in this Report, including those discussed in the section entitled “Risk Factors.” If one or more events related to these or other risks or uncertainties materialize, or if our underlying assumptions prove to be incorrect, actual results may differ materially from our forward-looking statements. Accordingly, you should not place undue reliance on any such forward-looking statements. Any forward-looking statement speaks only as of the date of this Report, and we do not undertake any obligation to publicly update or review any forward-looking statement, whether because of new information, future developments or otherwise, except as required by law. New risks and uncertainties may emerge from time to time, and it is not possible for us to predict their occurrence. In addition, we cannot assess the impact of each risk and uncertainty on our business or the extent to which any risk or uncertainty, or combination of risks and uncertainties, may cause actual results to differ materially from those contained in any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both"/>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this Report, unless we state otherwise or the context otherwise requires, references to “we,” “our,” “us,” “the Company” and “FinWise Bancorp” refer to FinWise Bancorp and its wholly owned subsidiaries, FinWise Bank (which we sometimes refer to as “FinWise Bank,” “FinWise,” “the Bank” or “our Bank,”) and FinWise Investments, LLC. References to “common stock” refer to our voting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43840"/>
                <wp:effectExtent l="0" t="0" r="0" b="0"/>
                <wp:wrapNone/>
                <wp:docPr id="4" name="Frame4"/>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Overview</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FinWise Bancorp, a Utah bank holding company headquartered in Murray, Utah. We operate through our wholly-owned subsidiary, FinWise Bank, a Utah state-chartered bank. We currently operate one full-service banking location in Sandy, Utah. We are a nationwide lender to consumers and small businesses. We believe that traditional barriers to servicing banking customers have been substantially lowered due to technological advances in the distribution and management of banking products and services. We seek to capitalize on these advances by leveraging strategic relationships, as well as proprietary loan origination systems and data analytics technology, to expand our reach in marketing channels utilized and credit products offered. As a technology-focused bank, we have utilized technology-oriented loan origination platforms in our Strategic Programs, SBA lending, Residential &amp; Owner Occupied Commercial Real Estate, and Equipment Financing business lines. We have also deployed our own in-house technology to deliver loan and deposit solutions to our customers directly and through third parties.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was formed in 2002 and acquired 100% of the stock of Utah Community Bank, a local community bank founded in 1999 focusing on real estate lending in and around the Salt Lake City, Utah MSA. While the Bank is our primary asset we also have a 20% membership interest in BFG, a Connecticut limited liability company, a nationally significant referral source for SBA loans and a legal lending facilitator. As described below, we have a right of first refusal to purchase additional interests in BFG from any selling member along with an option to purchase all of the interests from the remaining members through January 1, 2028. See “Our Relationship with Business Funding Group.”</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originate, sell or hold loans in four main lending areas: (i) nationwide Strategic Programs, (ii) a multi-state SBA 7(a) lending program, (iii) residential and owner occupied commercial real estate lending, and (iv) multi-state equipment financing. We have principally relied on core deposits, including Institutional Deposits, to fund our lending activities but also have used brokered deposits, Health Savings Account (HSA) sourced through a third party, and borrowings when we deem appropriate. </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FinWise Bancorp serves as a registered bank holding company with respect to the Bank, subject to regulation and examination by the Utah Department of Financial Institutions (“UDFI”) and the Federal Reserve Board. FinWise Bancorp currently does not engage in any material business activity other than those relating to owning all of the capital stock of FinWise Bank.</w:t>
      </w: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Our Relationship with Business Funding Group</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BFG is a nationally significant referral source of small business loans. Included in these loans are SBA loans to be funded by financial institutions and other SBA lenders. BFG works alongside a network of over 50 banks to refer business loans to small, independent businesses across various industries. Our relationship with BFG is an important component of our diversification strategy. Since the launch of our SBA lending program in 2014, BFG has been the primary source of SBA loan referrals for the Bank. In consideration of marketing and referral services provided to the Bank, BFG receives a fee for SBA loans referred to the Bank that are closed and funded by the Bank. The fees on each SBA loan referred to the Bank by BFG are determined on a loan-by-loan basis and based on the amount and terms of the principal SBA loan. The methodology for determining such fees has been substantially consistent since 2019. Such fees are disclosed on SBA Form 159 and filed with SBA for each funded loan.</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Between March 2018 and July 2018, in exchange for cash proceeds, we sold 1,476,090 shares representing approximately 23.4% of our issued and outstanding common stock at the time of such sale to four individuals associated with BFG and one individual not associated with BFG pursuant to change in control applications filed with the Federal Reserve Bank and UDFI. The Federal Reserve Bank determined that these five individuals were acting in concert, but that the shares purchased by the five individuals were not attributable to BFG for purposes of the Bank Holding Company Act of 1956, as amended.</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December of 2019, we acquired directly from four of the five individuals who acquired our shares in 2018, a 10% ownership interest in BFG in exchange for 950,784 newly issued shares of our common stock, representing 10.9% of the Company’s outstanding common stock at the time of purchase. The UDFI approved the acquisition of the additional shares of our common stock in the exchange by the four individuals and the Federal Reserve Bank did not object, provided that no individual owns more than 9.9% of our issued and outstanding common stock (as calculated in accordance with the rules and regulations of the Federal Reserve Bank).</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To strengthen our relationship with BFG, we negotiated a right of first refusal and an option to acquire 100% of BFG. Subject to the terms of that certain Right of First Refusal and Option Agreement, dated as of March 31, 2020, we were granted an option to acquire all of the ownership interests in BFG at any time from January 1, 2021, to January 1, 2028,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43840"/>
                <wp:effectExtent l="0" t="0" r="0" b="0"/>
                <wp:wrapNone/>
                <wp:docPr id="5" name="Frame5"/>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 earnings multiple of 10 to 15 times BFG’s net profit based on the fiscal year ended immediately prior to the exercise of the option. In addition, we have a right of first refusal, prior to our exercise of our option, to acquire any ownership interests that any individual owner of BFG wishes to sell. As consideration for the right of first refusal and option, we issued warrants to each BFG member (other than the Company) with the right to acquire shares of our common stock on a pro rata basis according to each such person’s percentage ownership in BFG, not exceeding an aggregate of 270,000 shares, at an exercise price of $6.67 per share. Unless otherwise exercised, the warrants will expire on March 31, 2028. Other than the Right of First Refusal and Option Agreement and the Standstill Agreement, there are no other agreements between us and BFG or among our respective shareholders.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July 25, 2023, the Company entered into a Membership Purchase Agreement, as amended (the "Purchase Agreement") with BFG and four members of BFG ("Sellers"). Pursuant to the Purchase Agreement, the Company acquired an additional 10% non-voting ownership interest in BFG (the "Transaction"). On February 5, 2024, the Transaction was consummated and the Company issued in the aggregate 339,176 shares of Common Stock of the Company, par value $0.001 per share, in a private placement to the Sellers in exchange for their 10% aggregate non-voting ownership interest in BFG When combined with the Company’s existing 5.3% non-voting ownership interest and 4.7% voting ownership interest in BFG, the Company has a 20% ownership interest in BFG comprising a 4.7% voting ownership and a 15.3% nonvoting ownership interest.</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BFG is not an affiliate of the Bank as defined under the Federal Reserve Act and Regulation W promulgated thereunder. Accordingly, we are not subject to restrictions imposed by Regulation W with respect to transactions with BFG, and we are not aware of any other regulatory restrictions on the business relationship between the Bank and BFG.</w:t>
      </w: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Lending Activities</w:t>
      </w:r>
    </w:p>
    <w:p>
      <w:pPr>
        <w:pStyle w:val="TextBody"/>
        <w:bidi w:val="0"/>
        <w:spacing w:lineRule="auto" w:line="288" w:before="200" w:after="283"/>
        <w:jc w:val="both"/>
        <w:rPr/>
      </w:pPr>
      <w:r>
        <w:rPr>
          <w:rFonts w:ascii="Times New Roman;sans-serif" w:hAnsi="Times New Roman;sans-serif"/>
          <w:b w:val="false"/>
          <w:i/>
          <w:color w:val="000000"/>
          <w:sz w:val="20"/>
          <w:shd w:fill="FFFFFF" w:val="clear"/>
        </w:rPr>
        <w:t>Overview</w:t>
      </w:r>
      <w:r>
        <w:rPr>
          <w:rFonts w:ascii="Times New Roman;sans-serif" w:hAnsi="Times New Roman;sans-serif"/>
          <w:b w:val="false"/>
          <w:color w:val="000000"/>
          <w:sz w:val="20"/>
          <w:shd w:fill="FFFFFF" w:val="clear"/>
        </w:rPr>
        <w:t>. We maintain a diversified loan portfolio in terms of the types of loan products it contains and customer characteristics, with a focus on individual consumers and small businesses.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the composition of our loan held for investment portfolio by lending program, as of December 31, 2023:</w:t>
      </w:r>
    </w:p>
    <w:tbl>
      <w:tblPr>
        <w:tblW w:w="5264" w:type="dxa"/>
        <w:jc w:val="left"/>
        <w:tblInd w:w="0" w:type="dxa"/>
        <w:tblLayout w:type="fixed"/>
        <w:tblCellMar>
          <w:top w:w="28" w:type="dxa"/>
          <w:left w:w="28" w:type="dxa"/>
          <w:bottom w:w="28" w:type="dxa"/>
          <w:right w:w="28" w:type="dxa"/>
        </w:tblCellMar>
      </w:tblPr>
      <w:tblGrid>
        <w:gridCol w:w="864"/>
        <w:gridCol w:w="759"/>
        <w:gridCol w:w="762"/>
        <w:gridCol w:w="211"/>
        <w:gridCol w:w="826"/>
        <w:gridCol w:w="109"/>
        <w:gridCol w:w="109"/>
        <w:gridCol w:w="109"/>
        <w:gridCol w:w="109"/>
        <w:gridCol w:w="327"/>
        <w:gridCol w:w="289"/>
        <w:gridCol w:w="790"/>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of Loans in</w:t>
              <w:br/>
              <w:t>Category of</w:t>
              <w:br/>
              <w:t xml:space="preserve">Total Loans </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Note: SBA loans in the table above include $131.7 million of SBA 7(a) loan balances that are guaranteed by the SBA. </w:t>
      </w:r>
    </w:p>
    <w:p>
      <w:pPr>
        <w:pStyle w:val="TextBody"/>
        <w:bidi w:val="0"/>
        <w:spacing w:lineRule="auto" w:line="288" w:before="200" w:after="283"/>
        <w:jc w:val="both"/>
        <w:rPr/>
      </w:pPr>
      <w:r>
        <w:rPr>
          <w:rFonts w:ascii="Times New Roman;sans-serif" w:hAnsi="Times New Roman;sans-serif"/>
          <w:b w:val="false"/>
          <w:i/>
          <w:color w:val="000000"/>
          <w:sz w:val="20"/>
          <w:shd w:fill="FFFFFF" w:val="clear"/>
        </w:rPr>
        <w:t>SBA 7(a) Loans.</w:t>
      </w:r>
      <w:r>
        <w:rPr>
          <w:color w:val="000000"/>
          <w:shd w:fill="FFFFFF" w:val="clear"/>
        </w:rPr>
        <w:t xml:space="preserve"> </w:t>
      </w:r>
      <w:r>
        <w:rPr>
          <w:rFonts w:ascii="Times New Roman;sans-serif" w:hAnsi="Times New Roman;sans-serif"/>
          <w:b w:val="false"/>
          <w:color w:val="000000"/>
          <w:sz w:val="20"/>
          <w:shd w:fill="FFFFFF" w:val="clear"/>
        </w:rPr>
        <w:t>Since 2014, we have utilized relationships with third parties (primarily BFG) to originate loans partially guaranteed by the SBA, to small businesses and professionals. Once originated, we will either retain the loans or sell the SBA-guaranteed portion (generally 75% of the principal balance) of the loans we originate at a premium in the secondary market while retaining all servicing rights and the unguaranteed portion. Loan terms generally range from 120 to 300 months and interest rates generally range from the prime rate plus 200 basis points to the prime rate plus 275 basis points, as adjusted quarterly. During the year ended December 31, 2023, we originated approximately $122.9 million in SBA 7(a) loans and held approximately $239.9 million of SBA 7(a) loans on our balance sheet as of December 31, 2023 of which $131.7 million was guaranteed by the SBA and $108.2 million was unguaranteed. As of December 31, 2023, our loan portfolio is comprised of 29.1% in unguaranteed portions of SBA 7(a) loans and 35.4% in guaranteed portions of SBA 7(a)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43840"/>
                <wp:effectExtent l="0" t="0" r="0" b="0"/>
                <wp:wrapNone/>
                <wp:docPr id="6" name="Frame6"/>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SBA’s 7(a) program provides 75%, 85% and 90% guarantees for eligible SBA 7(a) loans. The maximum 7(a) loan amount is $5 million. The guaranty is conditional and covers a portion of the risk of payment default by the borrower, but not the risk of improper closing and servicing by the lender.</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existing SBA 7(a) lending program is supported by referrals from BFG and others. BFG refers SBA loan applicants to the Bank for review and consideration. Only the Bank in its sole capacity has the authority to approve SBA loan applications. In all circumstances, the Bank has the right to decline an SBA loan referred by BFG that is deemed not to meet its credit standards. The Bank in its sole capacity has the discretion to determine whether to sell or retain the guaranteed portion of any or all SBA loans it funds. Fees are not paid based on the secondary market premium received or the amount sold.</w:t>
      </w:r>
    </w:p>
    <w:p>
      <w:pPr>
        <w:pStyle w:val="TextBody"/>
        <w:bidi w:val="0"/>
        <w:spacing w:lineRule="auto" w:line="288" w:before="200" w:after="283"/>
        <w:jc w:val="both"/>
        <w:rPr/>
      </w:pPr>
      <w:r>
        <w:rPr>
          <w:rFonts w:ascii="Times New Roman;sans-serif" w:hAnsi="Times New Roman;sans-serif"/>
          <w:b w:val="false"/>
          <w:i/>
          <w:color w:val="000000"/>
          <w:sz w:val="20"/>
          <w:shd w:fill="FFFFFF" w:val="clear"/>
        </w:rPr>
        <w:t>Strategic Programs</w:t>
      </w:r>
      <w:r>
        <w:rPr>
          <w:rFonts w:ascii="Times New Roman;sans-serif" w:hAnsi="Times New Roman;sans-serif"/>
          <w:b w:val="false"/>
          <w:color w:val="000000"/>
          <w:sz w:val="20"/>
          <w:shd w:fill="FFFFFF" w:val="clear"/>
        </w:rPr>
        <w:t>. We have established Strategic Programs with various third-party consumer and commercial loan origination platforms that use technology to streamline the origination of consumer and small commercial loans. We currently have twelve Strategic Program relationships. The terms of our Strategic Programs generally require each Strategic Program platform to establish a reserve deposit account with the Bank or another financial institution, intended to protect the Bank in the event a purchaser of loan receivables originated through our Strategic Programs cannot meet its contractual obligation to purchase. This amount is usually set at a 1:1 ratio but may be restructured in certain circumstances as the relationship seasons or if the Strategic Program platform is an established company. Collateral may include deposits held at the Bank, at another institution where the Bank has control of the account or a combination of deposits and other vehicles such as letters of credit. Our Strategic Programs also cover a wide range of borrower credit profiles, loan terms and interest rates. Loan terms range from 1 month to 72 months. Interest rates currently range from 8% to 160%. During the year ended December 31, 2023, we originated approximately $4.1 billion in Strategic Program loans and had approximately $19.4 million in Strategic Program loans held for investment on our balance sheet at December 31, 2023. Business checking and money market demand accounts associated with Strategic Program relationships held balances of approximately $68.1 million (including $29.8 million held as collateral) as of December 31, 2023. As of December 31, 2023, our Strategic Program held-for-investment loans comprised of 5.2% of the Bank’s loan portfolio.</w:t>
      </w:r>
    </w:p>
    <w:p>
      <w:pPr>
        <w:pStyle w:val="TextBody"/>
        <w:bidi w:val="0"/>
        <w:spacing w:lineRule="auto" w:line="288" w:before="200" w:after="283"/>
        <w:jc w:val="both"/>
        <w:rPr/>
      </w:pPr>
      <w:r>
        <w:rPr>
          <w:rFonts w:ascii="Times New Roman;sans-serif" w:hAnsi="Times New Roman;sans-serif"/>
          <w:b w:val="false"/>
          <w:i/>
          <w:color w:val="000000"/>
          <w:sz w:val="20"/>
          <w:shd w:fill="FFFFFF" w:val="clear"/>
        </w:rPr>
        <w:t>Residential and Commercial Real Estate Loans</w:t>
      </w:r>
      <w:r>
        <w:rPr>
          <w:rFonts w:ascii="Times New Roman;sans-serif" w:hAnsi="Times New Roman;sans-serif"/>
          <w:b w:val="false"/>
          <w:color w:val="000000"/>
          <w:sz w:val="20"/>
          <w:shd w:fill="FFFFFF" w:val="clear"/>
        </w:rPr>
        <w:t>. We operate a single branch location in Sandy, Utah. From this branch, we offer commercial and consumer banking services throughout the greater Salt Lake City, Utah MSA. These products are delivered using a high-touch service, relationship banking approach. The majority of the lending product consists of residential non-speculative construction loans which generate both non-interest income and interest income. Construction loan terms generally range from 9 to 12 months and interest rates currently range from the prime rate to the prime rate plus 200 basis points. All the loans generated through this branch are held on our balance sheet. As of December 31, 2023, our branch-based banking operations consisted of approximately $68.9 million in loans (including approximately $60.9 million of residential and commercial real estate loans).</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Primarily, our loans secured by real estate are made to established builders to construct residential properties, loans to developers of commercial real estate investment properties and residential developments and loans to individual consumers for construction of single-family homes in our market areas. Our commercial real estate loans primarily include owner-occupied and investment real estate deeds of trust. We also make loans for the acquisition of undeveloped land. As of December 31, 2023, our residential real estate loans comprised 10.2% of the Bank’s loans held for investment portfolio, and our commercial real estate loans comprised 6.1% of the Bank’s loans held for investment portfolio. The majority of our commercial real estate loans are owner occupied commercial real estate loans which comprise </w:t>
      </w:r>
      <w:r>
        <w:rPr>
          <w:rFonts w:ascii="Times New Roman;sans-serif" w:hAnsi="Times New Roman;sans-serif"/>
          <w:b w:val="false"/>
          <w:color w:val="000000"/>
          <w:sz w:val="20"/>
        </w:rPr>
        <w:t>5.6%</w:t>
      </w:r>
      <w:r>
        <w:rPr>
          <w:color w:val="000000"/>
          <w:shd w:fill="FFFFFF" w:val="clear"/>
        </w:rPr>
        <w:t xml:space="preserve"> </w:t>
      </w:r>
      <w:r>
        <w:rPr>
          <w:rFonts w:ascii="Times New Roman;sans-serif" w:hAnsi="Times New Roman;sans-serif"/>
          <w:b w:val="false"/>
          <w:color w:val="000000"/>
          <w:sz w:val="20"/>
          <w:shd w:fill="FFFFFF" w:val="clear"/>
        </w:rPr>
        <w:t>of the Bank's loans held for investment portfolio. Construction loans are typically disbursed as construction progresses and carry variable interest rates. Our construction and development loans typically have terms that range from six months to nine months but may be extended depending on factors such as the type and size of the development and the financial strength of the borrower/guarantor. Loans are typically structured with an interest only construction period and mature at the completion of construction.</w:t>
      </w:r>
    </w:p>
    <w:p>
      <w:pPr>
        <w:pStyle w:val="TextBody"/>
        <w:bidi w:val="0"/>
        <w:spacing w:lineRule="auto" w:line="288" w:before="200" w:after="283"/>
        <w:jc w:val="both"/>
        <w:rPr/>
      </w:pPr>
      <w:r>
        <w:rPr>
          <w:rFonts w:ascii="Times New Roman;sans-serif" w:hAnsi="Times New Roman;sans-serif"/>
          <w:b w:val="false"/>
          <w:i/>
          <w:color w:val="000000"/>
          <w:sz w:val="20"/>
          <w:shd w:fill="FFFFFF" w:val="clear"/>
        </w:rPr>
        <w:t>Commercial Leases</w:t>
      </w:r>
      <w:r>
        <w:rPr>
          <w:rFonts w:ascii="Times New Roman;sans-serif" w:hAnsi="Times New Roman;sans-serif"/>
          <w:b w:val="false"/>
          <w:color w:val="000000"/>
          <w:sz w:val="20"/>
          <w:shd w:fill="FFFFFF" w:val="clear"/>
        </w:rPr>
        <w:t xml:space="preserve">. Underwriting is generally based on commercial credit metrics where the primary repayment source is borrower cash flow, secondary is personal guarantor cash flow (when applicable) and tertiary is the sale of collateral pledged. These leases are generally secured by liens on business assets. Historically, we have retained these leases on our balance sheet for investment. As of December 31, 2023, our commercial leases comprised </w:t>
      </w:r>
      <w:r>
        <w:rPr>
          <w:rFonts w:ascii="Times New Roman;sans-serif" w:hAnsi="Times New Roman;sans-serif"/>
          <w:b w:val="false"/>
          <w:color w:val="000000"/>
          <w:sz w:val="20"/>
        </w:rPr>
        <w:t>10.2%</w:t>
      </w:r>
      <w:r>
        <w:rPr>
          <w:color w:val="000000"/>
          <w:shd w:fill="FFFFFF" w:val="clear"/>
        </w:rPr>
        <w:t xml:space="preserve"> </w:t>
      </w:r>
      <w:r>
        <w:rPr>
          <w:rFonts w:ascii="Times New Roman;sans-serif" w:hAnsi="Times New Roman;sans-serif"/>
          <w:b w:val="false"/>
          <w:color w:val="000000"/>
          <w:sz w:val="20"/>
          <w:shd w:fill="FFFFFF" w:val="clear"/>
        </w:rPr>
        <w:t>of the Bank’s loans held for investment portfolio.</w:t>
      </w:r>
    </w:p>
    <w:p>
      <w:pPr>
        <w:pStyle w:val="TextBody"/>
        <w:bidi w:val="0"/>
        <w:spacing w:lineRule="auto" w:line="288" w:before="200" w:after="283"/>
        <w:jc w:val="both"/>
        <w:rPr/>
      </w:pPr>
      <w:r>
        <w:rPr>
          <w:rFonts w:ascii="Times New Roman;sans-serif" w:hAnsi="Times New Roman;sans-serif"/>
          <w:b w:val="false"/>
          <w:i/>
          <w:color w:val="000000"/>
          <w:sz w:val="20"/>
          <w:shd w:fill="FFFFFF" w:val="clear"/>
        </w:rPr>
        <w:t>Commercial Non-Real Estate Loans</w:t>
      </w:r>
      <w:r>
        <w:rPr>
          <w:rFonts w:ascii="Times New Roman;sans-serif" w:hAnsi="Times New Roman;sans-serif"/>
          <w:b w:val="false"/>
          <w:color w:val="000000"/>
          <w:sz w:val="20"/>
          <w:shd w:fill="FFFFFF" w:val="clear"/>
        </w:rPr>
        <w:t xml:space="preserve">. Commercial non-real estate includes loans made to commercial enterprises that are not secured by real estate. Any loan, line of credit, or letter of credit (including any unfunded commitments), and any interest the Bank obtains in such loans made by another lender, to individuals, sole proprietorships, partnerships, corporations, or other business enterprises for commercial, industrial, agricultural, or professional purposes, but not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43840"/>
                <wp:effectExtent l="0" t="0" r="0" b="0"/>
                <wp:wrapNone/>
                <wp:docPr id="7" name="Frame7"/>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personal expenditure purposes are included in this category. Underwriting is generally based on commercial credit metrics where the primary repayment source is borrower cash flow, secondary is personal guarantor cash flow (when applicable) and tertiary is the sale of collateral pledged. These loans are generally secured by liens on business assets. Historically, we have retained these loans on our balance sheet for investment. As of December 31, 2023, our commercial non-real estate loans comprised 0.7% of the Bank’s loans held for investment portfolio.</w:t>
      </w:r>
    </w:p>
    <w:p>
      <w:pPr>
        <w:pStyle w:val="TextBody"/>
        <w:bidi w:val="0"/>
        <w:spacing w:lineRule="auto" w:line="288" w:before="200" w:after="283"/>
        <w:jc w:val="both"/>
        <w:rPr/>
      </w:pPr>
      <w:r>
        <w:rPr>
          <w:rFonts w:ascii="Times New Roman;sans-serif" w:hAnsi="Times New Roman;sans-serif"/>
          <w:b w:val="false"/>
          <w:i/>
          <w:color w:val="000000"/>
          <w:sz w:val="20"/>
          <w:shd w:fill="FFFFFF" w:val="clear"/>
        </w:rPr>
        <w:t>Consumer Loans</w:t>
      </w:r>
      <w:r>
        <w:rPr>
          <w:rFonts w:ascii="Times New Roman;sans-serif" w:hAnsi="Times New Roman;sans-serif"/>
          <w:b w:val="false"/>
          <w:color w:val="000000"/>
          <w:sz w:val="20"/>
          <w:shd w:fill="FFFFFF" w:val="clear"/>
        </w:rPr>
        <w:t>. Consumer loans consist primarily of loans originated through our Point of Sale ("POS") program. Since 2011, the Bank has offered collateralized and uncollateralized loans without prepayment penalties to finance the purchase of retail goods and services. Loan applications are submitted at the point-of-sale through an online portal. Historically, all of the loans originated through our POS lending program have been held on our balance sheet. We target super prime (FICO score of 720 and higher), prime (FICO score of 661 through 719) and near-prime (FICO score of 640 through 660) borrowers. Loan terms are generally 60 months and interest rates current range from 7.0% to 14.5%. We utilize a high degree of automation in this program and track loan applications, analyze credit and approve loans by deploying a combination of internal and “off-the-shelf” technology solutions. The majority of the approximately $11.4 million in consumer loans outstanding as of December 31, 2023, that were not generated through our Strategic Programs were originated in connection with our POS lending program. During the year ended December 31, 2023, we originated approximately $8.4 million in POS loans and held approximately $9.7 million of POS loans on our balance sheet as of December 31, 2023. As of December 31, 2023, our consumer loans comprised 3.1% of the Bank’s total loans held for investment portfolio.</w:t>
      </w:r>
    </w:p>
    <w:p>
      <w:pPr>
        <w:pStyle w:val="TextBody"/>
        <w:bidi w:val="0"/>
        <w:spacing w:lineRule="auto" w:line="288" w:before="200" w:after="283"/>
        <w:jc w:val="both"/>
        <w:rPr/>
      </w:pPr>
      <w:r>
        <w:rPr>
          <w:rFonts w:ascii="Times New Roman;sans-serif" w:hAnsi="Times New Roman;sans-serif"/>
          <w:b w:val="false"/>
          <w:i/>
          <w:color w:val="000000"/>
          <w:sz w:val="20"/>
          <w:shd w:fill="FFFFFF" w:val="clear"/>
        </w:rPr>
        <w:t>Strategic Program Loans Held For Sale</w:t>
      </w:r>
      <w:r>
        <w:rPr>
          <w:rFonts w:ascii="Times New Roman;sans-serif" w:hAnsi="Times New Roman;sans-serif"/>
          <w:b w:val="false"/>
          <w:color w:val="000000"/>
          <w:sz w:val="20"/>
          <w:shd w:fill="FFFFFF" w:val="clear"/>
        </w:rPr>
        <w:t xml:space="preserve">. The majority of originations of Strategic Program loans are not maintained by the Company as loans held for investment. We have selectively retained a portion of the Strategic Program loans or receivables based on the capacity and risk appetite of the Bank with the majority of Strategic Program originations being sold to investors. At December 31, 2023, the Company had $47.5 million in Strategic Program loans held-for-sale. </w:t>
      </w: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Credit Administration and Loan Review</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maintain asset quality through an emphasis on market knowledge, long-term customer relationships, analysis of data, consistent and thorough underwriting for all loans, surveillance and monitoring of our loan portfolio and a risk-based credit culture. We seek to maintain a broadly diversified loan portfolio in terms of type of loan product, credit demographic, geographic area and in respect of our commercial customers, the industries in which they are engaged. We control credit risk both through disciplined underwriting of each transaction, as well as active credit management processes and procedures to manage risk and minimize loss throughout the life of a loan, and our loan policies establish the basic guidelines governing our lending operations.</w:t>
      </w:r>
    </w:p>
    <w:p>
      <w:pPr>
        <w:pStyle w:val="TextBody"/>
        <w:bidi w:val="0"/>
        <w:spacing w:lineRule="auto" w:line="288" w:before="200" w:after="283"/>
        <w:jc w:val="both"/>
        <w:rPr/>
      </w:pPr>
      <w:r>
        <w:rPr>
          <w:rFonts w:ascii="Times New Roman;sans-serif" w:hAnsi="Times New Roman;sans-serif"/>
          <w:b w:val="false"/>
          <w:i/>
          <w:color w:val="000000"/>
          <w:sz w:val="20"/>
          <w:shd w:fill="FFFFFF" w:val="clear"/>
        </w:rPr>
        <w:t>Underwriting</w:t>
      </w:r>
      <w:r>
        <w:rPr>
          <w:rFonts w:ascii="Times New Roman;sans-serif" w:hAnsi="Times New Roman;sans-serif"/>
          <w:b w:val="false"/>
          <w:color w:val="000000"/>
          <w:sz w:val="20"/>
          <w:shd w:fill="FFFFFF" w:val="clear"/>
        </w:rPr>
        <w:t>. In evaluating credit, we use both judgmental and statistically based approaches, depending on the specific credit product.</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taking the judgmental approach, we evaluate each potential loan relationship and adhere to a disciplined underwriting evaluation process that includes the following:</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understanding the customer’s financial condition and ability to repay the loan;</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evaluating management performance and expertise and industry experience;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verifying that the primary and secondary sources of repayment are adequate in relation to the amount and structure of the loan;</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observing appropriate loan-to-value guidelines for collateral secured loans;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maintaining our targeted levels of diversification for the loan portfolio, both as to type of borrower and type of collateral; and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ensuring that each loan is properly documented with perfected liens on collateral.</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taking the statistical approach, we rely on data and automation to inform our credit decision-making. We create standardized underwriting criteria that are uniformly and consistently applied to each product. When originating with a third party, we review and approve the credit approval models prior to the launch of the lending program. These models are also periodically validated by independent third parties in accordance with regulatory guidance. For retained portfolios, we conduct vintage analyses to ensure credit is performing as expected.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43840"/>
                <wp:effectExtent l="0" t="0" r="0" b="0"/>
                <wp:wrapNone/>
                <wp:docPr id="8" name="Frame8"/>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pPr>
      <w:r>
        <w:rPr>
          <w:rFonts w:ascii="Times New Roman;sans-serif" w:hAnsi="Times New Roman;sans-serif"/>
          <w:b w:val="false"/>
          <w:i/>
          <w:color w:val="000000"/>
          <w:sz w:val="20"/>
          <w:shd w:fill="FFFFFF" w:val="clear"/>
        </w:rPr>
        <w:t>Loan Approval Authority</w:t>
      </w:r>
      <w:r>
        <w:rPr>
          <w:rFonts w:ascii="Times New Roman;sans-serif" w:hAnsi="Times New Roman;sans-serif"/>
          <w:b w:val="false"/>
          <w:color w:val="000000"/>
          <w:sz w:val="20"/>
          <w:shd w:fill="FFFFFF" w:val="clear"/>
        </w:rPr>
        <w:t>. Our lending activities follow written, non-discriminatory underwriting standards and loan origination procedures established by our board of directors and management. We have established several levels of lending authority that have been delegated by the board of directors to our loan committee and other personnel in accordance with our loan policy. The thresholds associated with lending authorities vary by loan product. Our loan committee is comprised of our Chief Executive Officer, our President, our Chief Credit Officer, our Chief Financial Officer, certain other members of management and select senior loan officers, which is primarily responsible for day-to-day implementation and oversight of our loan approval procedures. The levels of lending authority are periodically reviewed by the Bank’s board of directors. Authority limits are based on the total exposure of the borrower, the loan product, and are conditioned on the loan conforming to the standards contained in the loan policy. Any loan policy exceptions are appropriately monitored and fully disclosed to the approving authority. We believe that our credit approval process provides for thorough underwriting and efficient decision making.</w:t>
      </w:r>
    </w:p>
    <w:p>
      <w:pPr>
        <w:pStyle w:val="TextBody"/>
        <w:bidi w:val="0"/>
        <w:spacing w:lineRule="auto" w:line="288" w:before="200" w:after="283"/>
        <w:jc w:val="both"/>
        <w:rPr/>
      </w:pPr>
      <w:r>
        <w:rPr>
          <w:rFonts w:ascii="Times New Roman;sans-serif" w:hAnsi="Times New Roman;sans-serif"/>
          <w:b w:val="false"/>
          <w:i/>
          <w:color w:val="000000"/>
          <w:sz w:val="20"/>
          <w:shd w:fill="FFFFFF" w:val="clear"/>
        </w:rPr>
        <w:t>Ongoing Credit Risk Management.</w:t>
      </w:r>
      <w:r>
        <w:rPr>
          <w:color w:val="000000"/>
          <w:shd w:fill="FFFFFF" w:val="clear"/>
        </w:rPr>
        <w:t xml:space="preserve"> </w:t>
      </w:r>
      <w:r>
        <w:rPr>
          <w:rFonts w:ascii="Times New Roman;sans-serif" w:hAnsi="Times New Roman;sans-serif"/>
          <w:b w:val="false"/>
          <w:color w:val="000000"/>
          <w:sz w:val="20"/>
          <w:shd w:fill="FFFFFF" w:val="clear"/>
        </w:rPr>
        <w:t>In addition to the tailored underwriting process described above, we perform ongoing risk monitoring and review processes for credit exposures. Individual loan reviews encompass a loan’s payment status and history, current and projected paying capacity of the borrower and/or guarantor(s), current condition and estimated value of any collateral, sufficiency of credit and collateral documentation, and compliance with Bank and regulatory lending standards. We record any necessary charge-offs promptly and maintain adequate allowance levels for probable loan losses incurred in the loan portfolio. Management regularly reviews the status of the watch list and classified assets portfolio as well as the larger credits in the portfolio. Once a loan is identified as a problem loan or a loan requiring a workout, the Bank makes an evaluation and develops a plan for handling the loan. In developing such a plan, management reviews all relevant information from the loan file and any loan review reports. We have a conversation with the borrower and update current and projected financial information (including borrower global cash flows when possible) and collateral valuation estimates. Following analysis of all available relevant information, management adopts an action plan from the following alternatives: (a) continuation of loan collection efforts on their existing terms, (b) a restructure of the loan’s terms, (c) a sale of the loan, (d) a charge-off or partial charge-off, (e) foreclosure on pledged collateral, or (f) acceptance of a deed in lieu of foreclosure. For loans originated through our Strategic Program, the Bank does not currently grade individual loans held-for-investment due to their small balances and homogenous nature. As credit quality for Strategic Program loans have been highly correlated with delinquency levels, Strategic Program loans are evaluated collectively by program. Pursuant to our credit policy, our loan committee is required to consider loan grade updates at our quarterly meetings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loan committee and board members are updated on a regular basis on all servicing and liquidation efforts. We believe such routine and recurring discussions amongst our loan committee members and board of directors help prevent oversight errors that may occur in improperly managed loan portfolios.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Bank analyzes each loan application in a reasonable manner, consistent with prudent lending standards. Additional factors considered during underwriting include, but are not limited to:</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whether the applicant has any other loans(s) (including through the PPP, SBA EIDL, other stimulus financing) that have repayment or contingent repayment requirements which could impact cash flow;</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for individual applicants, whether his or her source of income has been or may be impacted;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whether historical financial information can be reasonably relied upon based on current market conditions; and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the impact current market conditions have on collateral adequacy.</w:t>
      </w:r>
    </w:p>
    <w:p>
      <w:pPr>
        <w:pStyle w:val="TextBody"/>
        <w:bidi w:val="0"/>
        <w:spacing w:lineRule="auto" w:line="288" w:before="200" w:after="283"/>
        <w:jc w:val="both"/>
        <w:rPr/>
      </w:pPr>
      <w:r>
        <w:rPr>
          <w:rFonts w:ascii="Times New Roman;sans-serif" w:hAnsi="Times New Roman;sans-serif"/>
          <w:b w:val="false"/>
          <w:i/>
          <w:color w:val="000000"/>
          <w:sz w:val="20"/>
          <w:shd w:fill="FFFFFF" w:val="clear"/>
        </w:rPr>
        <w:t>Credit Concentrations</w:t>
      </w:r>
      <w:r>
        <w:rPr>
          <w:rFonts w:ascii="Times New Roman;sans-serif" w:hAnsi="Times New Roman;sans-serif"/>
          <w:b w:val="false"/>
          <w:color w:val="000000"/>
          <w:sz w:val="20"/>
          <w:shd w:fill="FFFFFF" w:val="clear"/>
        </w:rPr>
        <w:t>. We actively monitor and manage the composition of our loan portfolio, including credit concentrations. Our credit policies establish concentration limits by loan product to manage portfolio diversification. The Bank’s concentration management program couples quantitative data with a thorough qualitative approach to provide an in-depth understanding of its loan portfolio concentrations. The Bank’s portfolio analysis includes concentration trends by portfolio product type, overall growth trends, pool correlations, risk rating trends, policy and/or underwriting exceptions, nonperforming asset trends, stress testing, market and submarket analysis and changing economic conditions. The portfolio concentration limits set forth in the Bank’s lending and collection policies are reviewed and approved by the Bank’s board of directors at least annually. Concentration levels are monitored by management and reported to the Bank’s board of directors on a quarterly basis.</w:t>
      </w:r>
    </w:p>
    <w:p>
      <w:pPr>
        <w:pStyle w:val="TextBody"/>
        <w:bidi w:val="0"/>
        <w:spacing w:lineRule="auto" w:line="288" w:before="20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Lending Limits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lending activities are subject to a variety of lending limits imposed by state and federal law. In general, the Bank is subject to a legal lending limit on loans to a single borrower based on the Bank’s capital level as dictated by the State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43840"/>
                <wp:effectExtent l="0" t="0" r="0" b="0"/>
                <wp:wrapNone/>
                <wp:docPr id="9" name="Frame9"/>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Utah. The dollar amounts of the Bank’s lending limit increases or decreases as the Bank’s capital increases or decreases. The Bank is able to sell participations in its larger loans to other financial institutions, which allows it to better manage the risk and exposure involved with larger loans and to meet the lending needs of its customers requiring extensions of credit in excess of Bank or regulatory limits. The Bank’s legal lending limit on loans to a single borrower was approximately $20.2 million as of December 31, 2023.</w:t>
      </w: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Strategic Programs</w:t>
      </w:r>
    </w:p>
    <w:p>
      <w:pPr>
        <w:pStyle w:val="TextBody"/>
        <w:bidi w:val="0"/>
        <w:spacing w:lineRule="auto" w:line="288" w:before="200" w:after="283"/>
        <w:jc w:val="both"/>
        <w:rPr/>
      </w:pPr>
      <w:r>
        <w:rPr>
          <w:rFonts w:ascii="Times New Roman;sans-serif" w:hAnsi="Times New Roman;sans-serif"/>
          <w:b w:val="false"/>
          <w:i/>
          <w:color w:val="000000"/>
          <w:sz w:val="20"/>
          <w:shd w:fill="FFFFFF" w:val="clear"/>
        </w:rPr>
        <w:t>Overview</w:t>
      </w:r>
      <w:r>
        <w:rPr>
          <w:rFonts w:ascii="Times New Roman;sans-serif" w:hAnsi="Times New Roman;sans-serif"/>
          <w:b w:val="false"/>
          <w:color w:val="000000"/>
          <w:sz w:val="20"/>
          <w:shd w:fill="FFFFFF" w:val="clear"/>
        </w:rPr>
        <w:t>. We currently source most of our loan originations through our Strategic Programs. Our Strategic Programs include a broad array of products for both prime and subprime borrowers including both consumer and commercial loans that may be secured or unsecured, and open- or closed-end products, depending on the particular market targeted by the Bank and the specific Strategic Program service provider. Minimum and maximum loan amounts range from $500 to $2.0 million and loan terms range from 6 to 72 months.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Bank’s current Strategic Program service providers include OppFi, Reach Financial (formerly Liberty Lending), LendingPoint, American First Finance, Elevate, Upstart, Mulligan Funding, Great American Finance, Edly, Empower, Stride, and Earnest. From time to time, we expect the number and composition of our Strategic Program service providers to change as the business develops, contract terms expire or agreements with service providers are otherwise terminated. The Bank has engaged with other Strategic Program service providers since we established our first Strategic Program in 2016 and we may enter into Strategic Programs with other service providers in the future.</w:t>
      </w:r>
    </w:p>
    <w:p>
      <w:pPr>
        <w:pStyle w:val="TextBody"/>
        <w:bidi w:val="0"/>
        <w:spacing w:lineRule="auto" w:line="288" w:before="200" w:after="283"/>
        <w:jc w:val="both"/>
        <w:rPr/>
      </w:pPr>
      <w:r>
        <w:rPr>
          <w:rFonts w:ascii="Times New Roman;sans-serif" w:hAnsi="Times New Roman;sans-serif"/>
          <w:b w:val="false"/>
          <w:i/>
          <w:color w:val="000000"/>
          <w:sz w:val="20"/>
          <w:shd w:fill="FFFFFF" w:val="clear"/>
        </w:rPr>
        <w:t>Selection and Oversight</w:t>
      </w:r>
      <w:r>
        <w:rPr>
          <w:rFonts w:ascii="Times New Roman;sans-serif" w:hAnsi="Times New Roman;sans-serif"/>
          <w:b w:val="false"/>
          <w:color w:val="000000"/>
          <w:sz w:val="20"/>
          <w:shd w:fill="FFFFFF" w:val="clear"/>
        </w:rPr>
        <w:t>. We select service providers for our Strategic Programs applying third party guidance promulgated by the FDIC, including comprehensive onboarding due diligence covering strategic, operational, transaction, compliance, credit and other risks, and evaluating any potential reputational impact. Furthermore, the Bank conducts extensive ongoing oversight and monitoring of the Strategic Program service providers in accordance with regulatory requirements and as augmented by Bank policies and the Bank’s compliance management systems developed for its oversight of the Strategic Program service providers.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oversight also impacts our decision to retain loans with Strategic Program service providers because the Bank may choose not to retain any loans or interest until the Strategic Program service provider has satisfied certain audit requirements of the Bank. We seek service providers that offer credit products focused on amortizing loans to borrowers with a demonstrated ability to repay and that are priced appropriately to the credit profile of the borrower (including credit history). Further, we seek service providers that instill our values of moving a customer forward. This is characterized by high customer service standards and an emphasis on regulatory compliance and consumer protections that may not be afforded these customers through a non-bank product.</w:t>
      </w:r>
    </w:p>
    <w:p>
      <w:pPr>
        <w:pStyle w:val="TextBody"/>
        <w:bidi w:val="0"/>
        <w:spacing w:lineRule="auto" w:line="288" w:before="200" w:after="283"/>
        <w:jc w:val="both"/>
        <w:rPr/>
      </w:pPr>
      <w:r>
        <w:rPr>
          <w:rFonts w:ascii="Times New Roman;sans-serif" w:hAnsi="Times New Roman;sans-serif"/>
          <w:b w:val="false"/>
          <w:i/>
          <w:color w:val="000000"/>
          <w:sz w:val="20"/>
          <w:shd w:fill="FFFFFF" w:val="clear"/>
        </w:rPr>
        <w:t>Structure</w:t>
      </w:r>
      <w:r>
        <w:rPr>
          <w:rFonts w:ascii="Times New Roman;sans-serif" w:hAnsi="Times New Roman;sans-serif"/>
          <w:b w:val="false"/>
          <w:color w:val="000000"/>
          <w:sz w:val="20"/>
          <w:shd w:fill="FFFFFF" w:val="clear"/>
        </w:rPr>
        <w:t>. In structuring a Strategic Program, the Bank and the Strategic Program service provider generally review and agree upon a set of program guidelines established by the Bank and tailored to accommodate target borrowers within the Strategic Program. We require the Strategic Program service providers to adhere to specific Bank underwriting criteria to originate loans to ensure that the borrowers are solicited and serviced in accordance with all applicable laws and regulatory requirements. The guidelines set forth various loan approval considerations, including but not limited to the borrower’s name, credit score, and other underwriting criteria. Loan applications are processed by the Strategic Program service provider in accordance with the Bank’s guidelines and delivered to the Bank for approval. Loan applications generally involve automated loan decisions by use of credit models, and decisions are typically rendered instantly after the submission of the loan application to the Bank. No loan is approved unless the Bank reviews and approves the borrower’s application. Borrowers to whom we originate loans through our Strategic Programs generally include consumers considered super prime (FICO score of 720 and higher), prime (FICO score of 661 through 719), near prime (FICO score of 640 through 660) and subprime (FICO score of 660 and below), as well as consumers that lack a credit history as reported through one of the three credit bureaus. The application and approval process is generally performed electronically although some are underwritten manually. Each loan originated by the Bank complies with applicable federal and state laws that apply to the Bank. As indicated, the Bank treats our Strategic Program service providers as its vendors and subjects the service providers to the requirements of the FDIC for vendor and third-party management.</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typically retain Strategic Program loans for a number of business days after origination during which the Bank generally receives interest income related to the loans. Following this retention period, the Bank may sell either a portion of the loan or the whole loan to a special purpose investment vehicle or other investor as identified by us or our Strategic Program service providers. Such purchase transactions typically require the purchaser to maintain a reserve account with the Bank or another financial institution to secure the purchaser’s contractual obligations to purchase. Some of our Strategic Program service providers may also securitize the loans originated through the program and the Bank may choose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43840"/>
                <wp:effectExtent l="0" t="0" r="0" b="0"/>
                <wp:wrapNone/>
                <wp:docPr id="10" name="Frame10"/>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participate in such securitizations for liquidity reasons. The Bank may also hold a portion of the loans or receivables for investment. Our retention parameters vary among different Strategic Programs. The Bank’s retention obligations may be discretionary with respect to some Strategic Programs. In other Strategic Programs, the Bank may choose not to retain any loans or interest until the Strategic Program service provider has satisfied certain audit requirements of the Bank.</w:t>
      </w:r>
    </w:p>
    <w:p>
      <w:pPr>
        <w:pStyle w:val="TextBody"/>
        <w:bidi w:val="0"/>
        <w:spacing w:lineRule="auto" w:line="288" w:before="200" w:after="283"/>
        <w:jc w:val="both"/>
        <w:rPr/>
      </w:pPr>
      <w:r>
        <w:rPr>
          <w:rFonts w:ascii="Times New Roman;sans-serif" w:hAnsi="Times New Roman;sans-serif"/>
          <w:b w:val="false"/>
          <w:i/>
          <w:color w:val="000000"/>
          <w:sz w:val="20"/>
          <w:shd w:fill="FFFFFF" w:val="clear"/>
        </w:rPr>
        <w:t xml:space="preserve">Fees and Other Economics. </w:t>
      </w:r>
      <w:r>
        <w:rPr>
          <w:rFonts w:ascii="Times New Roman;sans-serif" w:hAnsi="Times New Roman;sans-serif"/>
          <w:b w:val="false"/>
          <w:color w:val="000000"/>
          <w:sz w:val="20"/>
          <w:shd w:fill="FFFFFF" w:val="clear"/>
        </w:rPr>
        <w:t>The Bank may earn fees on its Strategic Programs as delineated in each Strategic Program contract and may vary by contract. Service providers may also be required to pay minimum monthly fees to the Bank or reimburse the Bank for certain agreed-upon expenses. Some Strategic Programs require the service provider pay a fee to the Bank if it enters into a similar strategic relationship with another bank or financial institution.</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October 13, 2021, we formed FinWise Investments, LLC, a limited liability company, as a wholly owned subsidiary of the Company to hold and manage private investments made by the Company and the Bank. The Company currently holds and, in the future, may acquire equity in certain of our Strategic Program service providers through this subsidiary. As of December 31, 2023, and 2022, this subsidiary holds $0.3 million and $0.3 million, respectively, of equity securities of two Strategic Program service providers.</w:t>
      </w:r>
    </w:p>
    <w:p>
      <w:pPr>
        <w:pStyle w:val="TextBody"/>
        <w:bidi w:val="0"/>
        <w:spacing w:lineRule="auto" w:line="288" w:before="200" w:after="283"/>
        <w:jc w:val="both"/>
        <w:rPr/>
      </w:pPr>
      <w:r>
        <w:rPr>
          <w:rFonts w:ascii="Times New Roman;sans-serif" w:hAnsi="Times New Roman;sans-serif"/>
          <w:b w:val="false"/>
          <w:i/>
          <w:color w:val="000000"/>
          <w:sz w:val="20"/>
          <w:shd w:fill="FFFFFF" w:val="clear"/>
        </w:rPr>
        <w:t xml:space="preserve">Servicing. </w:t>
      </w:r>
      <w:r>
        <w:rPr>
          <w:rFonts w:ascii="Times New Roman;sans-serif" w:hAnsi="Times New Roman;sans-serif"/>
          <w:b w:val="false"/>
          <w:color w:val="000000"/>
          <w:sz w:val="20"/>
          <w:shd w:fill="FFFFFF" w:val="clear"/>
        </w:rPr>
        <w:t>The Bank generally services the loans originated through the Strategic Programs in consideration of servicing fees equal to a percentage of the loans generated under the Strategic Program. In turn, the Strategic Program service providers, subject to the Bank’s approval and oversight, serve as sub-servicer and perform typical primary servicing duties including loan collections, modifications, charging-off, reporting and monitoring.</w:t>
      </w: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Funding and Deposits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deposits serve as the primary funding source for lending, investing and other general banking purposes. We provide a full range of deposit products, including a variety of checking and savings accounts, time deposits, and money market accounts. We also provide a wide range of deposit services, including debit cards, remote deposit capture, online banking, mobile banking, and direct deposit services. We also offer business accounts and cash management services, including business checking and savings accounts and treasury services. We solicit deposits through our relationship-driven team of dedicated and accessible bankers and through community-focused marketing.</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use a diversified funding strategy with an emphasis on core deposits from our branch operations, deposits originated through SBA 7(a) lending programs and Strategic Programs, coupled with brokered deposits and borrowings as needed. A meaningful portion of our core deposits include funds deposited through our Strategic Programs, to support reserve requirements. The terms of our Strategic Programs generally require each Strategic Program platform to establish a reserve deposit account with the Bank, intended to protect the Bank in the event a purchaser of loan receivables originated through our Strategic Programs cannot meet its contractual obligation to purchase. The reserve deposit account balance is typically required to at least equal the total outstanding balance of loans held-for-sale by the Bank related to the Strategic Program. The Bank has the right to withdraw amounts from the reserve deposit account to fulfill loan purchaser obligations created under the Strategic Program agreements. Depending on the strength of the relationship between the Bank and our Strategic Program relationship, we may reduce the required amount of reserve deposits held and/or allow a portion of the requirement to be fulfilled by a letter of credit. In addition to the reserve deposit account, certain Strategic Program relationships have opened operating deposit accounts at the Bank. </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core deposits, as of December 31, 2023, constituted 42.6% of our funding sources (our core deposits comprise the sum of demand deposits, HSA demand deposits sourced through Lively, Inc., NOW accounts, MMDA accounts, savings accounts, and time deposits under $250,000 that are not brokered deposits).</w:t>
      </w: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Securities Portfolio</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manage our securities portfolio and cash to maintain adequate liquidity and to ensure the safety and preservation of invested principal, with a secondary focus on yield and returns. Our investments were approximately $15.4 million as of December 31, 2023. Specific objectives of our investment policy and portfolio are as follows:</w:t>
      </w:r>
    </w:p>
    <w:p>
      <w:pPr>
        <w:pStyle w:val="TextBody"/>
        <w:bidi w:val="0"/>
        <w:spacing w:lineRule="auto" w:line="288" w:before="20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Ensure the Safety of Principal—Bank investments are generally limited to investment-grade instruments that fully comply with all applicable regulatory guidelines and limitations. Allowable non-investment-grade instruments must be approved by the board of directors.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Income Generation—The Bank’s investment portfolio is managed to maximize income on invested funds in a manner that is consistent with the Bank’s overall financial goals and risk considerations.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43840"/>
                <wp:effectExtent l="0" t="0" r="0" b="0"/>
                <wp:wrapNone/>
                <wp:docPr id="11" name="Frame11"/>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Provide Liquidity—The Bank’s investment portfolio is managed to remain sufficiently liquid to meet anticipated funding demands either through declines in deposits and/or increases in loan demand.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Mitigate Interest Rate Risk—Portfolio strategies are used to assist the Bank in managing its overall interest rate sensitivity position in accordance with goals and objectives approved by our board of directors.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investment policy is reviewed and approved annually by our board of directors. Overall investment objectives are established by our board through our investment policy and monitored through our asset-liability management committee. Day-to-day activities pertaining to the securities portfolio are conducted under the supervision of our Chief Financial Officer. We actively monitor our investments on an ongoing basis to identify any material changes in our mix of securities. We also review our securities for potential impairment (other-than-temporary impairments) at least quarterly.</w:t>
      </w: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Competition</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banking and financial services industry is highly-competitive, and we compete with a wide range of financial institutions within our markets, including local, regional and national commercial banks, credit unions, and non-bank financial service providers such as financial technology companies and other financial intermediaries for certain of our products and services. Some of our competitors are not currently subject to the regulatory restrictions and the level of regulatory supervision applicable to us.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Interest rates on loans and deposits, as well as prices on fee-based services, are typically significant competitive factors within the banking and financial services industry. Many of our competitors are much larger financial institutions that have greater financial resources than we do and compete aggressively for market share. These competitors attempt to gain market share through their financial product mix, pricing strategies and banking center locations.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Other important standard competitive factors in our industry and markets include office locations and hours, quality of customer service, community reputation, continuity of personnel and services, capacity and willingness to extend credit, and ability to offer sophisticated banking products and services through multiple channels. While we seek to remain competitive with respect to fees charged, interest rates and pricing, we believe that our banking product suite, our high-quality customer service culture, our strategic relationships with third parties, our positive reputation and long-standing relationships will enable us to compete successfully within our markets and enhance our ability to attract and retain customers.</w:t>
      </w: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Human Capital Resources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2023, we employed 162 full-time equivalent employees. None of our employees are represented by any collective bargaining unit or are a party to a collective bargaining agreement. We believe the relationship with our employees to be good.</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believe that the success of a business is largely due to the quality of its employees and the development of each employee’s full potential. We encourage and support the development of our employees and, whenever possible, strive to fill vacancies from within. Employee retention helps us operate efficiently and achieve our business objectives. We also believe our ability to attract and retain employees is a key to our success. Accordingly, we strive to offer competitive salaries and employee benefits to all employees and monitor salaries in our market areas.</w:t>
      </w: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Supervision and Regulation</w:t>
      </w:r>
    </w:p>
    <w:p>
      <w:pPr>
        <w:pStyle w:val="TextBody"/>
        <w:bidi w:val="0"/>
        <w:spacing w:lineRule="auto" w:line="288" w:before="20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General</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are extensively regulated under both federal and state law. These laws restrict permissible activities and investments and require compliance with various consumer protection provisions applicable to lending, deposit, brokerage, and fiduciary activities. They also impose capital adequacy requirements and conditions on a bank holding company’s ability to pay dividends to its shareholders, to repurchase stock or to receive dividends from its subsidiary banks. As a bank holding company, the Company is subject to regulation and supervision by the Federal Reserve and the UDFI. We are required to file with the Federal Reserve quarterly and annual reports and such additional information as the Federal Reserve may require pursuant to the BHC Act. The Federal Reserve conducts examinations of the Company and its subsidiaries. In addition, as a Utah state-chartered bank that is not a member of the Federal Reserve, the Bank is subject to primary regulation, supervision, and examination by the FDIC and the UDFI. The Bank’s deposits are insured by the FDIC through the Deposit Insurance Fund (“DIF”). Based on this deposit insurance function, the FDIC also has certain supervisory authority and powers over the Bank as well as all other FDIC insured institutions. Both the UDFI and the FDIC conduct routine examinations of the Bank. The Company’s and the Bank’s regulators generally have broad discretion to impose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43840"/>
                <wp:effectExtent l="0" t="0" r="0" b="0"/>
                <wp:wrapNone/>
                <wp:docPr id="12" name="Frame12"/>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restrictions and limitations on our operations. Bank regulation is intended to protect depositors, consumers, and commercial customers, and not shareholders. This supervisory framework could materially impact the conduct and profitability of our activities.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the extent that the following information describes statutory and regulatory provisions, it is qualified in its entirety by reference to the text of applicable statutory and regulatory provisions. Legislative and regulatory initiatives, which necessarily impact the regulation of the financial services industry, are introduced from time-to-time. We cannot predict whether or when potential legislation or new regulations will be enacted, and if enacted, the effect that new legislation or any implemented regulations and supervisory policies would have on our financial condition and results of operations. Moreover, bank regulatory agencies can be more aggressive in responding to concerns and trends identified in examinations, which could result in an increased issuance of enforcement actions to financial institutions requiring action to address credit quality, liquidity, risk management, and capital adequacy, as well as other safety and soundness concerns.</w:t>
      </w:r>
    </w:p>
    <w:p>
      <w:pPr>
        <w:pStyle w:val="TextBody"/>
        <w:bidi w:val="0"/>
        <w:spacing w:lineRule="auto" w:line="288" w:before="20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Regulation of FinWise Bancorp</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registered as a bank holding company under the BHC Act and are subject to regulation and supervision by the Federal Reserve. The BHC Act, and the regulations promulgated by the Federal Reserve thereunder, require us to secure the prior approval of the Federal Reserve before we own or control, directly or indirectly, more than 5% of the voting shares or substantially all the assets of any bank, thrift, bank holding company or thrift holding company, or merge or consolidate with another bank or thrift holding company. Further, under the BHC Act, our activities and those of any nonbank subsidiary are limited to: (i) those activities that the Federal Reserve determines to be so closely related to banking as to be a proper incident thereto, and (ii) investments in companies not engaged in activities closely related to banking, subject to quantitative limitations on the value of such investments. Prior approval of the Federal Reserve may be required before engaging in certain activities. In making such determinations, the Federal Reserve is required to weigh the expected benefits to the public, such as greater convenience, increased competition, and gains in efficiency, against the possible adverse effects, such as undue concentration of resources, decreased or unfair competition, conflicts of interest, and unsound banking practices. Subject to various exceptions, the BHC Act and the Change in Bank Control Act, together with related regulations, require Federal Reserve approval prior to any person or company acquiring “control” of a bank holding company, such as the 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acquisitions of our voting stock may be subject to regulatory approval or notice under federal law. Investors are responsible for ensuring that they do not, directly or indirectly, acquire shares of our stock in excess of the amount that can be acquired without regulatory approval under the Change in Bank Control Act and the BHC Act, which prohibit any person or company from acquiring control of the Company without, in most cases, the prior written approval of the Federal Reserve. We are also subject to the regulation of the UDFI. Under Utah Code Ann. § 7-1-503, we are prohibited from issuing or offering to sell any security without approval from the UDFI.</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BHC Act was substantially amended by the Gramm-Leach-Bliley Act, or the GLBA, which, among other things, allows a bank holding company that satisfies certain criteria to elect to become a financial holding company, which would allow such company to engage in activities that are financial in nature, incidental to such activities, or complementary to such activities. We have not elected financial holding company status.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There are several restrictions imposed on us by law and regulatory policy that are designed to minimize potential loss to depositors and to the DIF in the event that a subsidiary depository institution should become insolvent. For example, the Federal Deposit Insurance Act (the “FDIA”)</w:t>
      </w:r>
      <w:r>
        <w:rPr>
          <w:color w:val="000000"/>
        </w:rPr>
        <w:t xml:space="preserve"> </w:t>
      </w:r>
      <w:r>
        <w:rPr>
          <w:rFonts w:ascii="Times New Roman;sans-serif" w:hAnsi="Times New Roman;sans-serif"/>
          <w:b w:val="false"/>
          <w:color w:val="000000"/>
          <w:sz w:val="20"/>
        </w:rPr>
        <w:t>and Federal Reserve regulations require a bank holding company to serve as a source of financial and managerial strength to its bank subsidiaries. As a result, a bank holding company may be expected to commit resources to support its bank subsidiary, including at times when the holding company may not be inclined or in a financial position to provide it.</w:t>
      </w:r>
      <w:r>
        <w:rPr>
          <w:color w:val="000000"/>
        </w:rPr>
        <w:t xml:space="preserve"> </w:t>
      </w:r>
      <w:r>
        <w:rPr>
          <w:rFonts w:ascii="Times New Roman;sans-serif" w:hAnsi="Times New Roman;sans-serif"/>
          <w:b w:val="false"/>
          <w:color w:val="000000"/>
          <w:sz w:val="20"/>
        </w:rPr>
        <w:t>The Federal Reserve also has the authority under the BHC Act to require a bank holding company to terminate any activity or to relinquish control of a nonbank subsidiary upon the Federal Reserve’s determination that such activity or control constitutes a serious risk to the financial soundness and stability of any bank subsidiary of the bank holding company.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FDIA provides that, in the event of the “liquidation or other resolution” of an insured depository institution, the claims of depositors of the institution (including the claims of the FDIC as a subrogee of insured depositors) and certain claims for administrative expenses of the FDIC as a receiver will have priority over other general unsecured claims against the institution. If an insured depository institution, such as the Bank, fails, insured and uninsured depositors, along with the FDIC, will have priority in payment ahead of unsecured, non-deposit creditors, including the institution’s holding company, with respect to any extensions of credit they have made to such insured depository institution.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43840"/>
                <wp:effectExtent l="0" t="0" r="0" b="0"/>
                <wp:wrapNone/>
                <wp:docPr id="13" name="Frame13"/>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ability of any bank holding company to acquire another bank holding company or bank is also significantly impacted by discretionary decisions of federal regulators, including political appointees, as to whether any proposed merger would be consistent with national financial institutions policies. Such views may have an impact on the ability of any bank holding company to complete a merger transaction as an acquiror, a target, or in a “merger of equals.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Regulation of FinWise Bank</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Bank is a Utah state-chartered bank and the operations and investments of our Bank are subject to the supervision, examination, and reporting requirements of the UDFI and the FDIC. The UDFI supervises and regulates all areas of the Bank’s operations including, without limitation, the making of loans, the issuance of securities, the conduct of the Bank’s corporate affairs, the satisfaction of capital adequacy requirements, the payment of dividends, and the establishment or closing of banking offices. The FDIC is the Bank’s primary federal regulatory agency. In addition, the Bank’s deposit accounts are insured by the FDIC to the maximum extent permitted by law, and the FDIC has certain enforcement powers over the Bank.</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UDFI and the FDIC periodically examine the Bank’s operations and financial condition and compliance with federal consumer-protection laws. If, based on an examination of our Bank, the regulators should determine that the financial condition, capital resources, asset quality, earnings prospects, management, liquidity or other aspects of the Bank’s operations are unsatisfactory or that the Bank or our management is violating or has violated any law or regulation, various remedies are available to the regulators. Such remedies include the power to enjoin unsafe or unsound practices, to require affirmative action to correct any conditions resulting from any violation or practice, to issue an administrative order that can be judicially enforced, to direct an increase in capital, to restrict growth, to assess civil monetary penalties, to remove officers and directors and ultimately to request the FDIC to terminate the Bank’s deposit insurance. As a Utah state-chartered bank, the Bank is authorized by statute, subject to certain limitations, to take and pay interest on, savings and time deposits, to accept demand deposits, to make loans on residential and other real estate, to make consumer and commercial loans, to invest, with certain limitations, in equity securities and in debt obligations of banks and corporations and to provide various other banking services for the benefit of the Bank’s customers. Various state consumer laws and regulations also affect the operations of the Bank, including state usury laws, consumer credit and equal credit opportunity laws, and fair credit reporting. In addition, the Federal Deposit Insurance Corporation Improvement Act of 1991, or FDICIA, generally prohibits insured state-chartered institutions from conducting activities as principal that are not permitted for national banks.</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Utah-chartered banks are required to pay supervisory assessments to the UDFI to fund its operations. The amount of the assessment paid by a Utah bank to the UDFI is calculated on an annual basis based on our average total assets for the prior year. During the year ended December 31, 2023, the Bank paid a </w:t>
      </w:r>
      <w:r>
        <w:rPr>
          <w:rFonts w:ascii="Times New Roman;sans-serif" w:hAnsi="Times New Roman;sans-serif"/>
          <w:b w:val="false"/>
          <w:i/>
          <w:color w:val="000000"/>
          <w:sz w:val="20"/>
          <w:shd w:fill="FFFFFF" w:val="clear"/>
        </w:rPr>
        <w:t>de minimis</w:t>
      </w:r>
      <w:r>
        <w:rPr>
          <w:color w:val="000000"/>
          <w:shd w:fill="FFFFFF" w:val="clear"/>
        </w:rPr>
        <w:t xml:space="preserve"> </w:t>
      </w:r>
      <w:r>
        <w:rPr>
          <w:rFonts w:ascii="Times New Roman;sans-serif" w:hAnsi="Times New Roman;sans-serif"/>
          <w:b w:val="false"/>
          <w:color w:val="000000"/>
          <w:sz w:val="20"/>
          <w:shd w:fill="FFFFFF" w:val="clear"/>
        </w:rPr>
        <w:t>assessment to the UDFI.</w:t>
      </w:r>
    </w:p>
    <w:p>
      <w:pPr>
        <w:pStyle w:val="TextBody"/>
        <w:bidi w:val="0"/>
        <w:spacing w:lineRule="auto" w:line="288" w:before="20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Capital Adequacy Guidelines</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Bank holding companies and banks are subject to various regulatory capital requirements administered by state and federal agencies. These agencies may establish higher minimum requirements if, for example, a banking organization previously has received special attention or has a high susceptibility to interest rate risk. Risk-based capital requirements determine the adequacy of capital based on the risk inherent in various classes of assets and off-balance sheet items. Under the Dodd-Frank Act, the Federal Reserve must apply consolidated capital requirements to depository institution holding companies that are no less stringent than those currently applied to depository institutions. The Dodd-Frank Act additionally requires capital requirements to be countercyclical so that the required amount of capital increases in times of economic expansion and decreases in times of economic contraction, consistent with safety and soundness. The current requirements, which began to take effect in 2015, are based on the international Basel III capital framework.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November 13, 2019, the federal regulators finalized and adopted a regulatory capital rule establishing a new community bank leverage ratio (“CBLR”), which became effective on January 1, 2020. Eligibility criteria to utilize CBLR instead of the Basel III risk-based capital ratios include having total assets less than $10 billion and off-balance sheet exposures that were less than 25% of total assets, among others. The Company and the Bank qualified for and elected to use CBLR beginning in the first quarter of 2020.</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Federal law provides the federal banking regulators with broad power to take prompt corrective action to resolve the problems of undercapitalized institutions. Depending upon the capital category to which an institution is assigned, the regulators' corrective powers include: requiring the submission of a capital restoration plan; placing limits on asset growth and restrictions on activities; requiring the institution to issue additional capital stock (including additional voting stock) or to be acquired; restricting transactions with affiliates; restricting the interest rate the institution may pay on deposits; ordering a new election of directors of the institution; requiring that senior executive officers or directors be dismissed; prohibiting the institution from accepting deposits from correspondent banks; requiring the institution to divest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43840"/>
                <wp:effectExtent l="0" t="0" r="0" b="0"/>
                <wp:wrapNone/>
                <wp:docPr id="14" name="Frame14"/>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subsidiaries; prohibiting the payment of principal or interest on subordinated debt; and ultimately, appointing a receiver for the institution. In general, a depository institution may be reclassified to a lower category than is indicated by its capital levels if the appropriate federal depository institution regulatory agency determines the institution to be otherwise in an unsafe or unsound condition or to be engaged in an unsafe or unsound practice. This could include a failure by the institution, following receipt of a less-than-satisfactory rating on its most recent examination report, to correct the deficiency.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“Part II, Item 8. Financial Statements and Supplementary Data – Notes to Consolidated Financial Statements – Note 7, Capital Standards” for additional regulatory capital information, including the Bank’s and Company’s Leverage Ratio as of December 31, 2023.</w:t>
      </w:r>
    </w:p>
    <w:p>
      <w:pPr>
        <w:pStyle w:val="TextBody"/>
        <w:bidi w:val="0"/>
        <w:spacing w:lineRule="auto" w:line="288" w:before="20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Safety and Soundness Standards</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federal banking agencies have adopted guidelines designed to assist the federal banking agencies in identifying and addressing potential safety and soundness concerns before capital becomes impaired. The guidelines set forth operational and managerial standards relating to: (i) internal controls, information systems and internal audit systems; (ii) loan documentation; (iii) credit underwriting; (iv) asset growth; (v) earnings; and (vi) compensation, fees and benefits.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the federal banking agencies have also adopted safety and soundness guidelines with respect to asset quality and for evaluating and monitoring earnings to ensure that earnings are sufficient for the maintenance of adequate capital and reserves. These guidelines provide six standards for establishing and maintaining a system to identify problem assets and prevent those assets from deteriorating. Under these standards, an insured depository institution should: (i) conduct periodic asset quality reviews to identify problem assets; (ii) estimate the inherent losses in problem assets and establish reserves that are sufficient to absorb estimated losses; (iii) compare problem asset totals to capital; (iv) take appropriate corrective action to resolve problem assets; (v) consider the size and potential risks of material asset concentrations; and (vi) provide periodic asset quality reports with adequate information for management and the board of directors to assess the level of asset risk.</w:t>
      </w:r>
    </w:p>
    <w:p>
      <w:pPr>
        <w:pStyle w:val="TextBody"/>
        <w:bidi w:val="0"/>
        <w:spacing w:lineRule="auto" w:line="288" w:before="20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Transactions with Affiliates and Insiders</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subject to federal laws, such as Sections 23A and 23B of the Federal Reserve Act (the “FRA”), and the Federal Reserve’s implementing Regulation W, as made applicable to state non-member banks such as the Bank by Section 18(j) of the FDIA, that limit the size, number and terms of the transactions that depository institutions may engage in with their affiliates. An affiliate of a bank is any company or entity that controls, is controlled by or is under common control with the bank. Under these provisions, covered transactions by a bank with nonbank affiliates (such as loans to or investments in an affiliate by the bank) must be on arms-length terms and generally be limited to 10% of the bank’s capital and surplus for all covered transactions with any one affiliate, and 20% of capital and surplus for all covered transactions with all affiliates. Any extensions of credit to affiliates, with limited exceptions, must be secured by eligible collateral in specified amounts. Banks are also prohibited from purchasing any “low quality” assets from an affiliate. The Dodd-Frank Act generally enhanced the restrictions on transactions with affiliates under</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Section 23A and 23B of the FRA, including an expansion of the definition of “covered transactions” to include derivatives transactions, repurchase agreements, reverse repurchase agreements and securities lending or borrowing transactions and an increase in the period of time during which collateral requirements regarding covered credit transactions must be satisfied. The Federal Reserve has promulgated Regulation W, which codifies prior interpretations under Sections 23A and 23B of the FRA and provides interpretive guidance with respect to affiliate transactions. Affiliates of a bank include, among other entities, a bank’s bank holding company parent and companies that are under common control with the bank. Accordingly, the Company is considered to be an affiliate of the Bank.</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are also subject to restrictions on extensions of credit to our executive officers, directors, shareholders who own more than 10% of our common stock, and their related interests. Specifically, loans to executive officers, directors or to any person who directly or indirectly, or acting through or in concert with one or more persons, owns, controls or has the power to vote more than 10% of any class of voting securities of the Bank, or to any political or campaign committee the funds or services of which will benefit those executive officers, directors, or 10% stockholders or which is controlled by those executive officers, directors or 10% stockholders, are subject to Sections 22(g) and 22(h) of the FRA and the Federal Reserve’s implementing Regulation O. Among other things, such extensions of credit must be made on substantially the same terms, including interest rates and collateral, as those prevailing at the time for comparable transactions with third parties, and must not involve more than the normal risk of repayment or present other unfavorable features. Loans to such persons and certain affiliated entities of any of the foregoing, may not exceed, together with all other outstanding loans to such person and affiliated entities, the institution’s loans-to-one-borrower limit. Federal regulations also prohibit loans above amounts prescribed by the appropriate federal banking agency to directors, executive officers, and shareholders who own more than 10% of an institution, and their respective affiliates, unless such loans are approved in advance by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43840"/>
                <wp:effectExtent l="0" t="0" r="0" b="0"/>
                <wp:wrapNone/>
                <wp:docPr id="15" name="Frame15"/>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majority of the board of directors of the institution. Any “interested” director may not participate in the voting. Regulation O prohibits loans to any of those individuals where the aggregate amount exceeds an amount equal to 15% of an institution’s unimpaired capital and surplus plus an additional 10% of unimpaired capital and surplus in the case of loans that are fully secured by readily marketable collateral, or when the aggregate amount on all of the extensions of credit outstanding to all of these persons would exceed the Bank’s unimpaired capital and unimpaired surplus. Section 22(g) and Regulation O identifies limited circumstances in which banks are permitted to extend credit to executive officers. Furthermore, we are prohibited from engaging in asset purchases or sales transactions with our officers, directors, or principal shareowners unless the transaction is on market terms and, if the transaction represents greater than 10% of the capital and surplus of the bank, a majority of the bank’s disinterested directors has approved the transaction.</w:t>
      </w:r>
    </w:p>
    <w:p>
      <w:pPr>
        <w:pStyle w:val="TextBody"/>
        <w:bidi w:val="0"/>
        <w:spacing w:lineRule="auto" w:line="288" w:before="20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Incentive Compensation</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Federal banking agencies have issued guidance on incentive compensation policies intended to ensure that the incentive compensation policies of banking organizations do not undermine the safety and soundness of such organizations by encouraging excessive risk-taking. The guidance, which covers all employees that have the ability to materially affect the risk profile of an organization, is based upon the key principles that a banking organization’s incentive compensation arrangements should (i) provide incentives that appropriately balance risk and rewards in a manner that does not encourage imprudent risk taking, (ii) be compatible with effective internal controls and risk management, and (iii) be supported by strong corporate governance, including active and effective oversight by the organization’s board of directors. In accordance with the Dodd-Frank Act, the federal banking agencies prohibit incentive-based compensation arrangements that encourage inappropriate risk taking by covered financial institutions (generally institutions that have over $1 billion in assets) and are deemed to be excessive, or that may lead to material losses.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Federal Reserve will review, as part of the regular, risk-focused examination process, the incentive compensation arrangements of banking organizations, such as the Company, that are not “large, complex banking organizations.” These reviews will be tailored to each organization based on the scope and complexity of the organization’s activities and the prevalence of incentive compensation arrangements. The findings of the supervisory initiatives will be included in reports of examination. Deficiencies will be incorporated into the organization’s supervisory ratings, which can affect the organization’s ability to make acquisitions and take other actions. Enforcement actions may be taken against a banking organization if its incentive compensation arrangements, or related risk-management control or governance processes, pose a risk to the organization’s safety and soundness and the organization is not taking prompt and effective measures to correct the deficiencies.</w:t>
      </w:r>
    </w:p>
    <w:p>
      <w:pPr>
        <w:pStyle w:val="TextBody"/>
        <w:bidi w:val="0"/>
        <w:spacing w:lineRule="auto" w:line="288" w:before="20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Deposit Insurance</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an FDIC-insured institution, our deposits are insured up to applicable limits by the DIF of the FDIC. The DIF is the successor to the Bank Insurance Fund and the Savings Association Insurance Fund, which were merged in 2006. Deposit insurance is mandatory. The Dodd-Frank Act raised the limit for federal deposit insurance to $250,000 for most deposit accounts and increased the cash limit of Securities Investor Protection Corporation protection from $100,000 to $250,000.</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required to pay assessments to the FDIC on a quarterly basis. The assessment amount is the product of multiplying the assessment base by the assessment amount. The assessment base against which the assessment rate is applied to determine the total assessment due for a given period is the depository institution’s average total consolidated assets during the assessment period less average tangible equity during that assessment period. Tangible equity is defined in the assessment rule as Tier 1 Capital and is calculated monthly, unless the insured depository institution has less than $1 billion in assets, in which case the insured depository institution calculates Tier 1 Capital on an end-of-quarter basis. Parents or holding companies of other insured depository institutions are required to report separately from their subsidiary depository institutions.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FDIC’s methodology for setting assessments for individual banks has changed over time, although the broad policy is that lower-risk institutions should pay lower assessments than higher-risk institutions. The FDIC now uses a methodology, known as the “financial ratios method,” that began to apply on July 1, 2016, in order to meet requirements of the Dodd-Frank Act. The statute established a minimum designated reserve ratio for the DIF of 1.35% of the estimated insured deposits and required the FDIC to adopt a restoration plan should the reserve ratio fall below 1.35%. As of September 30, 2020, the FDIC announced that the ratio had declined to 1.30% due largely to consequences of the Covid-19 pandemic. The FDIC adopted a plan to restore the DIF to the 1.35% ratio within eight years but did not change its assessment schedule.</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November 2023, The FDIC finalized a special assessment to recoup losses to the DIF from protecting uninsured depositors following the closures of Silicon Valley Bank and Signature Bank. The assessment base is equal to the amount of an insured depository institution’s uninsured deposits, as reported for the quarter ended December 31, 2022, minus up to $5 billion of uninsured deposits at the institution (or, if a banking organization has more than one insured depository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43840"/>
                <wp:effectExtent l="0" t="0" r="0" b="0"/>
                <wp:wrapNone/>
                <wp:docPr id="16" name="Frame16"/>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5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institution, at the banking organization in the aggregate). Because we have less than $5 billion of uninsured deposits, the special assessment did not have any financial impact on the Bank</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significant increase in insurance assessments would likely have an adverse effect on our operating expenses and results of operations. We cannot predict what insurance assessment rates will be in the future. Furthermore, deposit insurance may be terminated by the FDIC upon a finding that an insured depository institution has engaged in unsafe or unsound practices, is in an unsafe or unsound condition to continue operations, or has violated any applicable law, regulation, rule, order, or condition imposed by the FDIC.</w:t>
      </w:r>
    </w:p>
    <w:p>
      <w:pPr>
        <w:pStyle w:val="TextBody"/>
        <w:bidi w:val="0"/>
        <w:spacing w:lineRule="auto" w:line="288" w:before="20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Regulatory Restrictions on Dividends and Repurchases of Equity Securities</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Federal Reserve’s policy statement and supervisory guidance on the payment of cash dividends by a bank holding company, such as the Company, expresses the view that a bank holding company should generally pay cash dividends on common stock only to the extent that (1) the bank holding company’s net income available over the past year is sufficient to cover the cash dividend, (2) the rate of earnings retention is consistent with the organization’s expected future needs and financial condition, and (3) the minimum regulatory capital adequacy ratios are met. Should an insured depository institution controlled by a bank holding company be “significantly undercapitalized” under the applicable federal bank capital ratios, or if the bank subsidiary is “undercapitalized” and has failed to submit an acceptable capital restoration plan or has materially failed to implement such a plan, federal banking regulators (in the case of the Bank, the FDIC) may choose to require prior Federal Reserve approval for any capital distribution by the bank holding company.</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since we are a legal entity separate and distinct from the Bank and do not conduct stand-alone operations, an ability to pay dividends depends on the ability of the Bank to pay dividends to us and the FDIC and the UDFI may, under certain circumstances, prohibit the payment of dividends to us from the Bank. Utah corporate law also requires that dividends can only be paid out of funds legally available therefor.</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Federal Reserve policy statement also provides that a bank holding company should inform the Federal Reserve reasonably in advance of declaring or paying a dividend that exceeds earnings for the period for which the dividend is being paid or that could result in a material adverse change to the bank holding company’s capital structure. Bank holding companies also are required to consult with the Federal Reserve before materially increasing dividends. It is also the Federal Reserve’s policy that bank holding companies should not maintain dividend levels that undermine their ability to be a source of strength to its banking subsidiaries. The Federal Reserve Board or the FRB could prohibit or limit the payment of dividends by a bank holding company if it determines that payment of the dividend would constitute an unsafe or unsound practice.</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Unless an exception applies, the Federal Reserve’s Regulation Y requires a bank holding company to give the Federal Reserve prior notice of any redemption or repurchase of its own equity securities, if the consideration to be paid, together with the consideration paid for any repurchases in the preceding year, is equal to 10% or more of the bank holding company’s consolidated net worth. A bank holding company is not required to obtain prior Board approval for the redemption or purchase of its equity securities if (i) both before and immediately after the redemption, the bank holding company is well-capitalized, (ii) the bank holding company is well-managed under regulatory guidelines, and (iii) the bank holding company is not the subject of any unresolved supervisory issues. </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Commercial Real Estate Concentration Guidelines</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December 2006, the federal banking regulators issued guidance entitled “Concentrations in Commercial Real Estate Lending, Sound Risk Management Practices” to address increased concentrations in commercial real estate loans. In addition, in December 2015, the federal bank agencies issued additional guidance entitled “Statement on Prudent Risk Management for Commercial Real Estate Lending.” Together, these guidelines describe the criteria the agencies will use as indicators to identify institutions potentially exposed to CRE concentration risk. An institution that has (i) experienced rapid growth in CRE lending, (ii) notable exposure to a specific type of CRE, (iii) total reported loans for construction, land development, and other land representing 100% or more of the institution’s capital, or (iv) total non-owner-occupied CRE (including construction) loans representing 300% or more of the institution’s capital, and the outstanding balance of the institutions CRE portfolio has increased by 50% or more in the prior 36 months, may be identified for further supervisory analysis of the level and nature of its CRE concentration risk.</w:t>
      </w:r>
    </w:p>
    <w:p>
      <w:pPr>
        <w:pStyle w:val="TextBody"/>
        <w:bidi w:val="0"/>
        <w:spacing w:lineRule="auto" w:line="288" w:before="20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Community Reinvestment Act</w:t>
      </w:r>
    </w:p>
    <w:p>
      <w:pPr>
        <w:pStyle w:val="TextBody"/>
        <w:bidi w:val="0"/>
        <w:spacing w:lineRule="auto" w:line="25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Community Reinvestment Act of 1977 and the regulations issued thereunder are intended to encourage banks to help meet the credit needs of the communities they serve, including their assessment area(s) (as established for these purposes in accordance with current applicable regulations based principally on the location of branch offices). In addition to substantial penalties and corrective measures that may be required for a violation of certain fair lending laws, the federal banking agencies may take compliance with such laws and CRA into account when regulating and supervising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43840"/>
                <wp:effectExtent l="0" t="0" r="0" b="0"/>
                <wp:wrapNone/>
                <wp:docPr id="17" name="Frame17"/>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17</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5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activities. Under the CRA, institutions are assigned a rating of “outstanding,” “satisfactory,” “needs to improve,” or “substantial noncompliance.” An institution’s record in meeting the requirements of the CRA is based on a performance-based evaluation system, and is made publicly available and is taken into consideration in evaluating any applications it files with federal regulators to engage in certain activities, including approval of a branch or other deposit facility, mergers and acquisitions, office relocations, or expansions into nonbanking activities. Our Bank operates under a CRA “strategic plan” and received a “satisfactory” rating in its most recent CRA evaluation.</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October 2023, the Federal Reserve, FDIC and OCC issued a final rule to amend their regulations implementing the CRA. The rule materially revises the current CRA framework, including the assessments areas in which a bank is evaluated to include activities associated with online and mobile banking, the tests used to evaluate the bank in its assessment areas, new methods of calculating credit for lending, investment and service activities and additional data collection and reporting requirements. The rule is expected to result in a significant increase in the thresholds for large banks to receive “satisfactory” or “outstanding” ratings in the future. The rule maintained the option for a bank to operate under a strategic plan. The rule is expected to take effect on April 1, 2024, with most of the provisions becoming applicable on January 1, 2026. </w:t>
      </w:r>
    </w:p>
    <w:p>
      <w:pPr>
        <w:pStyle w:val="TextBody"/>
        <w:bidi w:val="0"/>
        <w:spacing w:lineRule="auto" w:line="288" w:before="20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Bank Secrecy Act, Anti-Terrorism, Anti-Money Laundering Legislation and OFAC</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Bank is subject to the Bank Secrecy Act (the “BSA”) and the Uniting and Strengthening America by Providing Appropriate Tools Required to Intercept and Obstruct Terrorism Act of 2001 (the “USA Patriot Act”). These statutes and related rules and regulations impose requirements and limitations on specified financial transactions and accounts and other relationships intended to guard against money laundering and terrorism financing. The principal requirements for an insured depository institution include (i) establishment of an anti-money laundering (“AML”) program that includes training and audit components, (ii) establishment of a “know your customer” program involving due diligence to confirm the identities of persons seeking to open accounts and to deny accounts to those persons unable to demonstrate their identities, (iii) the filing of currency transaction reports for deposits and withdrawals of large amounts of cash and suspicious activities reports for activity that might signify money laundering, tax evasion, or other criminal activities, (iv) additional precautions for accounts sought and managed for non-U.S. persons and (v) verification and certification of money laundering risk with respect to private banking and foreign correspondent banking relationships. For many of these tasks a bank must keep records to be made available to its primary federal regulator. AML rules and policies are developed by a bureau within the Financial Crimes Enforcement Network (“FinCEN”), but compliance by individual institutions is overseen by its primary federal regulator.</w:t>
      </w:r>
    </w:p>
    <w:p>
      <w:pPr>
        <w:pStyle w:val="TextBody"/>
        <w:bidi w:val="0"/>
        <w:spacing w:lineRule="auto" w:line="288" w:before="20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Privacy and Data Security</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Federal and state law contains extensive consumer privacy protection provisions. The GLBA and the implementing regulations issued by federal regulatory agencies require financial institutions (including banks, insurance agencies, and broker/dealers) to adopt policies and procedures regarding the disclosure of nonpublic personal information about their customers to non-affiliated third parties. In general, financial institutions are required to explain to customers their policies and procedures regarding the disclosure of such nonpublic personal information and, unless otherwise required or permitted by law, financial institutions are prohibited from disclosing such information except as provided in their policies and procedures. Specifically, the GLBA established certain information security guidelines that require each financial institution, under the supervision and ongoing oversight of its board of directors or an appropriate committee thereof, to develop, implement, and maintain a comprehensive written information security program designed to ensure the security and confidentiality of customer information, to protect against anticipated threats or hazards to the security or integrity of such information, and to protect against unauthorized access to or use of such information that could result in substantial harm or inconvenience to any customer. The Bank is subject to such standards, as well as standards for notifying clients in the event of a security breach.</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Consumer privacy protection continues to be an area of focus for state legislatures. Several states, including California, have recently adopted consumer privacy protection laws that impose compliance obligations with respect to safeguarding personally identifiable information. The Company continues to monitor states in which it has a physical presence with respect to consumer privacy protection compliance obligations.</w:t>
      </w:r>
    </w:p>
    <w:p>
      <w:pPr>
        <w:pStyle w:val="TextBody"/>
        <w:bidi w:val="0"/>
        <w:spacing w:lineRule="auto" w:line="288" w:before="20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Cybersecurity</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Federal banking regulators, as well as the U.S. Securities and Exchange Commission ("SEC") and related self-regulatory organizations, regularly issue guidance regarding cybersecurity that is intended to enhance cybersecurity risk management among financial institutions. Recent cyber-attacks against banks and other financial institutions that resulted in unauthorized access to confidential customer information have prompted the federal banking regulators to issue extensive guidance on cybersecurity. Among other things, financial institutions are expected to design multiple layers of security controls to establish lines of defense and ensure that their risk management processes address the risks posed by compromised customer credentials, including security measures to authenticate customers accessing internet-based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43840"/>
                <wp:effectExtent l="0" t="0" r="0" b="0"/>
                <wp:wrapNone/>
                <wp:docPr id="18" name="Frame18"/>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18</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services. A financial institution also should have a robust business continuity program to recover from a cyberattack and procedures for monitoring the security of third-party service providers that may have access to nonpublic data at the institution.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Banking organizations are required to notify their primary federal regulator of significant computer security incidents within 36 hours of determining that such an incident has occurred. In addition, the SEC recently enacted rules, effective as of December 18, 2023, requiring public companies to disclose material cybersecurity incidents that they experience on Form 8-K within four business days of determining that a material cybersecurity incident has occurred and to disclose on annual basis material information regarding their cybersecurity risk management, strategy, and governance.</w:t>
      </w:r>
    </w:p>
    <w:p>
      <w:pPr>
        <w:pStyle w:val="TextBody"/>
        <w:bidi w:val="0"/>
        <w:spacing w:lineRule="auto" w:line="288" w:before="20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Federal Home Loan Bank Membership</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Bank is a member of the FHLB. Each member of the FHLB is required to maintain a minimum investment in the Class B stock of the FHLB. The Board of Directors of the FHLB can increase the minimum investment requirements in the event it has concluded that additional capital is required to allow it to meet its own regulatory capital requirements. Any increase in the minimum investment requirements outside of specified ranges requires the approval of the Federal Housing Finance Agency. Because the extent of any obligation to increase the level of investment in the FHLB depends entirely upon the occurrence of a future event, we presently are unable to determine the extent of future required potential payments to the FHLB. Additionally, if a member financial institution fails, the right of the FHLB to seek repayment of funds loaned to that institution will take priority (a super lien) over the rights of all other creditors.</w:t>
      </w: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Available Information</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maintains an internet site at www.finwisebancorp.com on which it makes available, free of charge, its Annual Report on Form 10-K, Quarterly Reports on Form 10-Q, Current Reports on Form 8-K, and all amendments to the foregoing as soon as reasonably practicable after these reports are electronically filed with, or furnished to, the SEC. In addition, stockholders may access these reports and documents on the SEC’s web site at www.sec.gov. The information on, or accessible through, our website or any other website cited in this Report is not part of, or incorporated by reference into, this Report and should not be relied upon in determining whether to make an investment decision.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risks, some of which have occurred and any of which may occur in the future, can have a material adverse effect on our business or financial performance, which in turn can affect the price of our publicly traded securities. These are not the only risks we face. There may be other risks we are not currently aware of or that we currently deem not to be material but that may become material in the future. To the extent that any of the information contained in this document constitutes forward-looking statements, the risk factors below should be reviewed as cautionary statements identifying important factors that could cause actual results to differ materially from those expressed in any forward-looking statements made by us or on our behalf. See “Cautionary Note Regarding Forward-Looking Statements.”</w:t>
      </w: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 Factor Summary</w:t>
      </w: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Our business, financial condition and results of operations are subject to a number of substantial risks and uncertainties. These risks are discussed more fully in this “Item 1A. Risk Factors.” Some of these risks include the following:</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third-party service provider risk, including risks that we may be unable to maintain or increase loan originations facilitated through our Strategic Programs;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legal, accounting and compliance risks, including risks related to the extensive state and federal regulation under which we operate and changes in such regulations;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changes in the regulatory oversight environment impacting our Strategic Programs or non-compliance of federal and state consumer protection laws by our Strategic Program service providers;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legal and regulatory risks associated with “true lender” statutes associated with our Strategic Programs;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reputational risks, including the risk that we may be subject to negative publicity about us or our industry, including the transparency, fairness, user experience, quality, and reliability of our lending products or distribution channels;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43840"/>
                <wp:effectExtent l="0" t="0" r="0" b="0"/>
                <wp:wrapNone/>
                <wp:docPr id="19" name="Frame19"/>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19</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legislative, regulatory, legal, and reputational risks related to our Strategic Programs, including those relating to our small dollar lending program;</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securities market, inflation and interest rate risks, including risks related to interest rate fluctuations and the monetary policies and regulations of the Board of Governors of the Federal Reserve System, or the Federal Reserve;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risks related to cybersecurity breaches and system failures;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operational and strategic risks, including the risk that we may not be able to implement our growth strategy, our continued ability to establish relationships with Strategic Program service providers, and the possible loss of key members of our senior leadership team;</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the impact and extent of Covid-19 (including the emergence of any new variants thereof) and the response of governmental authorities to Covid-19;</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credit risks, including risks related to the significance of SBA 7(a), Strategic Programs and construction loans in our portfolio, our relationship with BFG, our ability to effectively manage our credit risk and the potential deterioration of the business and economic conditions in our markets;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liquidity and funding risks, including the risk that we will not be able to meet our obligations due to risks relating to our funding sources; and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investment risks, including volatility in the trading of our common stock and limitations on our ability to pay dividends.</w:t>
      </w: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Cybersecurity and Technology</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System failure or cybersecurity breaches of our network security could subject us to increased operating costs as well as litigation and other potential losses.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computer systems and network infrastructure could be vulnerable to hardware and cybersecurity issues. Our operations are dependent upon our ability to protect our computer equipment against damage from fire, power loss, telecommunications failure or a similar catastrophic event. We could also experience a breach by intentional or negligent conduct on the part of employees or other internal sources. Any damage or failure that causes an interruption in our operations could have a material adverse effect on our financial condition and results of operations. The importance of our on-line banking systems to the Company’s operations means that any problems in its functionality would have a material adverse effect on the Company’s operations, business model and growth strategy.</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operations are also dependent upon our ability to protect our computer systems and network infrastructure against damage from physical break-ins, cybersecurity breaches and other disruptive problems caused by the internet or other users. Such computer break-ins and other disruptions would jeopardize the security of information stored in and transmitted through our computer systems and network infrastructure, which may result in significant liability, damage our reputation and inhibit the use of our internet banking services by current and potential customers. We could also become the target of various cyberattacks. We regularly add additional security measures to our computer systems and network infrastructure to mitigate the possibility of cybersecurity breaches, including firewalls and penetration testing. However, it is difficult or impossible to defend against every risk being posed by changing technologies as well as acts of cyber-crime. Increasing sophistication of cyber criminals and terrorists make keeping up with new threats difficult and could result in a system breach. Controls employed by our information technology department and cloud vendors could prove inadequate. A breach of our security that results in unauthorized access to our data could expose us to a disruption or challenges relating to our daily operations, as well as to data loss, litigation, damages, fines and penalties, significant increases in compliance costs and reputational damage, any of which could have a material adverse effect on our business, financial condition and results of operations.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implemented remote working and workplace protocols for our employees in accordance with government requirements. Working outside of our network protection may increase our risk exposure to cybersecurity breaches. An increase in the number of employees working offsite may correspond to an increase in the size of our risk exposure to cyber disruptions.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Despite the implementation of security measures, our internal computer systems and those of our Strategic Program platforms, and other contractors and consultants as well as third party vendors of IT and data security systems and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43840"/>
                <wp:effectExtent l="0" t="0" r="0" b="0"/>
                <wp:wrapNone/>
                <wp:docPr id="20" name="Frame20"/>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are vulnerable to damage and interruptions from security breaches, computer viruses, fraud and similar incidents involving the loss or unauthorized access of confidential information.</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cannot be sure that our continued data protection efforts and investment in information technology will prevent future significant breakdowns, data leakages, breaches in our systems or the systems of our third party contractors and collaborators, or other cyber incidents that could have a material adverse effect upon our reputation, business, operations or financial condition. If such an event were to occur and cause interruptions in our operations, it could result in a material disruption of our programs and the development of our product candidates could be delayed.</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proprietary technologies and analytic models have not yet been extensively tested during down-cycle economic conditions. If these do not, or are perceived not to, accurately gather and interpret performance data for loans and identify attractive risk-adjusted market sectors, our performance may be worse than anticipated.</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technologies created by and relied upon by us, including our FinView™ Analytics Platform, may not function properly, or at all, which may have a material impact on our operations and financial conditions. The performance of loans originated by us is dependent on the effectiveness of our FinView™ Analytics Platform used to evaluate borrowers’ credit profiles and likelihood of default. While our proprietary technologies and analytic models are continually adjusted to account for changes in various macroeconomic conditions, the bulk of the data gathered and the development of our enterprise data warehouse have largely occurred during a period of sustained economic growth or during the COVID-19 pandemic when extraordinary government stimulus impacted the economy. Our FinView™ Analytics Platform have not been extensively tested during other adverse economic cycles. There is no assurance that our proprietary technologies can accurately predict loan performance during periods of adverse economic conditions. If our FinView™ Analytics Platform is unable to accurately reflect the credit risk of loans under such economic conditions, we may experience greater than expected losses on such loans. For example, in response to the COVID-19 pandemic, the federal government quickly implemented stimulus measures. The subsequent discontinuation of those stimulus measures has increased, and may continue to increase, the delinquency and default rates of borrowers, which may increase uncertainty about the effectiveness of our FinView™ Analytics Platform.</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not have the resources to keep pace with rapid technological changes in the industry or implement new technology effectively.</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financial services industry is undergoing rapid technological changes with frequent introductions of new technology-driven products and services. Our future success will depend, at least in part, upon our ability to address the needs of our customers by using technology to provide products and services that will satisfy customer demands for convenience as well as to create additional efficiencies in our operations as we continue to grow and expand our products and service offerings. We may experience operational challenges as we implement these new technology enhancements or products, which could impair our ability to realize the anticipated benefits from such new technology or require us to incur significant costs to remedy any such challenges in a timely manner.</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Many of our larger competitors have substantially greater resources to invest in technological improvements. Third parties upon which we rely for our technology needs may not be able to develop, on a cost-effective basis, systems that will enable us to keep pace with such developments. As a result, our larger competitors may be able to offer additional or superior products compared to those that we will be able to provide, which would put us at a competitive disadvantage. We may lose customers seeking new technology-driven products and services to the extent we are unable to provide such products and services. The ability to keep pace with technological change is important and the failure to do so could adversely affect our business, financial condition and results of operations.</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operations could be interrupted if our third-party service providers or Strategic Program service providers experience operational or other systems difficulties or terminate their services.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outsource some of our operational activities to third parties and counterparties for certain services, including, but not limited to, loan marketing and origination, core systems support, informational website hosting, internet services, online account opening and other processing services. Our business depends on the successful and uninterrupted functioning of our information technology and telecommunications systems and third-party service providers. We also leverage the financial technology capabilities of our Strategic Program service providers to meet our enterprise risk framework and enable us to realize operating efficiencies.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a result, if these third-party service providers or our Strategic Program service providers experience difficulties, are subject to cybersecurity breaches, or terminate their services, and we are unable to replace them with other service providers or alternative counterparties, particularly on a timely basis, our operations could be interrupted. If an interruption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43840"/>
                <wp:effectExtent l="0" t="0" r="0" b="0"/>
                <wp:wrapNone/>
                <wp:docPr id="21" name="Frame21"/>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were to continue for a significant period, our business, financial condition and results of operations could be adversely affected. Even if we can replace third-party service providers or Strategic Program service providers, it may be at a higher cost to us, which could adversely affect our business, financial condition and results of operations.</w:t>
      </w: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Our Banking Business</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As a business operating in the financial services industry, our business and operations may be adversely affected in numerous and complex ways by weak economic conditions.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business and operations, which primarily consist of lending money to clients in the form of loans, borrowing money from clients in the form of deposits and investing in interest earning deposits in other banks and securities, are sensitive to general business and economic conditions in the United States. We solicit deposits and originate loans throughout the United States. If the U.S. economy weakens, our growth and profitability from our lending, deposit and investment operations could be constrained. Uncertainty about the federal fiscal policymaking process, the medium- and long-term fiscal outlook of the federal government and future tax rates is a concern for businesses, consumers and investors in the United States. Adverse economic conditions could have a material adverse effect on our business, financial condition and results of operations.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Conditions related to inflation, global supply chains, labor market, volatile interest rates, international conflicts, changes in trade policies and other factors, such as real estate values, state and local municipal budget deficits, government spending and the U.S. national debt may, directly and indirectly, adversely affect our financial condition and results of operations. Inflationary and other economic pressure resulting in the inability of borrowers to repay loans could result in increased loan defaults, foreclosures and charge-offs and negatively affect our business, financial condition, results of operations, cash flows and future prospects.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Strategic Programs may also be susceptible to worsening economic conditions that place financial stress on our existing service providers and potential new Strategic Program services providers. These service providers may experience liquidity and other financial issues or strategically slow down growth, any of which could lead them to decrease or terminate their business with us.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Moreover, an inflationary environment combined with a competitive labor market and decreases in the market value of our equity awards could make it more costly for us to attract or retain employees. In order to meet the compensation expectations of our prospective and current employees due to inflationary and other factors, we may be required to increase our operating costs or risk losing skilled workers to competitors.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Concerns about the performance of international economies, especially in Europe and emerging markets, and economic conditions in Asia, particularly the economies of China, South Korea and Japan, can impact the economy and financial markets here in the United States. If the national, regional and local economies experience worsening economic conditions, including high levels of unemployment, our growth and profitability could be constrained. Our business is significantly affected by monetary and other regulatory policies of the U.S. federal government, its agencies and government-sponsored entities. Changes in any of these policies are influenced by macroeconomic conditions and other factors that are beyond our control, are difficult to predict and could have a material adverse effect on our business, financial position, results of operations and growth prospects. In addition, decreases in real estate values within our service areas caused by economic conditions, recent changes in tax laws or other events could adversely affect the value of the property used as collateral for our loans, which could cause us to realize a loss in the event of a foreclosure. Further, deterioration in economic conditions could drive the level of loan losses beyond the level we have provided for in our ACL, which in turn could necessitate an increase in our provision for credit losses and a resulting reduction to our earnings and capital. These factors can individually or in the aggregate be detrimental to our business, and the interplay between these factors can be complex and unpredictable. Adverse economic conditions could have a material adverse effect on our business, financial condition and results of operations.</w:t>
      </w:r>
    </w:p>
    <w:p>
      <w:pPr>
        <w:pStyle w:val="TextBody"/>
        <w:bidi w:val="0"/>
        <w:spacing w:lineRule="auto" w:line="288" w:before="20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Acts of terrorism, geopolitical and other external events could impact our ability to conduct business.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Financial institutions have been, and continue to be, targets of terrorist threats aimed at compromising operating and communication systems and remain central targets for potential acts of terrorism. Such events could cause significant damage, impact the stability of our facilities and result in additional expenses, impair the ability of our borrowers to repay their loans, reduce the value of collateral securing repayment of our loans, and result in the loss of revenue. While we have established and regularly test disaster recovery procedures, the occurrence of any such event could have a material adverse effect on our business, operations and financial condition. Additionally, financial markets may be adversely affected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43840"/>
                <wp:effectExtent l="0" t="0" r="0" b="0"/>
                <wp:wrapNone/>
                <wp:docPr id="22" name="Frame22"/>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22</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current or anticipated impact of military conflict, including escalating military action between Russia and Ukraine, terrorism or other geopolitical events.</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commercial and consumer banking clients who participate in our real estate lending program and SBA 7(a) lending program are concentrated in certain geographic areas and we are sensitive to adverse changes in those regional economies.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success of our real estate lending programs depends substantially upon the general economic conditions in Utah, which we cannot predict with certainty. Adverse conditions in the local Utah economy such as unemployment, recession, a catastrophic event or other factors beyond our control could impact the ability of borrowers participating in our real estate lending program to repay their loans, which could impact our net interest income. In addition, our borrowers who participate in our SBA 7(a) lending program span across multiple states, with a focus in New York and New Jersey. As in the case with Utah, we similarly cannot foresee or control the economic conditions in such states. A downturn in these regional economies generally could make it more difficult for our borrowers to repay their loans and may lead to loan losses. For these reasons, any national, regional or local economic downturn that affects our service regions, or existing or prospective borrowers in such regions, could have a material adverse effect on our real estate and SBA 7(a) lending and the business, financial condition and results of operations.</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face strong competition from financial services companies and other companies that offer banking services.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operate in the highly competitive financial services industry and face significant competition for customers from financial institutions located both within and beyond our principal markets and product lines. We compete with commercial banks, savings banks, credit unions, nonbank financial services companies and other financial institutions operating both within our market areas and nationally, and in respect of our financial technology initiative we also compete with other entities in the financial technology industry, including a limited number of other banks that have developed strategic programs similar to our Strategic Programs.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Many of our non-bank competitors are not subject to the same extensive regulations that govern our activities and may have greater flexibility in competing for business. Our inability to compete successfully in the markets in which we operate could have a material adverse effect on our business, financial condition or results of operations.</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not be able to measure and limit our credit risk adequately, which could lead to unexpected losses.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business depends on our ability to successfully measure and manage credit risk. As a lender, we are exposed to the risk that the principal of, or interest on, a loan will not be paid timely or at all or that the value of any collateral supporting a loan will be insufficient to cover our outstanding exposure. In addition, we are exposed to risks with respect to the period of time over which the loan may be repaid, risks relating to proper loan underwriting, closing, servicing and liquidation, risks resulting from changes in economic and industry conditions, and risks inherent in dealing with individual loans and borrowers. If the overall economic climate in the United States generally, or in any of our markets specifically, experiences material disruption, our borrowers may experience difficulties in repaying their loans, the collateral we hold may decrease in value or become illiquid, and the level of delinquencies, nonperforming loans, and charge-offs could rise and require significant additional provisions for loan losses.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risk management practices, such as monitoring the concentration of our loans within specific markets and our credit approval, review and administrative practices, may not adequately reduce credit risk. A failure to effectively measure and limit the credit risk associated with our loan portfolio may result in loan defaults, foreclosures and additional charge-offs, and may necessitate that we significantly increase our ACL, each of which could adversely affect our net income. As a result, our inability to successfully manage credit risk could have an adverse effect on our business, financial condition and results of operations.</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ACL may prove to be insufficient to absorb potential losses in our loan portfolio.</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Financial Accounting Standards Board (the “FASB”) has issued an accounting standard for establishing allowances for loan and lease losses that replaces the prior approach under GAAP, which generally considers only past events and current conditions, with a forward-looking methodology that reflects the expected credit losses over the lives of financial assets, starting when such assets are first originated or acquired. As an emerging growth company relying on the extended transition period for new accounting standards, this standard, referred to as Current Expected Credit Loss (“CECL”), became effective for us on January 1, 2023. The CECL standard requires us to record, at the time of origination, credit losses expected throughout the life of the asset portfolio on loans and held-to-maturity securities, as opposed to the former practice of recording losses when it is probable that a loss event has occurred. Moreover, the CECL standard may create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43840"/>
                <wp:effectExtent l="0" t="0" r="0" b="0"/>
                <wp:wrapNone/>
                <wp:docPr id="23" name="Frame23"/>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23</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more volatility in the level of allowance for credit losses. If we are required to materially increase the level of our allowance for credit losses for any reason, such increase could have an adverse effect on our business, financial condition, and results of operations. For further information, please see Note 1, Summary of Significant Accounting Policies – Recent accounting pronouncements, of our audited consolidated financial statements included elsewhere in this Annual Report on Form 10-K.</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maintain an ACL that represents management’s judgment of probable losses and risks inherent in our loan portfolio. The level of the allowance reflects management’s continuing evaluation of general economic conditions, diversification and seasoning of the loan portfolio, historic loss experience, identified credit problems, delinquency levels and adequacy of collateral. The determination of the appropriate level of our ACL is inherently highly subjective and requires management to make significant estimates of and assumptions regarding current credit risks, all of which may undergo material changes. Inaccurate management assumptions, deterioration of economic conditions affecting borrowers, new information regarding existing loans, identification or deterioration of additional problem loans, acquisition of problem loans and other factors (including third-party review and analysis), both within and outside of our control, may require us to increase our ACL. If we are required to materially increase the level of our ACL for any reason, such increase could have an adverse effect on our business, financial condition and results of operations.</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New lines of business or new products and services may subject us to additional risks.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From time to time, we may implement or may acquire new lines of business or pilot programs or offer new products and services within existing lines of business. There are substantial risks and uncertainties associated with these efforts, particularly in instances where the markets are not fully developed. To the extent we enter into new lines of business, we will face numerous risks and uncertainties, including risks associated with the possibility that we have insufficient expertise to engage in such activities profitably or without incurring inappropriate amounts of risk, the required investment of capital and other resources and the loss of investors due to the perception that we are no longer focusing on our core business. In developing and marketing new lines of business and new products and services, we may invest significant time and resources. We may not achieve target timetables for the introduction and development of new lines of business and new products or services and price and profitability targets may not prove feasible. External factors, such as regulatory compliance obligations, competitive alternatives and shifting market preferences, may also impact the successful implementation of a new line of business or a new product or service. Furthermore, any new line of business or new product or service could have a significant impact on the effectiveness of our system of internal controls. Failure to successfully manage these risks in the development and implementation of new lines of business or new products or services could have a material adverse effect on our business, results of operations and financial condition.</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be subject to certain risks in connection with growing through mergers and acquisitions.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It is possible that we could acquire other banking institutions, other financial services companies, banking and servicing platforms, or branches of banks in the future. Acquisitions typically involve the payment of a premium over book and trading values and, therefore, may result in the dilution of our tangible book value per share and/or our earnings per share. Our ability to engage in future mergers and acquisitions depends on various factors, including: (1) our ability to identify suitable merger partners and acquisition opportunities; (2) our ability to finance and complete transactions on acceptable terms and at acceptable prices; and (3) our ability to receive the necessary regulatory and, when required, shareholder approvals. Furthermore, mergers and acquisitions involve a number of risks and challenges, including our ability to achieve planned synergies and to integrate the branches and operations we acquire, and the internal controls and regulatory functions into our current operations, as well as the diversion of management’s attention from existing operations, which may adversely affect our ability to successfully conduct our business and negatively impact our financial results.</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SBA lending program is dependent upon the U.S. federal government, and we face specific risks associated with originating SBA loans.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SBA lending program is dependent upon the U.S. federal government. We are an approved participant in the SBA Preferred Lenders Program (“PLP”). As an SBA Preferred Lender, we are able to offer SBA loans to our clients without being subject to the potentially lengthy SBA approval process for application, servicing or liquidation actions necessary for lenders that are not SBA Preferred Lenders. If we lose our status as an SBA Preferred Lender, we may lose some or all of our customers to lenders who are SBA Preferred Lenders, and as a result we could experience a material adverse effect on our financial results. Any changes to the SBA program, including but not limited to changes to the level of guarantee provided by the federal government on SBA loans, changes to program specific rules impacting volume eligibility under the guaranty program, as well as changes to the program amounts authorized by Congress or exhaustion of the available funding for SBA programs, may have a material adverse effect on our business. In addition, any default by the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43840"/>
                <wp:effectExtent l="0" t="0" r="0" b="0"/>
                <wp:wrapNone/>
                <wp:docPr id="24" name="Frame24"/>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24</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government on its obligations or any prolonged government shutdown could, among other things, impede our ability to originate SBA loans or sell such loans in the secondary market, which could materially and adversely affect our business, financial condition and results of operations. When we originate SBA loans, we incur credit risk on the non-guaranteed portion of the loans, and if a customer defaults on a loan, we share any loss and recovery related to the loan pro-rata with the SBA. If the SBA establishes that a loss on an SBA guaranteed loan is attributable to significant technical deficiencies in the manner in which the loan was originated, funded or serviced by us, the SBA may seek recovery of the principal loss related to the deficiency from us.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the funding and sale of the guaranteed portion of SBA 7(a) loans has been a major portion of our business and a significant portion of our noninterest income, any significant changes to the SBA 7(a) program, such as its funding or eligibility requirements, may have an adverse effect on our prospects, financial condition and results of operations. Even if we are able to continue to originate and sell SBA 7(a) loans in the secondary market, we might not continue to realize premiums upon the sale of the guaranteed portion of these loans or the premiums may decline due to economic and competitive factors. Furthermore, when we sell the guaranteed portion of SBA loans in the ordinary course of business, we are required to make certain representations and warranties to the purchaser about the SBA loan and the manner in which they were originated. Under these agreements, we may be required to repurchase the guaranteed portion of the SBA loan if we have breached any of these representations or warranties, in which case we may record a loss. In addition, if repurchase and indemnity demands increase on loans that we sell from our portfolios, our liquidity, results of operations and financial condition could be adversely affected.</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Generally, we do not maintain reserves or loss allowances for such potential claims and any such claims could materially and adversely affect our business, financial condition and earnings.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laws, regulations and standard operating procedures that are applicable to SBA loan products may change in the future. We cannot predict the effects of these changes on our business and profitability. Because government regulation greatly affects the business and financial results of all commercial banks and bank holding companies and especially our organization, changes in the laws, regulations and procedures applicable to SBA loans could adversely affect our ability to operate profitably.</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rely on BFG for loan referrals associated with our SBA 7(a) lending program, any disruption of that relationship may adversely impact our SBA lending business.</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BFG is a nationally significant referral source of small business loans. BFG has been the primary source of SBA loan referrals for the Bank since the Bank began its SBA lending program in 2014. BFG referred </w:t>
      </w:r>
      <w:r>
        <w:rPr>
          <w:rFonts w:ascii="Times New Roman;sans-serif" w:hAnsi="Times New Roman;sans-serif"/>
          <w:b w:val="false"/>
          <w:color w:val="000000"/>
          <w:sz w:val="20"/>
        </w:rPr>
        <w:t>100%</w:t>
      </w:r>
      <w:r>
        <w:rPr>
          <w:color w:val="000000"/>
          <w:shd w:fill="FFFFFF" w:val="clear"/>
        </w:rPr>
        <w:t xml:space="preserve"> </w:t>
      </w:r>
      <w:r>
        <w:rPr>
          <w:rFonts w:ascii="Times New Roman;sans-serif" w:hAnsi="Times New Roman;sans-serif"/>
          <w:b w:val="false"/>
          <w:color w:val="000000"/>
          <w:sz w:val="20"/>
          <w:shd w:fill="FFFFFF" w:val="clear"/>
        </w:rPr>
        <w:t>of the Bank’s SBA 7(a) loan originations for the year ended December 31, 2023. This relationship has permitted the Bank to focus on the development of underwriting, processing and servicing expertise for SBA 7(a) loans. Any disruption of our relationship with BFG or reduction in SBA 7(a) loan referrals could materially adversely impact our business, financial condition, results of operation and growth plans.</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Because a significant portion of our loan portfolio held-for-investment within our local lending program, owner occupied commercial lending program and SBA 7(a) lending program is secured by real estate, negative changes in the economy affecting real estate values and liquidity could impair the value of collateral securing our real estate loans and result in loan and other losses.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2023, approximately $60.9 million, or 16.4%, of our total gross loans held-for-investment were local lending or owner occupied commercial lending program loans with real estate as a primary or secondary component of collateral. We also have approximately $220.8 million, or 59.3%, of our total gross loans held-for-investment in SBA loans that are secured with real estate as a component of collateral as of December 31, 2023. The market value of real estate can fluctuate significantly in a short period of time. As a result, adverse developments affecting real estate values and the liquidity of real estate in our primary markets could increase the credit risk associated with our loan portfolio, and could result in losses that adversely affect our credit quality, financial condition and results of operations. Negative changes in the economy affecting real estate values and liquidity in our market areas could significantly impair the value of property pledged as collateral on loans and affect our ability to sell the collateral upon foreclosure without a loss or additional losses. Collateral may have to be sold for less than the outstanding balance of the loan, which could result in losses on such loans. Such declines and losses would have a material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43840"/>
                <wp:effectExtent l="0" t="0" r="0" b="0"/>
                <wp:wrapNone/>
                <wp:docPr id="25" name="Frame25"/>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25</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Appraisals and other valuation techniques we use in evaluating and monitoring loans secured by real property, other real estate owned and repossessed business and personal property may not accurately describe the net value of the asset.</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considering whether to make a loan secured by real property, we generally require an appraisal of the property which may not accurately describe the net value of the real property collateral after the loan is made. As a result, we may not be able to realize the full amount of any remaining indebtedness if we foreclose on and sell the relevant property. In addition, we rely on appraisals and other valuation techniques to establish the value of our other real estate owned, or OREO, and business and personal property that we acquire through foreclosure proceedings and to determine certain loan impairments. If any of these valuations are inaccurate, our consolidated financial statements may not reflect the correct value of our OREO, and our ACL may not reflect accurate loan impairments. This could have a material adverse effect on our business, financial condition or results of operations.</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 the case of defaults on loans secured by real estate, we may be forced to foreclose on the collateral, subjecting us to the costs and potential risks associated with the ownership of the real property, or consumer protection initiatives or changes in state or federal law that may substantially raise the cost of foreclosure or prevent us from foreclosing at all.</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Since we originate loans secured by real estate, we may have to foreclose on the collateral property to protect our investment and may thereafter own and operate such property for some period, in which case we would be exposed to the risks inherent in the ownership of real estate. Our inability to manage the amount of costs or size of the risks associated with the ownership of real estate, or write-downs in the value of other real estate owned, could have a material adverse effect on our business, financial condition and results of operations.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Additionally, consumer protection initiatives or changes in state or federal law may substantially increase the time and expense associated with the foreclosure process or prevent us from foreclosing at all. Some states in recent years have either considered or adopted foreclosure reform laws that make it substantially more difficult and expensive for lenders to foreclose on properties in default. If new state or federal laws or regulations are ultimately enacted that significantly raise the cost of foreclosure or raise outright barriers, such laws could have a material adverse effect on our business, financial condition and results of operation.</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not be able to protect our intellectual property rights, and may become involved in lawsuits to protect or enforce our intellectual property, which could be expensive, time consuming and unsuccessful.</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rely on a combination of copyright, trademark, trade secret laws and confidentiality provisions to establish and protect our proprietary rights. If we fail to successfully maintain, protect and enforce our intellectual property rights, our competitive position could suffer. Similarly, if we were to infringe on the intellectual property rights of others, our competitive position could suffer. Third parties may challenge, invalidate, circumvent, infringe or misappropriate our intellectual property, or such intellectual property may not be sufficient to permit us to take advantage of current market trends or otherwise to provide competitive advantages, which could result in costly redesign efforts, discontinuance of certain product or service offerings or other competitive harm. We may also be required to spend significant resources to monitor and police our intellectual property rights. Others, including our competitors, may independently develop similar technology, duplicate our products or services or design around our intellectual property, and in such cases we may not be able to assert our intellectual property rights against such parties. Further, our contractual arrangements may not effectively prevent disclosure of our confidential information or provide an adequate remedy in the event of unauthorized disclosure of our confidential or proprietary information. We may have to litigate to enforce or determine the scope and enforceability of our intellectual property rights, trade secrets and know-how, which could be time-consuming and expensive, could cause a diversion of resources and may not prove successful. The loss of intellectual property protection or the inability to obtain rights with respect to third party intellectual property could harm our business and ability to compete. In addition, because of the rapid pace of technological change in our industry, aspects of our business and our products and services rely on technologies developed or licensed by third parties, and we may not be able to obtain or continue to obtain licenses and technologies from these third parties on reasonable terms or at all.</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origination of construction loans exposes us to increased lending risks.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originate commercial construction loans primarily to professional builders for the construction of one-to-four family residences, apartment buildings, and commercial real estate properties. As of December 31, 2023, we had approximately $28.3 million of construction loans, which represents approximately 7.6% of our total gross loan portfolio held-for-investment. Our construction loans present a greater level of risk than loans secured by improved, occupied real estate due to: (1) the increased difficulty at the time the loan is made of estimating the building costs and the selling price of the property to be built; (2) the increased difficulty and costs of monitoring the loan; (3) the higher degree of sensitivity to increases in market rates of interest; and (4) the increased difficulty of working out loan problems. In addition, construction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43840"/>
                <wp:effectExtent l="0" t="0" r="0" b="0"/>
                <wp:wrapNone/>
                <wp:docPr id="26" name="Frame26"/>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26</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costs may exceed original estimates as a result of increased materials, labor or other costs. Construction loans also often involve the disbursement of funds with repayment dependent, in part, on the success of the project and the ability of the borrower to sell or lease the property or refinance the indebtedness.</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small- to medium-sized businesses that we lend to may have fewer resources to weather adverse business developments, which may impair our borrowers’ ability to repay loans.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Small- to medium-sized businesses frequently have smaller market shares than their competition, may be more vulnerable to economic downturns, often need substantial additional capital to expand or compete and may experience substantial volatility in operating results, any of which may impair a borrower’s ability to repay a loan. In addition, the success of a small- and medium-sized business often depends on the management skills, talents and efforts of a small group of people, and the death, disability or resignation of one or more of these people could have a material adverse effect on the business and its ability to repay its loan. If our borrowers are unable to repay their loans, our business, financial condition and results of operations could be adversely affected.</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concentration of large loans to a limited number of borrowers may increase our credit risk.</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2023, our 10 largest borrowing relationships accounted for approximately 13.0% of our total gross loans held-for-investment. This high concentration of borrowers presents a risk to our lending operations. If any one of these borrowers becomes unable to repay its loan obligations because of economic or market conditions, or personal circumstances, such as divorce or death, our nonaccrual loans and our ACL could increase significantly, which could have a material adverse effect on our assets, business, financial condition and results of operations.</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 lack of liquidity could impair our ability to fund operations and adversely impact our business, financial condition and results of operations.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Liquidity is essential to our business. We rely on our ability to generate deposits and effectively manage the repayment and maturity schedules of our loans and investment securities, respectively, to ensure that we have adequate liquidity to fund our operations.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most important source of funds is deposits. As of December 31, 2023, approximately $95.5 million, or 23.6%, of our total deposits were noninterest bearing demand accounts. These deposits are subject to potentially dramatic fluctuations due to certain factors that may be outside of our control, such as a loss of confidence by customers in us or the banking sector generally, customer perceptions of our financial health and general reputation, any of which could result in significant outflows of deposits within short periods of time increasing our funding costs and reducing our net interest income and net income. If the balance of the Company’s deposits decreases relative to the Company’s overall banking operations, the Company may have to rely more heavily on wholesale or other sources of external funding, or may have to increase deposit rates to maintain deposit levels in the future. Any such increased reliance on wholesale funding, or increases in funding rates in general, could have a negative impact on the Company’s net interest income and, consequently, on its results of operations and financial condition.</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Strategic Programs generally require each Strategic Program platform to establish a reserve deposit account with the Bank, intended to protect us in the event a purchaser of loan receivables originated through our Strategic Programs cannot meet its contractual obligation to purchase. The reserve deposit account balance is typically required to at least equal the total outstanding balance of loans held-for-sale by the Bank related to the Strategic Program. In the event that a loan purchaser defaults on its obligation under the Strategic Program agreements and the reserve deposit account balance is lower than the loans held-for-sale, the Bank may not be able to withdraw sufficient amount from the reserve deposit account to fulfill loan purchaser obligations and our liquidity may be adversely impacted.</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also may borrow funds from third-party lenders, such as other financial institutions. We currently utilize four secured lines of credit provided by the FHLB, PPPLF and the Federal Reserve and two unsecured lines of credit provided by Bankers Bank of the West and Zions Bank. Our access to funding sources in amounts adequate to finance or capitalize our activities, or on terms that are acceptable to us, could be impaired by factors that affect us directly or the financial services industry or economy in general, such as disruptions in the financial markets or negative views and expectations about the prospects for the financial services industry. Our access to funding sources could also be affected by one or more adverse regulatory actions against us.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Further, the Federal Housing Finance Agency, the regulator of FHLB and other federal home loan banks, launched a comprehensive review of the Federal Home Loan Bank System including the mission, membership eligibility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43840"/>
                <wp:effectExtent l="0" t="0" r="0" b="0"/>
                <wp:wrapNone/>
                <wp:docPr id="27" name="Frame27"/>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27</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and operational efficiencies of the federal home loan banks in 2022. Any change to or termination of our ability to borrow from the FHLB or correspondent banks could have an adverse effect on our financial condition and liquidity.</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Any decline in available funding could adversely impact our ability to originate loans, invest in securities, meet our expenses or fulfill obligations such as repaying our borrowings or meeting deposit withdrawal demands, any of which could, in turn, have a material adverse effect on our business, financial condition and results of operations.</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have a concentration of deposit accounts with our Strategic Program service providers that is a material source of our funding, and the loss of these deposits or default on letters of credit by these Strategic Program service providers could force us to fund our business through more expensive and less stable sources.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2023, approximately $68.1 million, or approximately 16.8%, of our total deposits consisted of deposit accounts of our Strategic Program service providers. Generally, the terms of our Strategic Programs require each Strategic Program service provider or purchasing entity to establish a reserve deposit account with the Bank in an amount at least equal to the total outstanding balance of loans held-for-sale by the Bank related to the Strategic Program. This requirement is intended to protect the Bank in the event a purchaser of loan receivables originated through our Strategic Programs cannot meet its contractual obligation to purchase. Depending on the strength of the relationship between the Bank and our Strategic Program service providers, we may reduce the required amount of reserve deposits held and/or allow a portion of the requirement to be fulfilled by a letter of credit. In addition to the reserve deposit account, certain Strategic Program service providers have opened operating deposit accounts at the Bank. If a Strategic Program service provider defaults on its letter of credit or we experience additional unanticipated fluctuations in our Strategic Program deposit levels, we may be forced to rely more heavily on other, potentially more expensive and less stable funding sources, which could have an adverse effect on our business, financial condition and results of operations.</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If we are unable to attract additional merchants and retain and grow our existing merchant relationships, our business, results of operations, financial condition, and future prospects could be materially and adversely affected.</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continued success is dependent, in part, on our ability to expand our merchant base and to grow our commercial leasing and POS lending revenue. In addition, having a diversified mix of merchant relationships is important to mitigate risk associated with changing consumer spending behavior, economic conditions and other factors that may affect a particular type of merchant or industry. If we fail to retain any of our merchant relationships, if we do not acquire new merchant relationships, if we do not continually expand revenue and volume from the merchant relationships, or if we do not attract and retain a diverse mix of merchant relationships, our business, results of operations, financial condition, and future prospects could be materially and adversely affected.</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are subject to interest rate risk as fluctuations in interest rates may adversely affect our earnings.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Most of our banking assets and liabilities are monetary in nature and subject to risk from changes in interest rates. Like most financial institutions, our earnings are significantly dependent on our net interest income, the principal component of our earnings, which is the difference between interest earned by us from our interest earning assets, such as loans and investment securities, and interest paid by us on our interest-bearing liabilities, such as deposits and borrowings. We expect that we will periodically experience “gaps” in the interest rate sensitivities of our assets and liabilities, meaning that either our interest-bearing liabilities will be more sensitive to changes in market interest rates than our interest earning assets, or vice versa. In either case, if market interest rates should move contrary to our position, this gap will negatively impact our earnings. The impact on earnings is more adverse when the slope of the yield curve flattens; that is, when short-term interest rates increase more than long-term interest rates or when long-term interest rates decrease more than short-term interest rates.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March 2020, the Federal Reserve lowered the target range for the federal funds rate to a range from 0 to 0.25 percent in response to the Covid-19 pandemic. The federal funds rate remained in this range for all of 2021. After a period of low interest rates, the federal funds rate was increased rapidly to 4.25%-4.50% at the end of 2022, and to 5.25%-5.5% at the end of 2023. Further changes to prevailing interest rates could influence not only the interest we receive on loans and investments and the amount of interest we pay on deposits and borrowings, but such changes could also affect (i) our ability to originate loans at competitive rates and obtain deposits; (ii) the fair value of our financial assets and liabilities; (iii) the average duration of our loan portfolios and other interest-earning assets; and (iv) the mix of lending products we originate. A prolonged period of extremely volatile and unstable market conditions could increase our funding costs and negatively affect market risk mitigation strategies. Increased interest rates may decrease borrower demand for certain of our lending products, even as inflation places pressure on consumer spending, borrowing and saving habits as consumers evaluate their prospects for future income growth and employment opportunities in the current economic environment,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43840"/>
                <wp:effectExtent l="0" t="0" r="0" b="0"/>
                <wp:wrapNone/>
                <wp:docPr id="28" name="Frame28"/>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28</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borrowers face uncertainty about the impact of rising prices on their ability to repay a loan. A change in demand for our lending products and any steps we may take to mitigate such change could impact our credit quality and overall growth.</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Any future failure to maintain effective internal control over financial reporting could impair the reliability of our financial statements, which in turn could harm our business, impair investor confidence in the accuracy and completeness of our financial reports and our access to the capital markets and cause the price of our common stock to decline and subject us to regulatory penalties.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management is responsible for establishing and maintaining adequate internal control over financial reporting and for evaluating and reporting on that system of internal control. Our internal control over financial reporting consists of a process designed to provide reasonable assurance regarding the reliability of financial reporting and the preparation of financial statements for external purposes in accordance with generally accepted accounting principles, or GAAP. Weaknesses in our internal control over financial reporting have been discovered in the past and may be discovered in the future. If we fail to maintain effective internal control over financial reporting, we may not be able to report our financial results accurately and in a timely manner, in which case our business may be harmed, investors may lose confidence in the accuracy and completeness of our financial reports, we could be subject to regulatory penalties and the price of our common stock may decline.</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accuracy of our financial statements and related disclosures could be affected if the judgments, assumptions or estimates used in our critical accounting policies are inaccurate.</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preparation of financial statements and related disclosures in conformity with GAAP requires us to make judgments, assumptions and estimates that affect the amounts reported in our consolidated financial statements and accompanying notes. Our critical accounting policies, which are included in “Item 7. Management’s Discussion and Analysis of Financial Condition and Results of Operations,” describe those significant accounting policies and methods used in the preparation of our consolidated financial statements that we consider critical because they require judgments, assumptions and estimates that materially affect our consolidated financial statements and related disclosures. As a result, if future events or regulatory views concerning such analysis differ significantly from the judgments, assumptions and estimates in our critical accounting policies, those events or assumptions could have a material impact on our consolidated financial statements and related disclosures, in each case resulting in our need to revise or restate prior period financial statements, cause damage to our reputation and the price of our common stock and adversely affect our business, financial condition and results of operations.</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could recognize losses on investment securities held in our securities portfolio, particularly if interest rates increase or economic and market conditions deteriorate.</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invest a portion of our total assets (2.6% as of December 31, 2023) in investment securities with the primary objectives of providing a source of liquidity, providing an appropriate return on funds invested, managing interest rate risk and meeting pledging requirements. As of December 31, 2023, all securities were classified as held-to-maturity. Factors beyond our control can significantly and adversely influence the fair value of securities in our portfolio. Because of changing economic and market conditions affecting interest rates, the financial condition of issuers of the securities and the performance of the underlying collateral, we may recognize realized and/or unrealized losses in future periods, which could have a material adverse effect on our business, financial condition and results of operations.</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are subject to certain operational risks, including, but not limited to, customer, employee or third-party fraud.</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Employee errors and employee or customer misconduct could subject us to financial losses or regulatory sanctions and seriously harm our reputation. Misconduct by our employees could include hiding unauthorized activities from us, improper or unauthorized activities on behalf of our customers or improper use of confidential information. It is not always possible to prevent employee errors and misconduct, and the precautions we take to prevent and detect this activity may not be effective in all cases. Employee errors could also subject us to financial claims for negligence. In addition, we rely heavily upon information supplied by third parties, including the information contained in credit applications, property appraisals, title information and employment and income documentation, in deciding which loans we will originate, as well as the terms of those loans. If any of the information upon which we rely is misrepresented, either fraudulently or inadvertently, and the misrepresentation is not detected prior to loan funding, the value of the loan may be significantly lower than expected, or we may fund a loan that we would not have funded or on terms that do not comply with our general underwriting standards. The sources of the misrepresentations are often difficult to locate, and it is often difficult to recover any of the resulting monetary losses we may suffer, which could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43840"/>
                <wp:effectExtent l="0" t="0" r="0" b="0"/>
                <wp:wrapNone/>
                <wp:docPr id="29" name="Frame29"/>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29</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rely heavily on our executive management team and other key employees, and we could be adversely affected by the unexpected loss of their services.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led by an experienced core management team with substantial experience in the markets that we serve, and our operating strategy focuses on providing products and services through long-term relationship managers and ensuring that our largest clients have relationships with our senior management team. Accordingly, our success depends in large part on the performance of these key personnel, as well as on our ability to attract, motivate and retain highly qualified senior and middle management. If any of our executive officers, other key personnel or directors leaves us or our Bank, our financial condition and results of operations may suffer because of his or her skills, knowledge of our market, years of industry experience and the difficulty of promptly finding qualified personnel to replace him or her.</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Negative public opinion regarding the Company or failure to maintain our reputation within the industries we serve and across our product lines could adversely affect our business and prevent us from growing our business.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If our reputation is negatively affected by the actions of our employees or otherwise, including because of a successful cyberattack against us or other unauthorized release or loss of customer information, we may be less successful in attracting new talent and customers or may lose existing customers, and our business, financial condition and results of operations could be adversely affected. Further, negative public opinion can expose us to litigation and regulatory action and delay and impede our efforts to implement our expansion strategy, which could further adversely affect our business, financial condition and results of operations.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negative publicity about us or our industry, including the transparency, fairness, user experience, quality, and reliability of our lending products or channels, including auto loans, construction loans, SBA loans, point-of-sale financing, or our Strategic Programs in general, effectiveness of our risk model, our ability to effectively manage and resolve complaints, our privacy and security practices, litigation, regulatory activity, funding sources, originating bank partners, service providers, or others in our industry, the experience of consumers and investors with our lending products, channels or services or point-of-sale lending platforms in general, or use of loan proceeds by consumers that have obtained loans facilitated through us or other point-of-sale lending platforms for illegal purposes, even if inaccurate, could adversely affect our reputation and the confidence in, and the use of, our services, which could harm our reputation and cause disruptions to our business. Any such reputational harm could further affect the behavior of consumers, including their willingness to obtain loans facilitated through us or to make payments on their loans. As a result, our business, results of operations, financial condition, and prospects would be materially and adversely affected.</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be susceptible to deposit run-off risks.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Bank relies significantly upon deposits for liquidity and funding business operations. Generally, deposits are a relatively stable and cost-effective source of funding for banks due to many factors, including FDIC deposit insurance. Changes in deposit levels can be influenced substantially by many factors, including customer satisfaction and the interest rates offered to deposit customers. Those rates, in turn, generally reflect prevailing market conditions. During the first quarter of 2023, the media highlighted the risks of an extreme form of deposit run-off, sometimes referred to as a “run on the bank.” The failures of Silicon Valley Bank, Signature Bank, and First Republic Bank in 2023 resulted in significant disruption in the financial services industry and negative media attention, which has also adversely impacted the volatility and market prices of the securities of financial institutions and resulted in outflows of deposits for many other financial institutions. More moderate levels of run-off can adversely affect banks but are less dramatic and have been significantly less reported. The rapid rise in interest rates during 2022 and 2023 and the resulting industry-wide reduction in the fair value of securities portfolios, among other events, have increased volatility and uncertainty with respect to the health of the U.S. banking system. We believe this has resulted in a heightened awareness around liquidity, uninsured deposits, deposit composition, unrecognized investment losses, and capital. We believe that the increased level of public concern created by the current adverse business environment, punctuated by media reports of potential or actual bank failures, have increased the risk of some level of deposit run-off for depository institutions at the present time. That increased run-off risk applies both generally and in relation to deposits that exceed FDIC insurance coverage. To manage this risk, the Bank maintains cash reserves and access to other liquidity sources to accommodate normal and, to a degree, unusual withdrawal activity, and the Bank plans to respond promptly and accurately to any customer concerns that might arise.</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not be able to raise the additional capital needed, in absolute terms or on terms acceptable to us, to fund our growth strategy in the future if we continue to grow at our current pace.</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believe that we have sufficient capital to meet our capital needs for our immediate growth plans. However, we will continue to need capital to support our longer-term growth plans. If capital is not available on favorable terms when we need it, we will have to either issue common stock or other securities on less than desirable terms or reduce our rate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43840"/>
                <wp:effectExtent l="0" t="0" r="0" b="0"/>
                <wp:wrapNone/>
                <wp:docPr id="30" name="Frame30"/>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30</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growth until market conditions become more favorable. Any such events could have a material adverse effect on our business, financial condition and results of operations.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failure to meet applicable regulatory capital requirements could result in one or more of our regulators placing limitations or conditions on our activities, including our growth initiatives, or restricting the commencement of new activities, and could adversely affect customer and investor confidence, our costs of funds and FDIC insurance costs, our ability to make acquisitions, and our business, results of operations and financial condition.</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Climate change or government action and societal responses to climate change could adversely affect our results of operations.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Climate change can increase the likelihood of the occurrence and severity of natural disasters and can also result in longer-term shifts in climate patterns such as extreme heat, sea level rise and more frequent and prolonged drought. Such significant climate change effects may negatively impact our geographic markets, disrupting the operations of the Company, our customers or third parties on which we rely. Damage to real estate collateral and declines in economic conditions in geographic markets in which our customers operate may impact their ability to repay loans or maintain deposits due to climate change effects, which could increase our delinquency rates and average credit loss.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offices may be vulnerable to the adverse effects of climate change. We have a substantial physical presence in the Salt Lake City, Utah, region that is prone to events such as seismic activity, drought, water scarcity and severe weather. This region has experienced and may continue to experience, climate-related events and at an increasing rate. Although we maintain a disaster response plan and insurance, such events could disrupt our business, the business of our customers or third-party suppliers, and may cause us to experience losses and additional costs to maintain and resume operations.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the effects of climate change continue to create a level of concern for the state of the global environment, companies are facing increasing scrutiny from customers, regulators, investors and other stakeholders related to their environmental, social and governance (“ESG”) practices and disclosure. New government regulations could result in more stringent forms of ESG oversight and reporting and diligence and disclosure requirements. Increased ESG related compliance costs, in turn, could result in increases to our overall operational costs. Failure to adapt to or comply with regulatory requirements or investor or stakeholder expectations and standards, including with respect to our involvement in certain industries or projects associated with causing or exacerbating climate change, may negatively affect our reputation and commercial relationships, which could adversely affect our business.</w:t>
      </w:r>
    </w:p>
    <w:p>
      <w:pPr>
        <w:pStyle w:val="TextBody"/>
        <w:bidi w:val="0"/>
        <w:spacing w:before="200" w:after="283"/>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expect to derive a percentage of our deposits, total assets and income from deposit accounts generated through our Fintech Banking Solutions relationships.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expect to acquire deposit accounts through our Fintech Banking Solutions relationships and provide oversight over these relationships, which must meet our internal and regulatory requirements. We may exit relationships where such requirements are not met or be required by our regulators to exit such relationships. Also, our Fintech Banking Solutions customers could terminate their relationships with us for many reasons, including being able to obtain better terms from another provider or dissatisfaction with the level or quality of our services. If a relationship were to be terminated, it could materially reduce our deposits, assets and income. We cannot assure you that we would be able to successfully replace such relationships. If we cannot replace such relationships, we may be required to seek higher rate funding sources and interest expense might increase. We may also be required to sell securities or other assets to meet funding needs which would reduce revenues or potentially generate losses.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strategy of pursuing business with our Fintech Banking Solutions customers has been adopted by other institutions with which we compete.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Several online banking operations as well as the online banking programs of conventional banks have instituted Fintech Banking Solutions strategies similar to ours. As a consequence, we have encountered competition in this area and anticipate that we will continue to do so in the future. This competition may increase our costs, reduce our revenues or revenue growth or, because we are a relatively small banking operation without the name recognition of other, more established banking operations, make it difficult for us to compete effectively in obtaining these relationships.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agreements with Fintech Banking Solutions customers may expose us to credit risk.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43840"/>
                <wp:effectExtent l="0" t="0" r="0" b="0"/>
                <wp:wrapNone/>
                <wp:docPr id="31" name="Frame31"/>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may enter into agreements with our Fintech Banking Solutions customers pursuant to which our Fintech Banking Solutions customers may market bank consumer checking and consumer or commercial line of credit (“LOC”) accounts using their brands and digital platforms, make underwriting determinations for the LOC accounts, cover any losses on the LOC accounts, provide cash collateral to the Bank to secure payment of such losses or be partial guarantors of losses on the LOC accounts. In the event the cash collateral amount is not adequately maintained or is insufficient to cover the losses on the LOC accounts and the Fintech Banking Solutions customer does not or cannot otherwise meet its partial guaranty or other obligations under its agreement with the Bank, the Bank may incur losses on the LOC accounts. Losses associated with the LOC accounts (or the portfolios of other third parties with whom we enter into comparable Fintech Banking Solutions relationships) in such circumstances could have a material adverse effect on our net income,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agreements with Fintech Banking Solutions customers may produce limited revenue and may expose us to liability for compliance violations by Fintech Banking Solutions customer.</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expect to enter into agreements with Fintech Banking Solutions customers pursuant to which we will provide certain banking services for such Fintech Banking Solutions customers, including serving as the issuing bank for credit or debit cards issued to their customers and establishing one or more settlement accounts for the purpose of settling customer transactions. The agreements have varying terms and may be terminated by the parties under certain circumstances. If our Fintech Banking Solutions customers are not successful in achieving customer acceptance of their programs or terminate the agreement before the end of its term, our revenue under the agreement may be limited or may cease altogether. In addition, our bank regulators may hold us responsible for the activities of our Fintech Banking Solutions customers with respect to the marketing or administration of their programs, which may result in increased compliance costs for us or potentially compliance violations as a result of Fintech Banking Solutions customer activities. In recent years, a significant number of banks that provide Fintech Banking Solutions have become subject to enforcement actions relating to their customers’ activities, indicating that banking regulators have made banks’ oversight over their Fintech Banking Solutions customers a supervisory priority and that there is an increased risk that we could similarly become subject to additional regulatory scrutiny or enforcement. Additionally, financial weaknesses at our Fintech Banking Solutions customers could cause us to record greater expenses or losses or suffer reputational harm.</w:t>
      </w: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Regulation</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are subject to regulation, which increases the cost and expense of regulatory compliance and therefore reduces our net income and may restrict our growth and ability to acquire other financial institutions.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 bank holding company under federal law, we are subject to regulation under the Bank Holding Company Act of 1956, as amended, or the BHC Act, and the examination and reporting requirements of the Federal Reserve. In addition to supervising and examining us, the Federal Reserve, through its adoption of regulations implementing the BHC Act, places certain restrictions on the activities that are deemed permissible for bank holding companies to engage in. Changes in the number or scope of permissible activities could have an adverse effect on our ability to realize our strategic goals.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 Utah state-chartered bank that is not a member of the Federal Reserve System, the Bank is separately subject to regulation by both the FDIC and the UDFI. The FDIC and UDFI regulate numerous aspects of the Bank’s operations, including adequate capital and financial condition, permissible types and amounts of extensions of credit and investments, permissible non-banking activities and restrictions on dividend payments. The Bank undergoes periodic examinations by the FDIC and UDFI. Following such examinations, the Bank may be required, among other things, to change its asset valuations or the amounts of required loan loss allowances or to restrict its operations, as well as increase its capital levels, which would likely adversely affect our results of operations. Supervision, regulation, and examination of the Company and the Bank by the bank regulatory agencies are intended primarily for the protection of consumers, commercial customers, bank depositors and the Deposit Insurance Fund of the FDIC, rather than holders of our common stock. Particularly as a result of any changes in the regulations and regulatory agencies under the Dodd-Frank Act, we may be required to invest significant management attention and resources to evaluate and make any changes necessary to comply with applicable laws and regulations. This allocation of resources, as well as any failure to comply with applicable requirements, may negatively impact our results of operations and financial condition.</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Legislative and regulatory actions taken now or in the future may increase our costs and impact our business, governance structure, financial condition or results of operations.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Federal and state regulatory agencies frequently adopt changes to their regulations or change the way existing regulations are applied, including the Dodd-Frank Act and the Regulatory Relief Act. These and other changes are more fully discussed under “Supervision and Regulation.” Regulatory or legislative changes to laws applicable to the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43840"/>
                <wp:effectExtent l="0" t="0" r="0" b="0"/>
                <wp:wrapNone/>
                <wp:docPr id="32" name="Frame32"/>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industry, if enacted or adopted, may impact the profitability of our business activities, require more oversight or change certain of our business practices, including the ability to offer new products, obtain financing, attract deposits, make loans and achieve satisfactory interest spreads and could expose us to additional costs, including increased compliance costs. These changes also may require us to invest significant management attention and resources to make any necessary changes to operations to comply and could have a material adverse effect on our business, financial condition and results of operations.</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Due to Section 162(m) of the Internal Revenue Code (the “Code”), we may not be able to deduct all of the compensation of some executives, including executives of companies we may acquire in the future.</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Section 162(m) of the Code generally limits to $1 million annual deductions for compensation paid to “covered employees” of any “publicly held corporation.” A “publicly held corporation” includes any company that issues securities required to be registered under Section 12 of the Securities Exchange Act of 1934 or companies required to file reports under Section 15(d) of the Exchange Act, determined as of the last day of the company’s taxable year. As a consequence, Section 162(m) of the Code will limit the deductibility of compensation to our covered employees to $1 million beginning with the year ended December 31, 2021. Pursuant to Treasury regulations that were finalized on December 18, 2020, the definition of “covered employees” generally includes anyone who served as the chief executive officer or chief financial officer at any time during the taxable year; the three highest compensated executive officers (other than the chief executive officer or the chief financial officer), determined under SEC rules; and any individual who was a covered employee, including of a “predecessor company,” at any point during a taxable year beginning on or after January 1, 2017, even after the employee terminates employment. We expect that in most if not all cases a publicly traded company that we might acquire in the future will be a “predecessor company.” Accordingly, we expect that the number of our covered employees will increase if FinWise Bancorp acquires one or more publicly held corporations in the future.</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Notably, under the American Rescue Plan Act of 2021, or the ARPA, which was signed into law on March 11, 2021, for tax years beginning after December 31, 2026, the definition of “covered employees” will be expanded to include FinWise Bancorp’s next five highest paid employees (in addition to those currently included in the definition as described above).</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a result of the foregoing, under present law, we may not be able to deduct all of the compensation paid in 2023 and future years if compensation paid to “covered employees” exceeds the thresholds established by Section 162(m) of the Code. Losing deductions under Section 162(m) of the Code could increase our income taxes and reduce our net income. A reduction in net income could negatively affect the price of our stock.</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Because of the Dodd-Frank Act and related rulemaking, the Company is subject to more stringent capital requirements.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Bank’s failure to maintain the minimum leverage ratio under the Community Bank Leverage Ratio framework under the Regulatory Relief Act could result in one or more of our regulators placing limitations or conditions on our activities, including our growth initiatives, or restricting the commencement of new activities, and could affect customer and investor confidence, our costs of funds and FDIC insurance costs, our ability to pay dividends on our common stock, our ability to make acquisitions, and our business, results of operations and financial condition. See “Supervision and Regulation—Capital Adequacy Guidelines.”</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Federal and state banking agencies periodically conduct examinations of our business, including our compliance with laws and regulations, and our failure to comply with any regulatory actions, if any, could adversely impact us.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part of the bank regulatory process, the Federal Reserve, the FDIC and the Utah Department of Financial Institutions (the “UDFI”), periodically conduct examinations of our business, including compliance with laws and regulations. If, based on an examination, the UDFI or a federal banking agency were to determine that the financial condition, capital resources, asset quality, earnings prospects, management, liquidity, asset sensitivity, risk management or other aspects of any of our operations have become unsatisfactory, or that the Company or its management were in violation of any law or regulation, it may take such remedial actions as it deems appropriate. If we become subject to such regulatory actions, our business, financial condition, results of operations and reputation would likely be adversely affected.</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Financial institutions, such as the Bank, face risks of noncompliance and enforcement actions related to the Bank Secrecy Act and other anti-money laundering statutes and regulations.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Bank Secrecy Act, the Uniting and Strengthening America by Providing Appropriate Tools Required to Intercept and Obstruct Terrorism Act of 2001, or the USA PATRIOT Act, and other laws and regulations require financial institutions, among other duties, to institute and maintain an effective anti-money laundering program and file suspicious activity and currency transaction reports as appropriate. To administer the Bank Secrecy Act, FinCEN is authorized to impose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43840"/>
                <wp:effectExtent l="0" t="0" r="0" b="0"/>
                <wp:wrapNone/>
                <wp:docPr id="33" name="Frame33"/>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33</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significant civil money penalties for violations of those requirements and has recently engaged in coordinated enforcement efforts with the individual federal banking regulators, as well as the U.S. Department of Justice, Drug Enforcement Administration and the IRS. There is also increased scrutiny of compliance with the sanctions programs and rules administered and enforced by the Treasury Department’s Office of Foreign Assets Control.</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compliance with the anti-money laundering laws is in part dependent on our ability to adequately screen and monitor our customers for their compliance with these laws. We have developed policies and procedures to screen and monitor these customers. To comply with regulations, guidelines and examination procedures in this area, we have dedicated significant resources to our anti-money laundering program. If our policies, procedures and systems are deemed deficient, we could be subject to liability, including fines and regulatory actions such as restrictions on our ability to pay dividends and the inability to obtain regulatory approvals to proceed with certain aspects of our business plans, including acquisitions and de novo branching.</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are subject to anticorruption laws, including the U.S. Foreign Corrupt Practices Act, or FCPA, and we may be subject to other anti-corruption laws, as well as anti-money laundering and sanctions laws and other laws governing our operations, to the extent our business expands to non-U.S. jurisdictions. If we fail to comply with these laws, we could be subject to civil or criminal penalties, other remedial measures, and legal expenses, which could adversely affect our business, financial condition and results of operations.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may pursue deposit sourcing opportunities outside of the United States. We are currently subject to anti-corruption laws, including the FCPA. The FCPA and other applicable anti-corruption laws generally prohibit us, our employees and intermediaries from bribing, being bribed or making other prohibited payments to government officials or other persons to obtain or retain business or gain other business advantages. We may also participate in collaborations and relationships with third parties whose actions could potentially subject us to liability under the FCPA or other jurisdictions’ anti-corruption laws. There is no assurance that we will be completely effective in ensuring our compliance with all applicable anti-corruption laws, including the FCPA. If we are not in compliance with the FCPA or other anti-corruption laws, we may be subject to criminal and civil penalties, disgorgement and other sanctions and remedial measures, and legal expenses, which could have an adverse impact on our business, financial condition and results of operations. Similarly, any investigation of any potential violations of the FCPA or other anti-corruption laws by authorities in the United States or other jurisdictions where we conduct business could also have an adverse impact on our reputation, business, financial condition and results of operations.</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Regulations relating to privacy, information security and data protection could increase our costs, affect or limit how we collect and use personal information and adversely affect our business opportunities.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subject to various privacy, information security and data protection laws, including requirements concerning security breach notification, and we could be negatively impacted by these laws. Various state and federal banking regulators and states have also enacted data security breach notification requirements with varying levels of individual, consumer, regulatory or law enforcement notification in certain circumstances in the event of a security breach. Moreover, legislators and regulators in the U.S. are increasingly adopting or revising privacy, information security and data protection laws that potentially could have a significant impact on our current and planned privacy, data protection and information security-related practices, our collection, use, sharing, retention and safeguarding of consumer or employee information, and some of our current or planned business activities. This could also increase our costs of compliance and business operations and could reduce income from certain business initiatives. This includes increased privacy-related enforcement activity at the federal level by the Federal Trade Commission, as well as at the state level. For example, in March 2022, Utah enacted the Utah Consumer Privacy Act. Also, the Federal Trade Commission recently issued a staff report on digital “dark patterns,” sophisticated design practices that can trick or manipulate consumers into buying products or services or giving up their private information, that, among other things, highlighted marketing and disclosure practices by some financial technology companies that the Federal Trade Commission claimed were deceptive because of their use of dark patterns. Based upon prior enforcement actions, staff reports, and statements by Federal Trade Commission officials, we believe this scrutiny of financial technology company marketing and disclosure practices will continue for the foreseeable future. Compliance with current or future privacy, data protection and information security laws (including those regarding security breach notification) affecting customer or employee data to which we are subject could result in higher compliance and technology costs and could restrict our ability to provide certain products and services, which could have a material adverse effect on our business, financial conditions or results of operations. Our failure to comply with privacy, data protection and information security laws could result in potentially significant regulatory or governmental investigations or actions, litigation, fines, sanctions and damage to our reputation, which could have a material adverse effect on our business,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43840"/>
                <wp:effectExtent l="0" t="0" r="0" b="0"/>
                <wp:wrapNone/>
                <wp:docPr id="34" name="Frame34"/>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34</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pPr>
      <w:r>
        <w:rPr>
          <w:rFonts w:ascii="Times New Roman;sans-serif" w:hAnsi="Times New Roman;sans-serif"/>
          <w:b/>
          <w:color w:val="000000"/>
          <w:sz w:val="20"/>
          <w:shd w:fill="FFFFFF" w:val="clear"/>
        </w:rPr>
        <w:t>We</w:t>
      </w:r>
      <w:r>
        <w:rPr>
          <w:color w:val="000000"/>
          <w:shd w:fill="FFFFFF" w:val="clear"/>
        </w:rPr>
        <w:t xml:space="preserve"> </w:t>
      </w:r>
      <w:r>
        <w:rPr>
          <w:rFonts w:ascii="Times New Roman;sans-serif" w:hAnsi="Times New Roman;sans-serif"/>
          <w:b/>
          <w:i/>
          <w:color w:val="000000"/>
          <w:sz w:val="20"/>
          <w:shd w:fill="FFFFFF" w:val="clear"/>
        </w:rPr>
        <w:t>are subject to numerous laws and regulations, designed to protect consumers, including the Community Reinvestment Act and fair lending laws, and failure to comply with these laws or regulations could lead to a wide variety of sanctions.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Community Reinvestment Act, or CRA, directs all insured depository institutions to help meet the credit needs of the local communities in which they are located, including low- and moderate-income neighborhoods. Each institution is examined periodically by its primary federal regulator, which assesses the institution’s performance. The Equal Credit Opportunity Act, the Fair Housing Act and other fair lending laws and regulations impose nondiscriminatory lending requirements on financial institutions. The CFPB, the U.S. Department of Justice and other federal agencies are responsible for enforcing these laws and regulations. The CFPB was created under the Dodd-Frank Act to centralize responsibility for consumer financial protection with broad rulemaking authority to administer and carry out the purposes and objectives of federal consumer financial laws with respect to all financial institutions that offer financial products and services to consumers. The CFPB is also authorized to prescribe rules applicable to any covered person or service provider, identifying and prohibiting acts or practices that are “unfair, deceptive, or abusive” in any transaction with a consumer for a consumer financial product or service, or the offering of a consumer financial product, or service. The ongoing broad rulemaking powers of the CFPB have potential to have a significant impact on the operations of financial institutions offering consumer financial products or services. The CFPB has indicated that it may propose new rules on overdrafts and other consumer financial products or services, which could have a material adverse effect on our business, financial condition and results of operations if any such rules limit our ability to provide such financial products or services. For example, the CFPB has proposed rules that would restrict various fees that financial institutions can charge consumers, including credit card late fees and certain insufficient funds fees.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successful regulatory challenge to an institution’s performance under the CRA, fair lending or consumer lending laws and regulations could result in a wide variety of sanctions, including damages and civil money penalties, injunctive relief, restrictions on mergers and acquisitions activity, restrictions on expansion, and restrictions on entering new business lines. Private parties may also challenge an institution’s performance under fair lending laws in private class action litigation. Such actions could have a material adverse effect on our reputation, business, financial condition and results of operations.</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be subject to liability for potential violations of predatory lending laws, which could adversely impact our results of operations, financial condition and business.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Various U.S. federal, state and local laws have been enacted that are designed to discourage “predatory” lending practices. The U.S. Home Ownership and Equity Protection Act of 1994, or HOEPA, prohibits inclusion of certain provisions in mortgages that have interest rates or origination costs in excess of prescribed levels and requires that borrowers be given certain disclosures prior to origination. The Military Lending Act limits the interest rate that can be charged to active-duty servicemembers and their dependents. Some states have enacted, or may enact, similar laws or regulations, which in some cases impose restrictions and requirements greater than those in HOEPA. In addition, under the anti-predatory lending laws of some states, the origination of certain mortgages, including loans that are not classified as “high-cost” loans under applicable law, must satisfy a net tangible benefit test with respect to the related borrower. Such tests may be highly subjective and open to interpretation. As a result, a court may determine that a home mortgage, for example, does not meet the test even if the related originator reasonably believed that the test was satisfied. If any of our mortgages or other loans are found to have been originated in violation of predatory or abusive lending laws, we could incur losses, which could adversely impact our results of operations, financial condition and business.</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Regulatory agencies and consumer advocacy groups have asserted claims that the practices of lenders and loan servicers result in a disparate impact on protected classes.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Antidiscrimination statutes, such as FHA and ECOA, prohibit creditors from discriminating against loan applicants and borrowers based on certain characteristics, such as race, religion and national origin. Various federal regulatory agencies and departments, including the DOJ and the CFPB, have taken the position that these laws apply not only to intentional discrimination, but also to facially neutral practices that have a disparate impact on a group that shares a characteristic that a creditor may not consider in making credit decisions protected classes (i.e., creditor or servicing practices that have a disproportionate negative affect on a protected class of individuals). Further, the CFPB has issued an update to its examination manual that contains a novel interpretation of its authority to prohibit unfair, deceptive, or abusive acts or practices that would authorize the agency to treat any instance of discrimination against a protected class as an unfair act or practice under the Dodd-Frank Act.</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These regulatory agencies, as well as consumer advocacy groups and plaintiffs’ attorneys, have focused greater attention on “disparate impact” claims. The U.S. Supreme Court has confirmed that the “disparate impact” theory applies to cases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43840"/>
                <wp:effectExtent l="0" t="0" r="0" b="0"/>
                <wp:wrapNone/>
                <wp:docPr id="35" name="Frame35"/>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35</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brought under FHA, while emphasizing that a causal relationship must be shown between a specific policy of the defendant and a discriminatory result that is not justified by a legitimate objective of the defendant. Although it is still unclear whether the theory applies under ECOA, regulatory agencies and private plaintiffs may continue to apply it to both FHA and ECOA in the context of mortgage lending and servicing. To the extent that the “disparate impact” theory continues to apply, we are faced with significant administrative burdens in attempting to comply and potential liability for failures to comply.</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to reputational harm, violations of FHA and ECOA can result in actual damages, punitive damages, injunctive or equitable relief, attorneys’ fees and civil money penalties.</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Increases in FDIC insurance premiums could adversely affect our earnings and results of operations.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deposits of our Bank are insured by the FDIC up to legal limits and, accordingly, subject it to the payment of FDIC deposit insurance assessments as determined according to the calculation described in “Supervision and Regulation—Deposit Insurance.” In October 2022, the FDIC issued a final rule to increase the initial base deposit insurance assessment rate by two basis points for all insured depository institutions beginning in 2023. Any future special assessments, increases in assessment rates or required prepayments in FDIC insurance premiums could reduce our profitability or limit our ability to pursue certain business opportunities, which could have a material adverse effect on our business, financial condition and results of operations.</w:t>
      </w: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Relating to Our Strategic Programs</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Bank and our Strategic Program service providers are subject to borrower protection laws and federal and state consumer protection laws and may be subject to public criticism by consumer advocacy groups.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Bank and our Strategic Program service providers must comply with a variety of laws and regulations, including those applicable to consumer credit transactions, various aspects of which are untested as applied to a marketplace. Certain state laws generally regulate interest rates and other charges and require certain disclosures. In addition, other federal and state laws may apply to the origination and servicing of loans facilitated through our Strategic Programs. In particular, our Strategic Program service providers may be subject to laws, including but not limited to Section 5 of the Federal Trade Commission Act, the Truth-in-Lending Act, the Fair Credit Reporting Act, Fair Debt Collection Practices Act, Telephone Consumer Protection Act and other federal, state and municipal consumer protection laws and regulations that impose requirements related to, among other things, fair lending, loan disclosures and terms, credit discrimination, credit reporting, debt servicing and collection, communications and unfair or deceptive business practices. Such laws related to credit reporting, debt servicing and collection, communications and unfair or deceptive business practices may be of particular relevance while the Bank is the holder of a consumer credit transaction; the time period of such status as the holder may vary.</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Strategic Program service providers may not always have been, may not always be, and may be subject to legal proceedings alleging that they are not in full compliance with these laws. Compliance with these laws is costly, time-consuming and limits operational flexibility. In addition, both we and our Strategic Program service providers may be criticized by third party consumer advocacy groups regarding compliance with fair lending or consumer lending laws and regulations, which may result in negative publicity of our Strategic Program service providers and the Bank. Non-compliance or alleged non-compliance could subject a Strategic Program service provider, and/or the Bank, to damages, revocation of required licenses, arbitration, lawsuits (including class action lawsuits), enforcement actions, increased regulatory scrutiny of the Bank’s internal controls and oversight of our third-party vendor risk management, penalties, termination of our relationship with a Strategic Program service provider, injunctions which require the cessation or curtailment of a Strategic Program or operation by the Bank, rescission rights held by investors in securities offerings and civil and criminal liability.</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Any of these actions may harm the Bank and/or our Strategic Program service providers, and may result in, among other penalties, borrowers rescinding their loans, imposition of financial penalties against the Bank and/or our Strategic Program service providers, and/or injunctive relief against the Bank and/or our Strategic Program service providers requiring the Bank and/or our Strategic Program service providers to cease or curtail certain operations. If any of the Strategic Program service providers with which we do business suffers any of these consequences, we may be forced to create new relationships with Strategic Program service providers, which if not formed, could have an adverse effect on our growth strategy, business, results of operation and financial condition. Additionally, the Bank may suffer economic penalties and consequences as a result of a financial penalty or damages or injunctive relief. If the Bank and/or any of the Strategic Program service providers with which we do business suffers any of these consequences, the Bank may not be able to recover economic damages and/or costs the Bank incurs from the Strategic Program service provider, whether under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43840"/>
                <wp:effectExtent l="0" t="0" r="0" b="0"/>
                <wp:wrapNone/>
                <wp:docPr id="36" name="Frame36"/>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36</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indemnification right or other action against the service provider. The foregoing could adversely affect our growth, business prospects, financial condition and results of operations.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Bank and our Strategic Program service providers may be subject to consumer arbitration or litigation regardless of whether the claims have merit. Given the wide variety of state and federal consumer financial protection laws, consumer claims are a regular and ordinary component of any consumer lending and servicing business. The Bank and our Strategic Program service providers may face consumer claims (including class action claims) under state or federal laws governing fair debt collection, fair credit reporting, electronic funds transfers, truth in lending, unfair or deceptive acts or practices, telecommunications, or other consumer protection laws. The Bank or our Strategic Program service providers may be required to defend against such consumer claims in court or through arbitration. The litigation risks attendant in defending against these claims, which we intend to do vigorously, may include increased legal fees, related costs and expenses, and reputational harm. Because litigation risk is generally unpredictable, we cannot estimate the amount of damages (if any) that might be awarded in any case, foresee other forms of relief a competent tribunal may impose, or otherwise predict the impact of consumer claims on the Bank’s or any Strategic Program service provider’s operations or revenue.</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If we are unable to maintain our relationships with our Strategic Program service providers, our business will suffer.</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significant portion of our loan origination is conducted through our Strategic Programs. Approximately $49.1 million, or 57.4% of our total revenues for the year ended December 31, 2023, were generated through our Strategic Programs. Our agreements with service providers to the Strategic Programs are non-exclusive and do not prohibit the service providers from working with our competitors upon payment of a fee or from offering competing services. In addition, the Strategic Program service providers may not perform as expected under our agreements including potentially being unable to accommodate our projected growth in loan volume and revenue. Although we have taken steps to secure relationships with our Strategic Program service providers and key third-party relationships, we could in the future have disagreements or disputes with our Strategic Program service providers, which could negatively impact or threaten our relationship.</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Furthermore, our agreements with third parties could come under scrutiny by our regulators, and our regulators could raise an issue with, or object to, any term or provision in such an agreement or any action taken by such third party vis-à-vis the Bank’s operations or customers, resulting in a material adverse effect to us including, but not limited to, the imposition of fines and/or penalties and the material restructuring or termination of such agreement.</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Inadequate oversight of our relationships with our Strategic Program service providers and POS merchants could result in regulatory actions against the Bank, which could adversely affect our business, financial condition and result of operations.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FDIC has issued guidance outlining the expectations for third-party service provider oversight and monitoring by financial institutions. The federal banking agencies, including the FDIC, have also issued enforcement actions against financial institutions for failure in oversight of third-party providers and violations of federal banking law by such providers when performing services for financial institutions. Our failure to adequately oversee the actions of our third-party service providers could result in regulatory actions against the Bank. Furthermore, our regulators could require us to terminate certain relationships with our Strategic Program service providers or POS merchants or restrict our ability to form new relationships with other Strategic Program service providers or POS merchants, either of which could result in a decrease in our loan originations, which in turn could adversely affect our growth, business prospects, financial condition and results of operations.</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regulatory framework for Strategic Programs is evolving and uncertain as federal and state governments consider new laws to regulate online marketplaces such as ours. New laws and regulations, including taxes on services provided through Strategic Programs, as well as continued uncertainty regarding potential new laws or regulations, may negatively affect our business.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regulatory framework for our Strategic Programs is evolving and uncertain. It is possible that new laws and regulations will be adopted in the United States and internationally, or existing laws and regulations may be amended, removed or interpreted in new ways, that would affect the operation of our Strategic Program service providers and the way in which they interact with borrowers and investors.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Recognizing the growth in online marketplaces, in July 2015 the Treasury issued a request for information to study the marketplace lending industry, which led to the release of a Treasury white paper on May 10, 2016, on the online marketplace lending industry. The white paper included several recommendations to the federal government and private sector participants in order to encourage safe growth and access to credit. In April 2022, the CFPB announced that it intends to examine nonbank financial companies, which may include some of our Strategic Program service providers,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43840"/>
                <wp:effectExtent l="0" t="0" r="0" b="0"/>
                <wp:wrapNone/>
                <wp:docPr id="37" name="Frame37"/>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37</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pose risks to consumers and in June 2022, the Deputy Director of the CFPB indicated that relationships between banks and nonbank lenders will be an area of increased regulatory focus for the agency in the near future. Subsequently, in November 2022, the Treasury Department issued a report encouraging the CFPB to increase its supervisory activity with respect to larger nonbank lenders. The Office of the Comptroller of the Currency (the “OCC”), the prudential regulator for national banks, recently announced that it will be prioritizing the review of third-party relationships between banks and financial technology companies, which may include some of our Strategic Program service providers, as part of the agency’s bank supervisory priorities for the upcoming calendar year. Moreover, the CFPB has issued several interpretive statements and guidance documents that could impact certain practices of our Strategic Programs including a May 2022 statement on compliance obligations under ECOA for companies that rely on complex algorithms when making credit decisions. The CFPB also issued an interpretive rule expanding states’ authority to enforce requirements of federal consumer financial laws, including ECOA. State regulators have also increased the level of regulatory scrutiny on financial technology companies. We cannot predict whether any legislation or proposed rulemaking will actually be introduced or how any legislation or rulemaking will impact our business and results of operations of marketplace lenders going forward.</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If the loans originated through a marketplace were found to violate a state’s usury laws and/or the Strategic Program’s service providers were determined to be the “true lender” of loans originated on their marketplaces we and our Strategic Program service providers may have to alter our business models and, consequently, our reputation, financial condition and results of operation could be harmed.</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interest rates that are charged to borrowers and that form the basis of payments to investors through marketplaces are enabled by legal principles including (i) the application of federal law to enable an issuing bank that originates the loan to export the interest rates of the jurisdiction where it is located, (ii) the application of common law “choice of law” principles based upon factors such as the loan document’s terms and where the loan transaction is completed to provide uniform rates to borrowers, or (iii) the application of principles that allow the transferee of a loan to continue to collect interest as provided in the loan document. Certain states have no statutory interest rate limitations on personal loans, while other jurisdictions have a maximum rate. In some jurisdictions, the maximum rate is less than the current maximum rate offered by the Bank through certain Strategic Programs. If the laws of such jurisdictions were found to apply to the loans originated by the Bank through a marketplace, those loans could be in violation of such laws or it could impact the ability to sell such loans to investors. Approximately $25.9 million, or 30.3% of our total revenues for the year ended December 31, 2023, were generated from Strategic Programs with annual interest rates above 36%.</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has been (and will likely continue to be) litigation challenging lending arrangements where a bank or other third-party has made a loan and then sells and assigns it to an entity that is engaged in assisting with the origination and servicing of a loan. If a borrower or regulator were to successfully bring claims against a Strategic Program service provider for violations of state consumer lending laws, including usury and licensing requirements, the Strategic Program service provider could be subject to fines and penalties, including the voiding of loans and repayment of principal and interest to borrowers and investors. Our Strategic Program service providers might decide to, among other actions, limit the maximum interest rate and terms on certain loans facilitated through the Strategic Program service provider’s platform, might decide to not offer certain products, might decide to not offer products in certain geographic locations, and might decide to originate loans under the provider’s own state-specific licenses, to obtain a bank charter, or originate loan products in partnership with another financial institution. These actions may substantially reduce a Strategic Program service provider’s operating efficiency and/or attractiveness to investors, possibly resulting in a decline in operating results for the service provider, which could in turn adversely affect our business, financial condition and results of operations. Furthermore, if the Bank were not deemed to be the “true lender,” then the Bank and our Strategic Program service provider could be subject to claims by borrowers, as well as enforcement actions by regulators.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Furthermore, if a borrower or regulator were to successfully bring claims against a Strategic Program service provider and/or the Bank for violations of state consumer lending laws the Strategic Program service provider and/or the Bank could be subjected to damages, revocation of required licenses, individual and class action lawsuits, enforcement actions, penalties, injunctions which require the cessation or curtailment of a Strategic Program or operation by the Bank, rescission rights held by investors in securities offerings and civil and criminal liability. These actions could possibly result in a decline in operating results for the Strategic Partner and/or the Bank, which could in turn adversely affect our business, financial condition and results of operations.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May 25, 2020, the OCC issued a final rule reaffirming the enforceability of the interest rate terms of national banks’ loans following their sale, assignment, or transfer. The FDIC followed suit with a final rule on June 25, 2020, that similarly reaffirmed the enforceability of the interest rate terms of loans made by state-chartered banks and insured branches of foreign banks (collectively, state banks) following the sale, assignment, or transfer of a loan. The rules also provide that whether interest on a loan is permissible is determined at the time the loan is made, and is not affected by a change in state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43840"/>
                <wp:effectExtent l="0" t="0" r="0" b="0"/>
                <wp:wrapNone/>
                <wp:docPr id="38" name="Frame38"/>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38</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law, a change in the relevant commercial paper rate, or the sale, assignment, or other transfer of the loan. These rules have been challenged by state attorneys general. On May 11, 2021, the U.S. Senate voted 52-47 to repeal the “true lender” rule adopted by the OCC. On June 24, 2021, the U.S. Senate resolution was passed by the U.S. House of Representatives by a vote of 218 to 208. On June 30, 2021, President Biden signed a joint resolution to revoke the OCC’s true lender rule. Repeal of the OCC rule is expected to create uncertainty regarding whether state or federal laws apply to the Bank’s loans originated in the marketplace with the assistance of our Strategic Program service providers.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Several states have also adopted legislation that impacts our Strategic Programs. In 2021, Illinois and Maine enacted laws that regulate any person who holds, acquires, or maintains, directly or indirectly, the predominant economic interest in a loan originated by an otherwise-exempt entity like a bank. Effective January 1, 2022, Hawaii instituted a new licensing requirement for “installment lenders”, which is defined to capture loans offered under a bank partnership model (i.e., it applies to a person “who arranges a consumer loan for a third party, or who acts as an agent for a third party, regardless of whether the third party is exempt from licensure.” H.B. 1192 (2021)). These laws also apply to any person or entity who markets, brokers, arranges, or facilitates a loan and holds the right, requirement, or first right of refusal to purchase loans, receivables, or interests in the loans. These licensing schemes, which may apply to our Strategic Programs, also impose interest-rate caps that are lower than the interest rates permitted under Utah law. These and other matters could potentially impact a Strategic Program’s business, including the maximum interest rates and fees that can be charged and application of certain consumer protection statutes. In addition, these matters could subject us to increased litigation risk, which could have a material and adverse impact on our reputation and business. We continue to assess the impact of these final rules on our business and our Strategic Programs.</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Fraudulent activity associated with a Strategic Program service provider could negatively impact operating results, brand and reputation and cause the use of a Strategic Program’s loan products and services to decrease and its fraud losses to increase.</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Strategic Program service providers are subject to the risk of fraudulent activity associated with the handling of borrower and investor information by its marketplace, issuing banks, borrowers, investors and third parties. A company’s resources, technologies and fraud prevention tools may be insufficient to accurately detect and prevent fraud. High profile fraudulent activity or significant increases in fraudulent activity could lead to regulatory intervention, negatively impact a company’s operating results, brand and reputation and lead it to take steps to reduce fraud risk, which could increase its costs and consequently, adversely affect our business, financial condition and results of operations.</w:t>
      </w: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Potential Strategic Transactions</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may pursue strategic acquisitions in the future, and we may not be able to overcome risks associated with such transactions.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Although we plan to continue to grow our business organically, we may explore opportunities to invest in, or to acquire, other financial institutions, financial service companies and businesses that we believe would complement our existing business. Our investment or acquisition activities could be material to our business and involve a number of risks including the following:</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difficulty in estimating the value of any target company;</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investing time and incurring expense associated with identifying and evaluating potential investments or acquisitions and negotiating potential transactions, resulting in our attention being diverted from the operation of our existing business;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the lack of history among our management team in working together on acquisitions and related integration activities;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obtaining necessary regulatory approvals, which we may have difficulty obtaining or be unable to obtain;</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the time, expense and difficulty of integrating the operations and personnel of any combined businesses;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unexpected asset quality problems with acquired companies;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inaccurate estimates and judgments used to evaluate credit, operations, management and market risks with respect to any target institution or assets;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risks of impairment to goodwill or other-than-temporary impairment of investment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43840"/>
                <wp:effectExtent l="0" t="0" r="0" b="0"/>
                <wp:wrapNone/>
                <wp:docPr id="39" name="Frame39"/>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39</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potential exposure to unknown or contingent liabilities of banks and businesses we acquire;</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an inability to realize expected synergies or returns on investment;</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potential disruption of our ongoing banking business;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maintaining adequate regulatory capital; and</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color w:val="000000"/>
          <w:sz w:val="20"/>
          <w:shd w:fill="FFFFFF" w:val="clear"/>
        </w:rPr>
        <w:t>loss of key employees, key customers or key business counterparties following our investment or acquisition.</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may not be successful in overcoming these risks or other problems encountered in connection with potential investments or acquisitions. Our inability to overcome these risks could have an adverse effect on our ability to implement our business strategy and enhance shareholder value, which, in turn, could have an adverse effect on our business, financial condition and results of operations. Additionally, if we record goodwill in connection with any acquisition, our business, financial condition and results of operations may be adversely affected if that goodwill is determined to be impaired, which would require us to take an impairment charge.</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have entered into, and expect to continue to enter into, joint venture, strategic collaboration, teaming and other business arrangements, and these activities involve risks and uncertainties. A failure of any such relationship could have a material adverse effect on our business and results of operations.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entered into, and expect to continue to enter into, significant joint venture, strategic collaboration, teaming and other arrangements, including our Strategic Programs we have established with various third-party consumer and commercial loan origination platforms. These activities involve risks and uncertainties, including the risk of the joint venture or applicable Strategic Program platform failing to satisfy its obligations, which may result in certain liabilities to us for any related commitments, the uncertainty created by challenges in achieving strategic objectives and expected benefits of the business arrangement, the risk of conflicts arising between us and our business collaborations and the difficulty of managing and resolving such conflicts, and the difficulty of managing or otherwise monitoring such business arrangements. In addition, in these joint ventures, strategic collaborations and alliances, we may have certain overlapping control over the operation of the assets and businesses. As a result, such joint ventures, strategic collaborations and alliances may involve risks such as the possibility that a counterparty in a business arrangement might become bankrupt, be unable to meet its contractual obligations, have economic or business interests or goals that are inconsistent with our business interests or goals, or take actions that are contrary to our instructions or to applicable laws and regulations. In addition, we may be unable to take action without the approval of our business partners, or our partners could take binding actions without our consent. Consequently, actions by a partner or other third party could expose us to claims for damages, financial penalties, and reputational harm, any of which could have an adverse effect on our business, financial condition, and results of operations. A failure of our business relationships could have a material adverse effect on our business and results of operations.</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Acquisitions and strategic collaborations may never materialize.</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intend to explore a variety of acquisitions and strategic collaborations with our existing Strategic Program service providers or other third parties, and related businesses in various states. We are likely to face significant competition in seeking appropriate acquisitions or strategic collaborators, and these acquisitions and strategic collaborations can be complicated and time consuming to negotiate and document. We may not be able to negotiate acquisitions and strategic collaborations on acceptable terms, or at all, and we are unable to predict when, if ever, we will enter into any such acquisitions or strategic collaborations due to the numerous risks and uncertainties associated with them.</w:t>
      </w: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Risks Related to Ownership of Our Common Stock</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The market price of our common stock may be subject to substantial fluctuations, which may make it difficult for you to sell your shares at the volume, prices and times desired.</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market price of our common stock may be highly volatile, which may make it difficult for you to resell your shares at the volume, prices and times desired. There are many factors that may affect the market price and trading volume of our common stock, most of which are outside of our control.</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stock market and the market for financial institution stocks has experienced substantial fluctuations in recent years, which in many cases have been unrelated to the operating performance and prospects of particular companies. In addition, significant fluctuations in the trading volume in our common stock may cause significant price variations to occur.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43840"/>
                <wp:effectExtent l="0" t="0" r="0" b="0"/>
                <wp:wrapNone/>
                <wp:docPr id="40" name="Frame40"/>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40</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Increased market volatility may materially and adversely affect the market price of our common stock, which could make it difficult to sell your shares at the volume, prices and times desired.</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executive management and board of directors have significant control over our business.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2023, our directors and executive officers beneficially owned an aggregate of 2,993,075 shares, or approximately 22.8% of our issued and outstanding common stock. Consequently, our executive management and board of directors may be able to significantly affect the outcome of the election of directors and the potential outcome of other matters submitted to a vote of our shareholders, such as mergers, the sale of substantially all our assets and other extraordinary corporate matters. The interests of these insiders could conflict with the interests of our other shareholders, including you.</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We are an emerging growth company and smaller reporting company, and the reduced regulatory and reporting requirements applicable to emerging growth companies and smaller reporting companies may make our common stock less attractive to investors.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an emerging growth company, as defined in the JOBS Act. For as long as we continue to be an emerging growth company we may take advantage of reduced regulatory and reporting requirements that are otherwise generally applicable to public companies. These include, without limitation, not being required to comply with the auditor attestation requirements of Section 404(b) of the Sarbanes-Oxley Act, reduced financial reporting requirements, reduced disclosure obligations regarding executive compensation and exemptions from the requirements of holding non-binding shareholder advisory votes on executive compensation or golden parachute payments. The JOBS Act also permits an emerging growth company such as us to take advantage of an extended transition period to comply with new or revised accounting standards applicable to public companies. We have elected to, and expect to continue to, take advantage of certain of these and other exemptions until we are no longer an emerging growth company. Further, the JOBS Act allows us to present only two years of audited financial statements and only two years of related management’s discussion and analysis of financial condition and results of operations.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may take advantage of some or all of these provisions for up to five years or such earlier time as we cease to qualify as an emerging growth company, which will occur if we have more than $1.235 billion in total annual gross revenue, if we issue more than $1.0 billion of non-convertible debt in a three-year period, or if we become a “large accelerated filer,” in which case we would no longer be an emerging growth company as of the following December 31.</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Even after we no longer qualify as an emerging growth company, we may still qualify as a “smaller reporting company,” as defined in Rule 12b-2 in the Exchange Act, which would allow us to take advantage of many of the same exemptions from disclosure requirements, including not being required to provide an auditor attestation of our internal control over financial reporting and reduced disclosure regarding our executive compensation arrangements in our periodic reports and proxy statements. Investors may find our common stock less attractive because we intend to rely on certain of these exemptions, which may result in a less active trading market and increased volatility in our stock price.</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Provisions in our governing documents and Utah law may have an anti-takeover effect, and there are substantial regulatory limitations on changes of control of bank holding companies.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corporate organizational documents and provisions of federal and state law to which we are subject contain certain provisions that could have an anti-takeover effect and may delay, make more difficult or prevent an attempted acquisition that you may favor or an attempted replacement of our board of directors or management.</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Articles and our Amended and Restated Bylaws (the “Bylaws”) may have an anti-takeover effect and may delay, discourage or prevent an attempted acquisition or change of control or a replacement of our board of directors or management. Our governing documents and Utah law include provisions that provide for, among other things, a staggered board, and limitations on the ability of shareholders to call a special meeting of shareholders, which can make minority shareholder representation on our board of directors more difficult to establish. In addition, Utah corporate statutes contain provisions designed to protect Utah corporations and employees from the adverse effects of hostile corporate takeovers. These statutory provisions reduce the possibility that a third party could effect a change in control without the support of our incumbent directors and may also strengthen the position of current management by restricting the ability of shareholders to change the composition of the board of directors, to affect its policies generally and to benefit from actions that are opposed by the current board.</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Furthermore, banking laws impose notice, approval, and ongoing regulatory requirements on any shareholder or other party that seeks to acquire direct or indirect “control” of an FDIC-insured depository institution or its holding company.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43840"/>
                <wp:effectExtent l="0" t="0" r="0" b="0"/>
                <wp:wrapNone/>
                <wp:docPr id="41" name="Frame41"/>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laws include the BHC Act and the Change in Bank Control Act. These laws could delay or prevent an acquisition. Because the Bank is an “insured depository institution” within the meaning of the Federal Deposit Insurance Act and the Change in Bank Control Act and we are a “financial institution holding company” within the meaning of the Utah Financial Institutions Act, federal and Utah law and regulations generally prohibit any person or company from acquiring control of the Company or, indirectly, the Bank, without prior written approval of the FDIC or the commissioner of the UDFI, as applicable. Under the Change in Bank Control Act, control is conclusively presumed if, among other things, a person or company acquires 25% or more of any class of our voting stock. A rebuttable presumption of control arises if a person or company acquires 10% or more of any class of our voting stock and is subject to a number of specified “control factors” as set forth in the applicable regulations. Although the Bank is an “insured depository institution” within the meaning of the Federal Deposit Insurance Act and the Change in Bank Control Act, an investment in the Company is not insured or guaranteed by the FDIC, or any other agency, and is subject to loss. Under the Utah Financial Institutions Act, control is defined as the power to vote 20% or more of any class of our voting securities by an individual or to vote more than 10% of any class of our voting securities by a person other than an individual. Investors are responsible for ensuring that they do not, directly or indirectly, acquire shares of our common stock in excess of the amount which can be acquired without regulatory approval.</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Articles and Bylaws contain an exclusive forum provision that limits the judicial forums where our shareholders may initiate derivative actions and certain other legal proceedings against us and our directors and officers.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Articles and Bylaws provide that the United States District Court for the District of Utah and any Utah state court sitting in Salt Lake County, Utah will, to the fullest extent permitted by law, be the sole and exclusive forum for (a) any derivative action or proceeding brought on our behalf, (b) any action asserting a claim of breach of a fiduciary duty owed by any of our directors, officers or other employees to the Company or the Company’s shareholders, (c) any action asserting a claim against us or any of our directors or officers arising pursuant to the Utah Revised Business Corporation Act, our Articles, or our Bylaws, or (d) any other action asserting a claim against us or any of our directors or officers that is governed by the internal affairs doctrine. The choice of forum provision in our Articles and Bylaws may limit our shareholders’ ability to obtain a favorable judicial forum for disputes with us. Alternatively, if a court were to find the choice of forum provision contained in our Articles and Bylaws to be inapplicable or unenforceable in an action, we may incur additional costs associated with resolving such action in other jurisdictions, which could harm our business, operating results, and financial condition.</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Our common stock is not an insured deposit and is subject to risk of loss.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common stock is not a savings account, deposit account or other obligation of any of the Bank or any of our other subsidiaries and will not be insured or guaranteed by the FDIC or any other government agency. Investment in our common stock is subject to investment risk, including possible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 xml:space="preserve">Item 1C.    CYBERSECURITY </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The Company is exposed to cybersecurity threats and incidents that can range from uncoordinated individual attempts to gain unauthorized access to information systems to sophisticated and targeted measures known as advanced persistent threats, directed at the Company or its third party service providers. Our customers, strategic relationships and regulators expect us to maintain a suitable cybersecurity posture to identify, protect, detect, respond and recover from incidents that may impact the confidentiality, integrity and availability of sensitive information we possess.</w:t>
      </w:r>
      <w:r>
        <w:rPr>
          <w:color w:val="000000"/>
        </w:rPr>
        <w:t xml:space="preserve"> </w:t>
      </w:r>
      <w:r>
        <w:rPr>
          <w:rFonts w:ascii="Times New Roman;sans-serif" w:hAnsi="Times New Roman;sans-serif"/>
          <w:b w:val="false"/>
          <w:color w:val="000000"/>
          <w:sz w:val="20"/>
          <w:shd w:fill="FFFFFF" w:val="clear"/>
        </w:rPr>
        <w:t>We evaluate the risks of data theft (including theft of sensitive, proprietary and other data categories, in addition to personal data), harm to customer or third party relationships and litigation or regulatory investigation or actions that could materially adversely affect our financial condition, results of operations and reputation.</w:t>
      </w:r>
      <w:r>
        <w:rPr>
          <w:color w:val="000000"/>
        </w:rPr>
        <w:t xml:space="preserve"> </w:t>
      </w:r>
      <w:r>
        <w:rPr>
          <w:rFonts w:ascii="Times New Roman;sans-serif" w:hAnsi="Times New Roman;sans-serif"/>
          <w:b w:val="false"/>
          <w:color w:val="000000"/>
          <w:sz w:val="20"/>
          <w:shd w:fill="FFFFFF" w:val="clear"/>
        </w:rPr>
        <w:t>Cybersecurity risk is assessed and managed primarily through our operations, risk management, and audit teams and is overseen by our Board of Directors.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The Bank’s Information Security Officer (or ISO), who reports to our Chief Compliance &amp; Risk Officer, is directly responsible for assessing and managing cybersecurity risks pursuant to the Company’s Information Security Program, which is approved by our Board of Directors periodically.</w:t>
      </w:r>
      <w:r>
        <w:rPr>
          <w:color w:val="000000"/>
        </w:rPr>
        <w:t xml:space="preserve"> </w:t>
      </w:r>
      <w:r>
        <w:rPr>
          <w:rFonts w:ascii="Times New Roman;sans-serif" w:hAnsi="Times New Roman;sans-serif"/>
          <w:b w:val="false"/>
          <w:color w:val="000000"/>
          <w:sz w:val="20"/>
          <w:shd w:fill="FFFFFF" w:val="clear"/>
        </w:rPr>
        <w:t>The current ISO has more than 5 years of cybersecurity experience and holds multiple industry certifications.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43840"/>
                <wp:effectExtent l="0" t="0" r="0" b="0"/>
                <wp:wrapNone/>
                <wp:docPr id="42" name="Frame42"/>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0" w:after="0"/>
        <w:jc w:val="both"/>
        <w:rPr/>
      </w:pPr>
      <w:r>
        <w:rPr>
          <w:rFonts w:ascii="Times New Roman;sans-serif" w:hAnsi="Times New Roman;sans-serif"/>
          <w:b w:val="false"/>
          <w:color w:val="000000"/>
          <w:sz w:val="20"/>
          <w:shd w:fill="FFFFFF" w:val="clear"/>
        </w:rPr>
        <w:t>The ISO provides our Board of Directors with periodic reports regarding the Company’s cybersecurity condition, key activities and recommendations for improvement of the Information Security Program.</w:t>
      </w:r>
      <w:r>
        <w:rPr>
          <w:color w:val="000000"/>
        </w:rPr>
        <w:t xml:space="preserve"> </w:t>
      </w:r>
      <w:r>
        <w:rPr>
          <w:rFonts w:ascii="Times New Roman;sans-serif" w:hAnsi="Times New Roman;sans-serif"/>
          <w:b w:val="false"/>
          <w:color w:val="000000"/>
          <w:sz w:val="20"/>
          <w:shd w:fill="FFFFFF" w:val="clear"/>
        </w:rPr>
        <w:t>The ISO coordinates any incident responses with members of the Company’s executive management, regulators and third parties.</w:t>
      </w:r>
      <w:r>
        <w:rPr>
          <w:color w:val="000000"/>
        </w:rPr>
        <w:t xml:space="preserve"> </w:t>
      </w:r>
      <w:r>
        <w:rPr>
          <w:rFonts w:ascii="Times New Roman;sans-serif" w:hAnsi="Times New Roman;sans-serif"/>
          <w:b w:val="false"/>
          <w:color w:val="000000"/>
          <w:sz w:val="20"/>
          <w:shd w:fill="FFFFFF" w:val="clear"/>
        </w:rPr>
        <w:t>The ISO also reports any matter relating to cybersecurity incident responses and control deficiencies to our Board of Directors and its Audit Committee, respectively.</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The cybersecurity department of the Bank’s Information Technology (or IT) department is responsible for the day-to-day operations of our cybersecurity controls and defenses.</w:t>
      </w:r>
      <w:r>
        <w:rPr>
          <w:color w:val="000000"/>
        </w:rPr>
        <w:t xml:space="preserve"> </w:t>
      </w:r>
      <w:r>
        <w:rPr>
          <w:rFonts w:ascii="Times New Roman;sans-serif" w:hAnsi="Times New Roman;sans-serif"/>
          <w:b w:val="false"/>
          <w:color w:val="000000"/>
          <w:sz w:val="20"/>
          <w:shd w:fill="FFFFFF" w:val="clear"/>
        </w:rPr>
        <w:t>The department is managed by the Bank’s Director of Information Systems and Security, who reports to the Bank’s Chief Technology Officer.</w:t>
      </w:r>
      <w:r>
        <w:rPr>
          <w:color w:val="000000"/>
        </w:rPr>
        <w:t xml:space="preserve"> </w:t>
      </w:r>
      <w:r>
        <w:rPr>
          <w:rFonts w:ascii="Times New Roman;sans-serif" w:hAnsi="Times New Roman;sans-serif"/>
          <w:b w:val="false"/>
          <w:color w:val="000000"/>
          <w:sz w:val="20"/>
          <w:shd w:fill="FFFFFF" w:val="clear"/>
        </w:rPr>
        <w:t>The current Director of Information Systems and Security has more than 24 years of technology and cybersecurity experience.</w:t>
      </w:r>
      <w:r>
        <w:rPr>
          <w:color w:val="000000"/>
        </w:rPr>
        <w:t xml:space="preserve"> </w:t>
      </w:r>
      <w:r>
        <w:rPr>
          <w:rFonts w:ascii="Times New Roman;sans-serif" w:hAnsi="Times New Roman;sans-serif"/>
          <w:b w:val="false"/>
          <w:color w:val="000000"/>
          <w:sz w:val="20"/>
          <w:shd w:fill="FFFFFF" w:val="clear"/>
        </w:rPr>
        <w:t>Our Chief Technology Officer periodically reports information about the Company’s cybersecurity risks and operational developments to our Board of Directors.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The IT department provides the ISO with access to its operations and alerts regarding cybersecurity events.</w:t>
      </w:r>
      <w:r>
        <w:rPr>
          <w:color w:val="000000"/>
        </w:rPr>
        <w:t xml:space="preserve"> </w:t>
      </w:r>
      <w:r>
        <w:rPr>
          <w:rFonts w:ascii="Times New Roman;sans-serif" w:hAnsi="Times New Roman;sans-serif"/>
          <w:b w:val="false"/>
          <w:color w:val="000000"/>
          <w:sz w:val="20"/>
          <w:shd w:fill="FFFFFF" w:val="clear"/>
        </w:rPr>
        <w:t>Events that could become cybersecurity incidents are reviewed and evaluated by the ISO in consultation with the IT department.</w:t>
      </w:r>
      <w:r>
        <w:rPr>
          <w:color w:val="000000"/>
        </w:rPr>
        <w:t xml:space="preserve"> </w:t>
      </w:r>
      <w:r>
        <w:rPr>
          <w:rFonts w:ascii="Times New Roman;sans-serif" w:hAnsi="Times New Roman;sans-serif"/>
          <w:b w:val="false"/>
          <w:color w:val="000000"/>
          <w:sz w:val="20"/>
          <w:shd w:fill="FFFFFF" w:val="clear"/>
        </w:rPr>
        <w:t>Documented escalation procedures are tested regularly as part of tabletop exercises and other activities and include notification to executive management during qualifying cybersecurity incidents.</w:t>
      </w:r>
      <w:r>
        <w:rPr>
          <w:color w:val="000000"/>
        </w:rPr>
        <w:t xml:space="preserve"> </w:t>
      </w:r>
      <w:r>
        <w:rPr>
          <w:rFonts w:ascii="Times New Roman;sans-serif" w:hAnsi="Times New Roman;sans-serif"/>
          <w:b w:val="false"/>
          <w:color w:val="000000"/>
          <w:sz w:val="20"/>
          <w:shd w:fill="FFFFFF" w:val="clear"/>
        </w:rPr>
        <w:t>The IT department shares responsibility with the ISO for identifying and prioritizing improvements to the Company’s cybersecurity capabilities and resources.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The Bank’s IT Steering Committee, comprising the ISO and members of the Company’s executive management and IT department, generally meets on a monthly basis to review developments regarding the Company’s cybersecurity risks, defenses and remediation activities.</w:t>
      </w:r>
      <w:r>
        <w:rPr>
          <w:color w:val="000000"/>
        </w:rPr>
        <w:t xml:space="preserve"> </w:t>
      </w:r>
      <w:r>
        <w:rPr>
          <w:rFonts w:ascii="Times New Roman;sans-serif" w:hAnsi="Times New Roman;sans-serif"/>
          <w:b w:val="false"/>
          <w:color w:val="000000"/>
          <w:sz w:val="20"/>
          <w:shd w:fill="FFFFFF" w:val="clear"/>
        </w:rPr>
        <w:t>Minutes of the meetings of the IT Steering Committee are regularly reviewed by our Board of Directors.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We perform periodic risk assessments of the Company’s information systems based on regulatory guidance issued by the Federal Financial Institutions Examination Council (FFIEC) and state and federal regulators, including the FDIC and the UDFI.</w:t>
      </w:r>
      <w:r>
        <w:rPr>
          <w:color w:val="000000"/>
        </w:rPr>
        <w:t xml:space="preserve"> </w:t>
      </w:r>
      <w:r>
        <w:rPr>
          <w:rFonts w:ascii="Times New Roman;sans-serif" w:hAnsi="Times New Roman;sans-serif"/>
          <w:b w:val="false"/>
          <w:color w:val="000000"/>
          <w:sz w:val="20"/>
          <w:shd w:fill="FFFFFF" w:val="clear"/>
        </w:rPr>
        <w:t>We use multiple real-time and interval-based monitoring and reporting mechanisms to detect and respond to cybersecurity incidents.</w:t>
      </w:r>
      <w:r>
        <w:rPr>
          <w:color w:val="000000"/>
        </w:rPr>
        <w:t xml:space="preserve"> </w:t>
      </w:r>
      <w:r>
        <w:rPr>
          <w:rFonts w:ascii="Times New Roman;sans-serif" w:hAnsi="Times New Roman;sans-serif"/>
          <w:b w:val="false"/>
          <w:color w:val="000000"/>
          <w:sz w:val="20"/>
          <w:shd w:fill="FFFFFF" w:val="clear"/>
        </w:rPr>
        <w:t>We also engage multiple independent third parties or cyber experts to detect and defend against cybersecurity threats and to assess information security programs and practices including penetration testing. Additionally, we participate in various cybersecurity industry forums and have access to law enforcement analyses regarding current threats.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The ISO, along with the Bank’s Third-Party Oversight Committee, evaluates cybersecurity risks and information systems of third parties whose information systems support important Company operations or with whom the Company has significant business relationships at onboarding, on an ongoing basis and upon termination of the business relationship.</w:t>
      </w:r>
      <w:r>
        <w:rPr>
          <w:color w:val="000000"/>
        </w:rPr>
        <w:t xml:space="preserve"> </w:t>
      </w:r>
      <w:r>
        <w:rPr>
          <w:rFonts w:ascii="Times New Roman;sans-serif" w:hAnsi="Times New Roman;sans-serif"/>
          <w:b w:val="false"/>
          <w:color w:val="000000"/>
          <w:sz w:val="20"/>
          <w:shd w:fill="FFFFFF" w:val="clear"/>
        </w:rPr>
        <w:t>Such evaluations may include reviews of reports or performing assessments of a third party’s information systems pursuant to established cybersecurity frameworks such as International Organization for Standardization (ISO) ISO 27001 or Cybersecurity Framework (CSF) published by the US National Institute of Standards and Technology, as well as reviews of reports issued by a third party’s auditors developed under the attestation standards issued by the American Institute of Certified Public Accountants (AICPA). When appropriate, the Company may include additional risk mitigation measures in its onboarding requirements for third parties to address any identified risk factors, such as minimum required information security performance agreements to enable cybersecurity threats and incidents to be managed within applicable industry or regulatory standards, disclosure obligations requiring reporting to the Company of the occurrence and mitigation of cybersecurity threats and incidents, and requirements to maintain adequate levels of cybersecurity insurance coverage.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When a cybersecurity incident occurs, whether detected internally or from a third party, we evaluate the incident for criticality and potential materiality and disclosure. We consider various factors in assessing the materiality of a cybersecurity incident, including the potential for misappropriation, destruction, corruption or unavailability of critical data and confidential or proprietary information (our own or that of third parties) and business operation disruption, and may consult with external advisors, experts or legal counsel in connection with our assessment.</w:t>
      </w:r>
      <w:r>
        <w:rPr>
          <w:color w:val="000000"/>
        </w:rPr>
        <w:t xml:space="preserve"> </w:t>
      </w:r>
      <w:r>
        <w:rPr>
          <w:rFonts w:ascii="Times New Roman;sans-serif" w:hAnsi="Times New Roman;sans-serif"/>
          <w:b w:val="false"/>
          <w:color w:val="000000"/>
          <w:sz w:val="20"/>
          <w:shd w:fill="FFFFFF" w:val="clear"/>
        </w:rPr>
        <w:t>We have escalation procedures to notify members of our executive management, Board of Directors and regulators in a timely manner based on the criticality and materiality of any cybersecurity incident.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43840"/>
                <wp:effectExtent l="0" t="0" r="0" b="0"/>
                <wp:wrapNone/>
                <wp:docPr id="43" name="Frame43"/>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43</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0" w:after="0"/>
        <w:jc w:val="both"/>
        <w:rPr/>
      </w:pPr>
      <w:r>
        <w:rPr>
          <w:rFonts w:ascii="Times New Roman;sans-serif" w:hAnsi="Times New Roman;sans-serif"/>
          <w:b w:val="false"/>
          <w:color w:val="000000"/>
          <w:sz w:val="20"/>
          <w:shd w:fill="FFFFFF" w:val="clear"/>
        </w:rPr>
        <w:t>While we have experienced, and expect to continue to experience, cybersecurity threats, we did not experience any material cybersecurity incident in the year ended December 31, 2023.</w:t>
      </w:r>
      <w:r>
        <w:rPr>
          <w:color w:val="000000"/>
        </w:rPr>
        <w:t xml:space="preserve"> </w:t>
      </w:r>
      <w:r>
        <w:rPr>
          <w:rFonts w:ascii="Times New Roman;sans-serif" w:hAnsi="Times New Roman;sans-serif"/>
          <w:b w:val="false"/>
          <w:color w:val="000000"/>
          <w:sz w:val="20"/>
          <w:shd w:fill="FFFFFF" w:val="clear"/>
        </w:rPr>
        <w:t>We may nevertheless be unsuccessful in the future in preventing or mitigating a cybersecurity incident that could have a material adverse effect on us.</w:t>
      </w:r>
      <w:r>
        <w:rPr>
          <w:color w:val="000000"/>
        </w:rPr>
        <w:t xml:space="preserve"> </w:t>
      </w:r>
      <w:r>
        <w:rPr>
          <w:rFonts w:ascii="Times New Roman;sans-serif" w:hAnsi="Times New Roman;sans-serif"/>
          <w:b w:val="false"/>
          <w:color w:val="000000"/>
          <w:sz w:val="20"/>
          <w:shd w:fill="FFFFFF" w:val="clear"/>
        </w:rPr>
        <w:t>For additional information regarding cybersecurity risks, see “Risk Factors - Risks Related to Cybersecurity and Technology”.</w:t>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headquarters office is currently located at 756 East Winchester, Suite 100, Murray, UT 84107. The following table summarizes pertinent details of our leased office properties.</w:t>
      </w:r>
    </w:p>
    <w:tbl>
      <w:tblPr>
        <w:tblW w:w="6516" w:type="dxa"/>
        <w:jc w:val="left"/>
        <w:tblInd w:w="0" w:type="dxa"/>
        <w:tblLayout w:type="fixed"/>
        <w:tblCellMar>
          <w:top w:w="28" w:type="dxa"/>
          <w:left w:w="28" w:type="dxa"/>
          <w:bottom w:w="28" w:type="dxa"/>
          <w:right w:w="28" w:type="dxa"/>
        </w:tblCellMar>
      </w:tblPr>
      <w:tblGrid>
        <w:gridCol w:w="435"/>
        <w:gridCol w:w="382"/>
        <w:gridCol w:w="383"/>
        <w:gridCol w:w="109"/>
        <w:gridCol w:w="109"/>
        <w:gridCol w:w="109"/>
        <w:gridCol w:w="250"/>
        <w:gridCol w:w="250"/>
        <w:gridCol w:w="251"/>
        <w:gridCol w:w="109"/>
        <w:gridCol w:w="109"/>
        <w:gridCol w:w="109"/>
        <w:gridCol w:w="504"/>
        <w:gridCol w:w="504"/>
        <w:gridCol w:w="506"/>
        <w:gridCol w:w="109"/>
        <w:gridCol w:w="109"/>
        <w:gridCol w:w="109"/>
        <w:gridCol w:w="604"/>
        <w:gridCol w:w="604"/>
        <w:gridCol w:w="862"/>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Owned/</w:t>
              <w:b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Lease</w:t>
              <w:br/>
              <w:t>Expiration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Type of Office</w:t>
            </w:r>
          </w:p>
        </w:tc>
      </w:tr>
      <w:tr>
        <w:trPr/>
        <w:tc>
          <w:tcPr>
            <w:tcW w:w="1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Murray, Utah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31,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Corporate Headquarters</w:t>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Sandy, Utah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Retail Bank Branch</w:t>
            </w:r>
          </w:p>
        </w:tc>
      </w:tr>
    </w:tbl>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believe that the leases to which we are subject have terms that are generally consistent with prevailing market terms. None of the leases involve any of our directors, officers or beneficial owners of more than 5% of our voting securities or any affiliates of the foregoing. We believe that our facilities are in good condition and are adequate to meet our operating needs for the foreseeable future. We expect to extend our Sandy, Utah branch lease for one year through July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3.    LEGAL PROCEEDINGS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are not currently subject to any material legal proceedings. We are from time to time subject to claims and litigation arising in the ordinary course of business. These claims and litigation may include, among other things, allegations of violation of banking and other applicable regulations, competition law, labor laws and consumer protection laws, as well as claims or litigation relating to intellectual property, securities, breach of contract and tort. We intend to defend ourselves vigorously against any pending or future claims and litigation.</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current opinion of management, the likelihood is remote that the impact of such ordinary course proceedings, either individually or in the aggregate, would have a material adverse effect on our results of operations, financial condition or cash flows. However, one or more unfavorable outcomes in any claim or litigation against us could have a material adverse effect for the period in which they are resolved. In addition, regardless of their merits or their ultimate outcomes, such matters are costly, divert management’s attention and may materially adversely affect our reputation, even if resolved in our favor.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43840"/>
                <wp:effectExtent l="0" t="0" r="0" b="0"/>
                <wp:wrapNone/>
                <wp:docPr id="44" name="Frame44"/>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44</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Market Information</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common stock has been publicly traded since November 19, 2021 and is currently traded on the Nasdaq Global Market under the Symbol “FINW.”</w:t>
      </w: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Holders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There were approximately 132 shareholders of record of the Company’s common stock as of December 31, 2023. This number does not reflect the number of persons or entities holding stock in nominee name through banks, brokerage firms or other nominees.</w:t>
      </w: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Dividends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Holders of our common stock are only entitled to receive dividends when, as and if declared by our board of directors out of funds legally available for dividends. We have not paid any cash dividends on our common stock since inception, and we currently have no plans to pay dividends for the foreseeable future.</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Because we are a bank holding company and do not engage directly in business activities of a material nature, our ability to pay dividends to our shareholders depends, in large part, upon our receipt of dividends from the Bank, which is also subject to numerous limitations on the payment of dividends under Utah and federal banking laws, regulations and policies. See “Item 1. Business-Supervision and Regulation-Regulatory Restrictions on Dividends.”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ability to pay dividends to our shareholders in the future will depend on regulatory restrictions, our liquidity and capital requirements, our earnings and financial condition, the general economic climate, contractual restrictions, our ability to service any equity or debt obligations senior to our common stock and other factors deemed relevant by our board of directors.</w:t>
      </w: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Recent Sales of Unregistered Securities and Issuer Repurchases of Common Stock</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There were no unregistered sales of the Company’s stock during the fourth quarter of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 xml:space="preserve">. The Company did not repurchase any of its shares and did not have any authorized share repurchase programs during the fourth quarter of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w:t>
      </w: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43840"/>
                <wp:effectExtent l="0" t="0" r="0" b="0"/>
                <wp:wrapNone/>
                <wp:docPr id="45" name="Frame45"/>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45</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before="200" w:after="283"/>
        <w:jc w:val="both"/>
        <w:rPr/>
      </w:pPr>
      <w:r>
        <w:rPr/>
      </w: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Securities Authorized for Issuance Under Equity Compensation Plans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provides information as of December 31, 2023, with respect to options outstanding and shares available for future awards under the Company’s active equity incentive plans.</w:t>
      </w:r>
    </w:p>
    <w:tbl>
      <w:tblPr>
        <w:tblW w:w="10205" w:type="dxa"/>
        <w:jc w:val="left"/>
        <w:tblInd w:w="0" w:type="dxa"/>
        <w:tblLayout w:type="fixed"/>
        <w:tblCellMar>
          <w:top w:w="28" w:type="dxa"/>
          <w:left w:w="28" w:type="dxa"/>
          <w:bottom w:w="28" w:type="dxa"/>
          <w:right w:w="28" w:type="dxa"/>
        </w:tblCellMar>
      </w:tblPr>
      <w:tblGrid>
        <w:gridCol w:w="1194"/>
        <w:gridCol w:w="1048"/>
        <w:gridCol w:w="1011"/>
        <w:gridCol w:w="109"/>
        <w:gridCol w:w="109"/>
        <w:gridCol w:w="109"/>
        <w:gridCol w:w="588"/>
        <w:gridCol w:w="588"/>
        <w:gridCol w:w="590"/>
        <w:gridCol w:w="109"/>
        <w:gridCol w:w="109"/>
        <w:gridCol w:w="109"/>
        <w:gridCol w:w="537"/>
        <w:gridCol w:w="1303"/>
        <w:gridCol w:w="279"/>
        <w:gridCol w:w="109"/>
        <w:gridCol w:w="109"/>
        <w:gridCol w:w="109"/>
        <w:gridCol w:w="609"/>
        <w:gridCol w:w="609"/>
        <w:gridCol w:w="868"/>
      </w:tblGrid>
      <w:tr>
        <w:trPr/>
        <w:tc>
          <w:tcPr>
            <w:tcW w:w="1194"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Securities to be</w:t>
              <w:br/>
              <w:t>Issued Upon Exercise of</w:t>
              <w:br/>
              <w:t>Outstanding Options</w:t>
              <w:br/>
              <w:t>or Restricted 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Exercise</w:t>
              <w:br/>
              <w:t>Price of Outstanding Options</w:t>
              <w:br/>
              <w:t>or Restricted 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Securities</w:t>
              <w:br/>
              <w:t>Remaining Available for</w:t>
              <w:br/>
              <w:t>Future Issuance under Equity</w:t>
              <w:br/>
              <w:t>Compensation Plans (excluding</w:t>
              <w:br/>
              <w:t>securities reflected in the first</w:t>
              <w:br/>
              <w:t>column)</w:t>
            </w:r>
          </w:p>
        </w:tc>
      </w:tr>
      <w:tr>
        <w:trPr/>
        <w:tc>
          <w:tcPr>
            <w:tcW w:w="3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approved by security 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FinWise Bancorp 2016 Stock Option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w:t>
            </w:r>
          </w:p>
        </w:tc>
      </w:tr>
      <w:tr>
        <w:trPr/>
        <w:tc>
          <w:tcPr>
            <w:tcW w:w="32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FinWise Bancorp 2019 Stock Option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908,527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333,853</w:t>
            </w:r>
          </w:p>
        </w:tc>
      </w:tr>
      <w:tr>
        <w:trPr/>
        <w:tc>
          <w:tcPr>
            <w:tcW w:w="325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Equity compensation plans not approved by security holders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32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1,273,364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336,042</w:t>
            </w:r>
          </w:p>
        </w:tc>
      </w:tr>
    </w:tbl>
    <w:p>
      <w:pPr>
        <w:pStyle w:val="TextBody"/>
        <w:bidi w:val="0"/>
        <w:spacing w:lineRule="auto" w:line="288" w:before="200" w:after="283"/>
        <w:ind w:left="0" w:right="0" w:hanging="540"/>
        <w:jc w:val="both"/>
        <w:rPr>
          <w:rFonts w:ascii="Times New Roman;sans-serif" w:hAnsi="Times New Roman;sans-serif"/>
          <w:b w:val="false"/>
          <w:color w:val="000000"/>
          <w:sz w:val="20"/>
        </w:rPr>
      </w:pPr>
      <w:r>
        <w:rPr>
          <w:rFonts w:ascii="Times New Roman;sans-serif" w:hAnsi="Times New Roman;sans-serif"/>
          <w:b w:val="false"/>
          <w:color w:val="000000"/>
          <w:sz w:val="20"/>
        </w:rPr>
        <w:t>(1)Reflects (a) a grant to Kent Landvatter of 40,914 non-qualified stock options, (b) a grant to Javvis Jacobson of 60,000 non-qualified stock options, (c) a grant to James Noone of 60,000 non-qualified stock options, (d) grants to Howard Reynolds of an aggregate of 18,000 non-qualified stock options, (e) grants to Gerald E. Cunningham of an aggregate of 18,000 non-qualified stock options, (f) grants to Thomas E. Gibson of an aggregate of 18,000 non-qualified stock options, (g) grants to James N. Giordano of an aggregate of 18,000 non-qualified stock options, (h) grants to Jeana Hutchings of an aggregate of 9,000 non-qualified stock options and (i) grants to Lisa Ann Nievaard of an aggregate of 9,000 non-qualified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43840"/>
                <wp:effectExtent l="0" t="0" r="0" b="0"/>
                <wp:wrapNone/>
                <wp:docPr id="46" name="Frame46"/>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46</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288" w:before="20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following discussion and analysis of our financial condition and results of operations should be read together with our consolidated financial statements and related notes thereto and other financial information included elsewhere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Overview</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 Utah corporation and the parent company of FinWise Bank and FinWise Investment, LLC. The Company’s assets consist primarily of its investment in the Bank and all of its material business activities are conducted through the Bank. The Company is a registered bank holding company that is subject to supervision by the UDFI and the Federal Reserve. As a Utah state-chartered bank that is not a member of the Federal Reserve System, the Bank is separately subject to regulations and supervision by both the UDFI and the FDIC. The Bank’s deposits are federally insured up to the maximum legal limits. </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Our banking business is our only business line. Our banking business offers a diverse range of commercial and retail banking products and services, and consists primarily of originating loans in a variety of sectors. Attracting nationwide deposits from the general public, businesses and other financial institutions, and investing those deposits, together with borrowings and other sources of funds, is also critical to our banking business. While our commercial and residential real estate lending and other products and services offered from our branch continue to be concentrated in and around the Salt Lake City, Utah MSA, our third-party loan origination relationships have allowed us to expand into new markets across the United States. These relationships were developed to support our ability to generate significant loan volume across diverse consumer and commercial markets and have been the primary source of our significant growth and superior profitability. Our track record has demonstrated that these factors help deliver superior growth and profitability and that the flexibility inherent in our model enhances our ability to manage credit risk. </w:t>
      </w:r>
      <w:r>
        <w:rPr>
          <w:rFonts w:ascii="Times New Roman;sans-serif" w:hAnsi="Times New Roman;sans-serif"/>
          <w:b w:val="false"/>
          <w:color w:val="000000"/>
          <w:sz w:val="20"/>
        </w:rPr>
        <w:t xml:space="preserve">We gather deposits in the Salt Lake City, Utah MSA through our one branch and nationwide from our Strategic Program service providers, SBA 7(a) borrowers, demand deposits sourced through Lively, Inc., institutional deposit exchanges, and brokered deposit arrangements. </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financial condition and results of operations depend primarily on our ability to (i) originate loans using our strategic relationships with third-party loan origination platforms to earn interest and noninterest income, (ii) effectively manage credit and other risks throughout the Bank, (iii) attract and retain low cost, stable deposits, and (iv) efficiently operate in compliance with applicable regulations.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lending focuses on four main lending areas: (i) SBA 7(a) loans, (ii) Strategic Programs, (iii) residential and commercial real estate and (iv) commercial leasing. For a description and analysis of the Company’s loan categories, see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Critical Accounting Policies and Estimates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preparation of our consolidated financial statements in accordance with GAAP requires us to make estimates and judgments that affect our reported amounts of assets, liabilities, revenues and expenses and related disclosures of contingent assets and liabilities. We base our estimates on historical experience and on various other assumptions that are believed to be reasonable under current circumstances, results of which form the basis for making judgments about the carrying value of certain assets and liabilities that are not readily available from other sources. We evaluate our estimates on an ongoing basis. Actual results may differ from these estimates under different assumptions or conditions.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Accounting policies, as described in detail in the notes to our consolidated financial statements, included elsewhere in this Report, are an integral part of our financial statements. A thorough understanding of these accounting policies is essential when reviewing our reported results of operations and our financial position. We believe that the critical accounting policies and estimates discussed below require us to make difficult, subjective or complex judgments about matters that are inherently uncertain. Changes in these estimates, which are likely to occur from period to period, or use of different estimates that we could have reasonably used in the current period, would have a material impact on our financial position, results of operations or liquidity.</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JOBS Act permits us an extended transition period for complying with new or revised accounting standards affecting public companies. We have elected to take advantage of this extended transition period, which means that the financial statements included in this Report, as well as any financial statements that we file in the future, will not be subject to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43840"/>
                <wp:effectExtent l="0" t="0" r="0" b="0"/>
                <wp:wrapNone/>
                <wp:docPr id="47" name="Frame47"/>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47</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new or revised accounting standards generally applicable to public companies for the transition period for so long as we remain an emerging growth company or until we affirmatively and irrevocably opt out of the extended transition period under the JOBS Act.</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is a discussion of the critical accounting policies and significant estimates that we believe require us to make the most complex or subjective decisions or assessments.</w:t>
      </w:r>
    </w:p>
    <w:p>
      <w:pPr>
        <w:pStyle w:val="TextBody"/>
        <w:bidi w:val="0"/>
        <w:spacing w:lineRule="auto" w:line="288" w:before="200" w:after="283"/>
        <w:jc w:val="both"/>
        <w:rPr/>
      </w:pPr>
      <w:r>
        <w:rPr>
          <w:rFonts w:ascii="Times New Roman;sans-serif" w:hAnsi="Times New Roman;sans-serif"/>
          <w:b/>
          <w:i/>
          <w:color w:val="000000"/>
          <w:sz w:val="20"/>
          <w:shd w:fill="FFFFFF" w:val="clear"/>
        </w:rPr>
        <w:t>Allowance for Credit Losses.</w:t>
      </w:r>
      <w:r>
        <w:rPr>
          <w:color w:val="000000"/>
          <w:shd w:fill="FFFFFF" w:val="clear"/>
        </w:rPr>
        <w:t xml:space="preserve"> </w:t>
      </w:r>
      <w:r>
        <w:rPr>
          <w:rFonts w:ascii="Times New Roman;sans-serif" w:hAnsi="Times New Roman;sans-serif"/>
          <w:b w:val="false"/>
          <w:color w:val="000000"/>
          <w:sz w:val="20"/>
          <w:shd w:fill="FFFFFF" w:val="clear"/>
        </w:rPr>
        <w:t>On January 1, 2023, the Company adopted ASU 2016-13, Topic 326 which replaced the incurred loss methodology with CECL for financial instruments measured at amortized cost and other commitments to extend credit. CECL requires the immediate recognition of estimated credit losses expected to occur over the estimated remaining life of the asset. The forward-looking concept of CECL requires loss estimates to consider historical experience, current conditions and reasonable and supportable economic forecasts of future events and circumstances.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ACL on loans held for investment is the combination of the allowance for credit losses and the reserve for unfunded loan commitments. The allowance for credit losses is reported as a reduction of the amortized cost basis of loans, while the reserve for unfunded loan commitments is included within "other liabilities" on the Consolidated Balance Sheets. The estimate of credit loss incorporates assumptions for both the likelihood and amount of funding over the estimated life of the commitments, including adjustments for current conditions and reasonable and supportable forecasts. Management periodically reviews and updates its assumptions for estimated funding rates. The amortized cost basis of loans does not include accrued interest receivable, which is included in "accrued interest receivable" on the Consolidated Balance Sheets. The "Provision for credit losses" on the Consolidated Statements of Income is a combination of the provision for credit losses and the provision for unfunded loan commitments.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With respect to the Bank's core portfolio which consists of commercial real estate, residential real estate, commercial and industrial, commercial leases and consumer loans, the Bank pools similar loans that are collectively evaluated and determines an appropriate level of general allowance by portfolio segment using a non-discounted cash flow model taking into account probability of default, loss in the event of default, and prepayment speed estimates based on industry specific collected data. The model captures losses over the historical charge-off and prepayment cycle and applies those losses at a loan level over the remaining maturity of the loan. The model then calculates a historical loss rate using the average losses over the reporting period, which is then applied to each segment utilizing a standard reversion rate. With respect to the Bank's active retained Strategic Program loan portfolio, the Bank is using a methodology that compares the actual loan performance of a vintage to the worst performing loans within that vintage, known as the high-water mark. The Bank records the expected credit losses based on the high-water mark loss rate. With respect to the Bank's inactive retained Strategic Program loan portfolio, performance data at the summary level provided by the Strategic Programs is banded by credit profile and original loan term and compared to actual loan performance on a quarterly basis. The expected loss rate is supplemented with adjustments for reasonable and supportable forecasts of relevant economic indicators, including but not limited to national unemployment rate forecasts. Expected credit losses are estimated over the contractual term of the loans, adjusted for expected prepayments when appropriate. Also included in the ACL are qualitative factors based on the risks present for each portfolio segment. These qualitative factors include the following that are derived from the Interagency Policy Statement on Allowance for Credit Losses: changes in lending policies and procedures; changes in international, national, regional, and local economic and business conditions and developments that affect the collectability of the loan portfolio; changes in the nature and volume of the loan portfolio and in the terms of loans; changes in the experience, ability, and depth of lending management and staff; changes in the volume and severity of past due loans, nonaccrual loans, and classified or graded loans; changes in the quality of the Bank's loan review system; changes in the value of underlying collateral for loans that are not collateral-dependent; changes in the level of concentration of credit; changes in the effect of competition, legal, and regulatory requirements on the level of estimated credit losses; and, if applicable, changes in the composition and volume of the loan portfolio due to mergers, acquisitions, and other significant transactions not considered elsewhere. The Bank also considers as an additional qualitative factor any lingering "ripple" effects of the Covid-19 pandemic, including lasting changes to consumer behavior, lending, and society at large. It is also possible that these factors could include social, political, economic, and terrorist events or activities. All of these factors are susceptible to change, which may be significant.</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When management identifies loans that do not share common risk characteristics (i.e., are not similar to other loans within a pool) they are evaluated on an individual basis. These loans are not included in the collective evaluation. For loans identified as having a likelihood of foreclosure or that the borrower is experiencing financial difficulty, a collateral dependent approach is used. These are loans for which the repayment is expected to be provided substantially through the operation or sale of the collateral. Under CECL, for collateral dependent loans, the Company has adopted the practical expedient method to measure the allowance for credit losses based on the fair value of collateral. The allowance for credit losses is calculated on an individual loan basis based on the shortfall between the fair value of the loan's collateral, which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43840"/>
                <wp:effectExtent l="0" t="0" r="0" b="0"/>
                <wp:wrapNone/>
                <wp:docPr id="48" name="Frame48"/>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48</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adjusted for liquidation costs/discounts, and amortized cost. If the fair value of the collateral exceeds the amortized cost, no allowance is required.</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CECL methodology requires a significant amount of management judgment in determining the appropriate allowance for credit losses. Several of the steps in the methodology involve judgment and are subjective in nature including, among other things: segmenting the loan portfolio; determining the amount of loss history to consider; selecting predictive econometric regression models that use appropriate macroeconomic variables; determining the methodology to forecast prepayments; selecting the most appropriate economic forecast scenario; determining the length of the reasonable and supportable forecast and reversion periods; estimating expected utilization rates on unfunded loan commitments; and assessing relevant and appropriate qualitative factors. In addition, the CECL methodology is dependent on economic forecasts, which are inherently imprecise and will change from period to period. Although the allowance for credit losses is considered appropriate, there can be no assurance that it will be sufficient to absorb future losses.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determining an appropriate amount for the allowance, the Bank segments and aggregates the loan portfolio based on common characteristics. The following segments have been identified:</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Commercial Real Estate. These loans are generally secured by owner-occupied nonfarm, nonresidential properties, or by other nonfarm, nonresidential properties. Owner-occupied commercial real estate loans are typically repaid first by the cash flows generated by the underlying business. Factors that may influence a business' cash flows include, but are not limited to, demand for its products or services, quality and depth of management, degree of competition, regulatory changes, and general economic conditions. Non-owner occupied commercial real estate loans are generally considered to have a higher degree of credit risk as they may be dependent on the ongoing success and operating viability of a fewer number of tenants who are occupying the property and who may have a greater degree of exposure to economic conditions.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Commercial and Industrial. These loans are generally secured by business assets such as furniture, fixtures, equipment, accounts receivable, inventory, business vehicles, and other business personal property. Commercial and industrial loans are typically repaid first by the cash flows generated by the borrower's business operations. The primary risk characteristics are specific to the underlying business and its ability to generate sustainable profitability and resulting positive cash flows. Factors that may influence a business' profitability include, but are not limited to, demand for its products or services, quality and depth of management, degree of competition, regulatory changes, and general economic conditions.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Commercial Leases. Equipment financing and leasing typically involve the use of equipment as collateral for the loan. If the borrower defaults on the loan, the Bank may need to repossess and sell the equipment to recover the outstanding debt. However, the value of the equipment may depreciate over time, or disappear, making it difficult for the Bank to recover the full amount of the loan. In equipment leasing, the residual value of the equipment is an important consideration. The residual value is the estimated value of the equipment at the end of the lease term. If the actual value of the equipment is lower than the residual value, the lessor may not be able to recover the full amount of the lease payments.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Construction and Land Development. Risks common to construction loans are cost overruns, changes in market demand for property, supply chain interruption affecting construction materials, inadequate long-term financing arrangements and declines in real estate values. Changes in market demand for property could lead to longer marketing times resulting in higher carrying costs, declining values, and higher interest rates. Risks common to residential lot loans are those similar to other types of real estate construction loans, as many customers finance the purchase of improved lots in anticipation of constructing a 1 to 4 family residence. Accordingly, common risks are changes in market demand for property, supply chain interruption affecting construction materials, inadequate long-term financing arrangements and declines in real estate values. Changes in market demand for property could lead to longer marketing times resulting in higher carrying costs, declining values and higher interest rates.</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Consumer. These are loans to individuals for household, family, and other personal expenditures. Consumer loans generally have higher interest rates and shorter terms than residential loans but tend to have higher credit risk due to the type of collateral securing the loan or in some cases the absence of collateral.</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Residential Real Estate. These loans are generally secured by 1 to 4 family residential properties. The primary risk characteristics associated with residential mortgage loans typically involve: major living or lifestyle changes to the borrower, including unemployment or other loss of income; unexpected significant expenses, such as for major medical issues or catastrophic events; and divorce or death. In addition, residential mortgage loans that have adjustable rates could expose the borrower to higher debt service requirements in a rising interest rate environment. Further, real estate values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43840"/>
                <wp:effectExtent l="0" t="0" r="0" b="0"/>
                <wp:wrapNone/>
                <wp:docPr id="49" name="Frame49"/>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49</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could drop significantly and cause the value of the property to fall below the loan amount, creating additional potential loss exposure for the Bank.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Residential Real Estate Multifamily. Risks common to multifamily loans are poor management, high vacancy rates and regulatory changes. The value of multi-family properties can be impacted by changes in the local real estate market. If property values decline, the Bank may not be able to recover the full amount of the loan if the property needs to be foreclosed.</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Strategic Program Loans. Unsecured consumer loans and secured or unsecured business loans issued by the Company through these programs generally follow and are limited to specific predetermined underwriting criteria. Strategic Program loans cover a wide range of borrower credit profiles, loan terms and interest rates. Strategic Program loans generally have higher interest rates and shorter terms similar to consumer loans and tend to have higher credit risk due to the type of collateral securing the loan or in most cases the absence of collateral.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generally places loans on a nonaccrual status when: (1) payment is in default for 90 days or more unless the loan is well secured and in the process of collection; or (2) full repayment of principal and interest is not foreseen. When a loan is placed on nonaccrual status, all accrued and uncollected interest on that loan is reversed. Past-due interest received on nonaccrual loans is not recognized in interest income but is applied as a reduction of the outstanding principal of the loan consistent with the accounting for impaired loans. A loan is relieved of its nonaccrual status when all principal and interest payments are brought current, the loan is well secured, and an analysis of the borrower’s financial condition provides reasonable assurance that the borrower can repay the loan as scheduled.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loan is considered impaired when, based on current information and events, it is probable that the Company will be unable to collect all amounts due in accordance with the contractual terms of the loan agreement, including scheduled interest payments. Impaired loans, identified by classified loan grades (also know as risk rating), are removed from the collectively assessed population and added to the individually assessed population of loans. Within the individually assessed population, the Company determines whether loan repayment is expected from cash flow or from the liquidation of collateral. For individually assessed cash flow based repayment loans, the Company considers the net of the present value of estimated future cash flows using the original loan terms, including the original effective interest rate. Loans that experience insignificant payment delays and payment shortfalls are generally not individually evaluated. The Company considers the significance of payment delays on a case-by-case basis, taking into consideration the circumstances of the loan and borrower, including the length of delay, the reasons for the delay, the borrower's prior payment record, and the amount of the shortfall in relation to principal and interest owed. For individually assessed collateral based repayment loans, the Company estimates the net realizable value by evaluating the asset's present fair market value (supported by current independent appraisals or evaluations) less liquidation expenses associated with the asset's sale or disposal. Common liquidation expenses considered are commissions paid to brokers or auctioneers, property taxes, force-placed insurance premiums, legal fees, maintenance costs, and other care and preservation of collateral expenses. Within the strategic program loan portfolio, the Company has Held for Investment ("HFI") strategic programs that it considers active and inactive. Strategic programs are considered active when the Company is continuing to originate and retain vintages of loans with the strategic program. Strategic programs are considered inactive when the Company is no longer originating and retaining vintages of loans with the strategic program. For the inactive HFI strategic programs there may still be outstanding loan balances from previously originated vintages; however, those loan balances decrease month-over-month through a combination of prepayment, charge-off, and regular amortization. For the active HFI strategic programs, the Company evaluates impairment collectively on a vintage basis employing a high-water vintage methodology. For the inactive HFI strategic programs, the Company evaluates impairment collectively by calculating blended loss rates comparing the actual loan tapes against portfolio level data provided by the inactive HFI strategic programs.</w:t>
      </w:r>
    </w:p>
    <w:p>
      <w:pPr>
        <w:pStyle w:val="TextBody"/>
        <w:bidi w:val="0"/>
        <w:spacing w:lineRule="auto" w:line="288" w:before="200" w:after="283"/>
        <w:jc w:val="both"/>
        <w:rPr/>
      </w:pPr>
      <w:r>
        <w:rPr>
          <w:rFonts w:ascii="Times New Roman;sans-serif" w:hAnsi="Times New Roman;sans-serif"/>
          <w:b/>
          <w:i/>
          <w:color w:val="000000"/>
          <w:sz w:val="20"/>
        </w:rPr>
        <w:t>Stock-based Compensation.</w:t>
      </w:r>
      <w:r>
        <w:rPr>
          <w:color w:val="000000"/>
        </w:rPr>
        <w:t xml:space="preserve"> </w:t>
      </w:r>
      <w:r>
        <w:rPr>
          <w:rFonts w:ascii="Times New Roman;sans-serif" w:hAnsi="Times New Roman;sans-serif"/>
          <w:b w:val="false"/>
          <w:color w:val="000000"/>
          <w:sz w:val="20"/>
        </w:rPr>
        <w:t>Our historical and outstanding stock-ba</w:t>
      </w:r>
      <w:r>
        <w:rPr>
          <w:rFonts w:ascii="Times New Roman;sans-serif" w:hAnsi="Times New Roman;sans-serif"/>
          <w:b w:val="false"/>
          <w:color w:val="000000"/>
          <w:sz w:val="20"/>
          <w:shd w:fill="FFFFFF" w:val="clear"/>
        </w:rPr>
        <w:t>sed compensation awards are described in Note 10 in our annual consolidated financial statements included elsewhere in this Report.</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We record stock-based compensation in accordance with ASC 718, </w:t>
      </w:r>
      <w:r>
        <w:rPr>
          <w:rFonts w:ascii="Times New Roman;sans-serif" w:hAnsi="Times New Roman;sans-serif"/>
          <w:b w:val="false"/>
          <w:i/>
          <w:color w:val="000000"/>
          <w:sz w:val="20"/>
          <w:shd w:fill="FFFFFF" w:val="clear"/>
        </w:rPr>
        <w:t>Compensation — Stock Compensation</w:t>
      </w:r>
      <w:r>
        <w:rPr>
          <w:color w:val="000000"/>
          <w:shd w:fill="FFFFFF" w:val="clear"/>
        </w:rPr>
        <w:t xml:space="preserve"> </w:t>
      </w:r>
      <w:r>
        <w:rPr>
          <w:rFonts w:ascii="Times New Roman;sans-serif" w:hAnsi="Times New Roman;sans-serif"/>
          <w:b w:val="false"/>
          <w:color w:val="000000"/>
          <w:sz w:val="20"/>
          <w:shd w:fill="FFFFFF" w:val="clear"/>
        </w:rPr>
        <w:t>(“ASC 718”) and recognize stock-based compensation expense in the period in which an employee or non-employee is required to provide service, which is generally over the vesting period of the individual stock-based payment award. Compensation expense for awards is recognized over the requisite service period on a straight-line basis and we account for forfeitures as they occur. We classify our awards as equity awards and these awards are valued as of the grant date based upon the underlying stock price and a number of assumptions, including volatility, performance period, risk-free interest rate and expected dividends.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43840"/>
                <wp:effectExtent l="0" t="0" r="0" b="0"/>
                <wp:wrapNone/>
                <wp:docPr id="50" name="Frame50"/>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50</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determination of the grant date fair value using an option pricing model is affected principally by our estimated fair value of our common stock and requires us to make a number of other assumptions, including the expected term of the award, the expected volatility of the underlying shares, the risk-free interest rate and the expected dividend yield. The assumptions used in our Black-Scholes option-pricing model represent management’s best estimates at the time of measurement. These estimates are complex, involve a number of variables, uncertainties and assumptions and the application of management’s judgment, as they are inherently subjective. We will continue to use judgment in evaluating the expected volatility, expected terms and interest rates utilized for our stock-based compensation expense calculations on a prospective basis. If any assumptions change, our stock-based compensation expense could be materially different in the future. These assumptions are estimated as follows: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i/>
          <w:color w:val="000000"/>
          <w:sz w:val="20"/>
          <w:shd w:fill="FFFFFF" w:val="clear"/>
        </w:rPr>
        <w:t>Expected Term.</w:t>
      </w:r>
      <w:r>
        <w:rPr>
          <w:color w:val="000000"/>
          <w:shd w:fill="FFFFFF" w:val="clear"/>
        </w:rPr>
        <w:t xml:space="preserve"> </w:t>
      </w:r>
      <w:r>
        <w:rPr>
          <w:rFonts w:ascii="Times New Roman;sans-serif" w:hAnsi="Times New Roman;sans-serif"/>
          <w:b w:val="false"/>
          <w:color w:val="000000"/>
          <w:sz w:val="20"/>
          <w:shd w:fill="FFFFFF" w:val="clear"/>
        </w:rPr>
        <w:t>The expected term represents the period that our awards are expected to be outstanding. We calculated the expected term using a permitted simplified method, which is based on the vesting period and contractual term for each tranche of awards.</w:t>
      </w:r>
    </w:p>
    <w:p>
      <w:pPr>
        <w:pStyle w:val="TextBody"/>
        <w:bidi w:val="0"/>
        <w:spacing w:lineRule="auto" w:line="288" w:before="200" w:after="283"/>
        <w:ind w:left="0" w:right="0" w:hanging="360"/>
        <w:jc w:val="both"/>
        <w:rPr/>
      </w:pPr>
      <w:r>
        <w:rPr>
          <w:color w:val="000000"/>
        </w:rPr>
        <w:t>•</w:t>
      </w:r>
      <w:r>
        <w:rPr>
          <w:rFonts w:ascii="Times New Roman;sans-serif" w:hAnsi="Times New Roman;sans-serif"/>
          <w:b w:val="false"/>
          <w:i/>
          <w:color w:val="000000"/>
          <w:sz w:val="20"/>
          <w:shd w:fill="FFFFFF" w:val="clear"/>
        </w:rPr>
        <w:t>Expected Volatility.</w:t>
      </w:r>
      <w:r>
        <w:rPr>
          <w:color w:val="000000"/>
          <w:shd w:fill="FFFFFF" w:val="clear"/>
        </w:rPr>
        <w:t xml:space="preserve"> </w:t>
      </w:r>
      <w:r>
        <w:rPr>
          <w:rFonts w:ascii="Times New Roman;sans-serif" w:hAnsi="Times New Roman;sans-serif"/>
          <w:b w:val="false"/>
          <w:color w:val="000000"/>
          <w:sz w:val="20"/>
          <w:shd w:fill="FFFFFF" w:val="clear"/>
        </w:rPr>
        <w:t>Prior to our initial public offering, the expected volatility was based on the historical share volatility of several comparable publicly traded companies over a period of time equal to the expected term of the awards, as we did not have any trading history to use the volatility of our own common shares. After the completion of our initial public offering, it is no longer necessary to utilize the volatility of comparable publicly traded companies as we now have historical trading volatility data on our own common shares.</w:t>
      </w:r>
    </w:p>
    <w:p>
      <w:pPr>
        <w:pStyle w:val="TextBody"/>
        <w:bidi w:val="0"/>
        <w:spacing w:lineRule="auto" w:line="288" w:before="200" w:after="283"/>
        <w:ind w:left="0" w:right="0" w:hanging="360"/>
        <w:jc w:val="both"/>
        <w:rPr/>
      </w:pPr>
      <w:r>
        <w:rPr>
          <w:color w:val="000000"/>
          <w:shd w:fill="FFFFFF" w:val="clear"/>
        </w:rPr>
        <w:t>•</w:t>
      </w:r>
      <w:r>
        <w:rPr>
          <w:rFonts w:ascii="Times New Roman;sans-serif" w:hAnsi="Times New Roman;sans-serif"/>
          <w:b w:val="false"/>
          <w:i/>
          <w:color w:val="000000"/>
          <w:sz w:val="20"/>
          <w:shd w:fill="FFFFFF" w:val="clear"/>
        </w:rPr>
        <w:t>Risk-Free Interest Rate.</w:t>
      </w:r>
      <w:r>
        <w:rPr>
          <w:color w:val="000000"/>
          <w:shd w:fill="FFFFFF" w:val="clear"/>
        </w:rPr>
        <w:t xml:space="preserve"> </w:t>
      </w:r>
      <w:r>
        <w:rPr>
          <w:rFonts w:ascii="Times New Roman;sans-serif" w:hAnsi="Times New Roman;sans-serif"/>
          <w:b w:val="false"/>
          <w:color w:val="000000"/>
          <w:sz w:val="20"/>
          <w:shd w:fill="FFFFFF" w:val="clear"/>
        </w:rPr>
        <w:t>The risk-free rate is based on the U.S. Treasury yield curve in effect at the time of grant for periods corresponding with the expected life.</w:t>
      </w:r>
    </w:p>
    <w:p>
      <w:pPr>
        <w:pStyle w:val="TextBody"/>
        <w:bidi w:val="0"/>
        <w:spacing w:lineRule="auto" w:line="288" w:before="200" w:after="283"/>
        <w:ind w:left="0" w:right="0" w:hanging="360"/>
        <w:jc w:val="both"/>
        <w:rPr/>
      </w:pPr>
      <w:r>
        <w:rPr>
          <w:color w:val="000000"/>
          <w:shd w:fill="FFFFFF" w:val="clear"/>
        </w:rPr>
        <w:t>•</w:t>
      </w:r>
      <w:r>
        <w:rPr>
          <w:rFonts w:ascii="Times New Roman;sans-serif" w:hAnsi="Times New Roman;sans-serif"/>
          <w:b w:val="false"/>
          <w:i/>
          <w:color w:val="000000"/>
          <w:sz w:val="20"/>
          <w:shd w:fill="FFFFFF" w:val="clear"/>
        </w:rPr>
        <w:t>Expected Dividend Yield.</w:t>
      </w:r>
      <w:r>
        <w:rPr>
          <w:color w:val="000000"/>
          <w:shd w:fill="FFFFFF" w:val="clear"/>
        </w:rPr>
        <w:t xml:space="preserve"> </w:t>
      </w:r>
      <w:r>
        <w:rPr>
          <w:rFonts w:ascii="Times New Roman;sans-serif" w:hAnsi="Times New Roman;sans-serif"/>
          <w:b w:val="false"/>
          <w:color w:val="000000"/>
          <w:sz w:val="20"/>
          <w:shd w:fill="FFFFFF" w:val="clear"/>
        </w:rPr>
        <w:t>We have not paid dividends on our common shares nor do we expect to pay dividends in the foreseeable future. Therefore, we used an expected dividend yield of zero.</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For the years ended December 31, 2023 and 2022, stock-based compensation expense was $2.0 million and $0.8 million, respectively. As of December 31, 2023, we had </w:t>
      </w:r>
      <w:r>
        <w:rPr>
          <w:rFonts w:ascii="Times New Roman;sans-serif" w:hAnsi="Times New Roman;sans-serif"/>
          <w:b w:val="false"/>
          <w:color w:val="000000"/>
          <w:sz w:val="20"/>
        </w:rPr>
        <w:t>$1.4 million</w:t>
      </w:r>
      <w:r>
        <w:rPr>
          <w:color w:val="000000"/>
          <w:shd w:fill="FFFFFF" w:val="clear"/>
        </w:rPr>
        <w:t xml:space="preserve"> </w:t>
      </w:r>
      <w:r>
        <w:rPr>
          <w:rFonts w:ascii="Times New Roman;sans-serif" w:hAnsi="Times New Roman;sans-serif"/>
          <w:b w:val="false"/>
          <w:color w:val="000000"/>
          <w:sz w:val="20"/>
          <w:shd w:fill="FFFFFF" w:val="clear"/>
        </w:rPr>
        <w:t xml:space="preserve">of total unrecognized stock-based compensation costs, which we expect to recognize over an estimated weighted-average period of </w:t>
      </w:r>
      <w:r>
        <w:rPr>
          <w:rFonts w:ascii="Times New Roman;sans-serif" w:hAnsi="Times New Roman;sans-serif"/>
          <w:b w:val="false"/>
          <w:color w:val="000000"/>
          <w:sz w:val="20"/>
        </w:rPr>
        <w:t>1.5</w:t>
      </w:r>
      <w:r>
        <w:rPr>
          <w:color w:val="000000"/>
          <w:shd w:fill="FFFFFF" w:val="clear"/>
        </w:rPr>
        <w:t xml:space="preserve"> </w:t>
      </w:r>
      <w:r>
        <w:rPr>
          <w:rFonts w:ascii="Times New Roman;sans-serif" w:hAnsi="Times New Roman;sans-serif"/>
          <w:b w:val="false"/>
          <w:color w:val="000000"/>
          <w:sz w:val="20"/>
          <w:shd w:fill="FFFFFF" w:val="clear"/>
        </w:rPr>
        <w:t>years. We expect to continue to grant options and other stock-based awards in the future, and to the extent that we do, our stock-based compensation expense recognized in future periods will likely increase.</w:t>
      </w:r>
    </w:p>
    <w:p>
      <w:pPr>
        <w:pStyle w:val="TextBody"/>
        <w:bidi w:val="0"/>
        <w:spacing w:lineRule="auto" w:line="288" w:before="200" w:after="283"/>
        <w:jc w:val="both"/>
        <w:rPr/>
      </w:pPr>
      <w:r>
        <w:rPr>
          <w:rFonts w:ascii="Times New Roman;sans-serif" w:hAnsi="Times New Roman;sans-serif"/>
          <w:b/>
          <w:i/>
          <w:color w:val="000000"/>
          <w:sz w:val="20"/>
          <w:shd w:fill="FFFFFF" w:val="clear"/>
        </w:rPr>
        <w:t xml:space="preserve">Income Taxes. </w:t>
      </w:r>
      <w:r>
        <w:rPr>
          <w:rFonts w:ascii="Times New Roman;sans-serif" w:hAnsi="Times New Roman;sans-serif"/>
          <w:b w:val="false"/>
          <w:color w:val="000000"/>
          <w:sz w:val="20"/>
          <w:shd w:fill="FFFFFF" w:val="clear"/>
        </w:rPr>
        <w:t>We account for income taxes under the asset and liability method. Under this method, deferred tax assets and liabilities are determined based on the differences between the financial statement carrying amounts and tax bases of assets and liabilities using enacted tax rates expected to be in effect for the year in which the differences are expected to reverse. Valuation allowances are established when necessary to reduce deferred tax assets to the amounts more likely than not to be realized. Realization of the future tax benefits is dependent on our ability to generate sufficient taxable income within the carryforward period.</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assess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more likely than not of being realized upon ultimate settlement. As of each balance sheet date, unresolved uncertain tax positions must be reassessed, and we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might change as new information becomes available. Our unrecognized tax benefits, if recognized, would not have an impact on our effective tax rate assuming we continue to maintain a full valuation allowance position. We do not expect our unrecognized tax benefits to change significantly over the next 12 months.</w:t>
      </w:r>
    </w:p>
    <w:p>
      <w:pPr>
        <w:pStyle w:val="TextBody"/>
        <w:bidi w:val="0"/>
        <w:spacing w:lineRule="auto" w:line="288" w:before="200" w:after="283"/>
        <w:jc w:val="left"/>
        <w:rPr/>
      </w:pPr>
      <w:r>
        <w:rPr>
          <w:rFonts w:ascii="Times New Roman;sans-serif" w:hAnsi="Times New Roman;sans-serif"/>
          <w:b w:val="false"/>
          <w:color w:val="000000"/>
          <w:sz w:val="20"/>
          <w:shd w:fill="FFFFFF" w:val="clear"/>
        </w:rPr>
        <w:t xml:space="preserve">Our policy is to recognize interest and penalties related to the underpayment of income taxes as a component of income tax expense or benefit. During the years ended December 31, 2023 and 2022, the Company recognized </w:t>
      </w:r>
      <w:r>
        <w:rPr>
          <w:rFonts w:ascii="Times New Roman;sans-serif" w:hAnsi="Times New Roman;sans-serif"/>
          <w:b w:val="false"/>
          <w:color w:val="000000"/>
          <w:sz w:val="20"/>
        </w:rPr>
        <w:t>$0.3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i/>
          <w:color w:val="000000"/>
          <w:sz w:val="20"/>
          <w:shd w:fill="FFFFFF" w:val="clear"/>
        </w:rPr>
        <w:t>de minimis</w:t>
      </w:r>
      <w:r>
        <w:rPr>
          <w:color w:val="000000"/>
          <w:shd w:fill="FFFFFF" w:val="clear"/>
        </w:rPr>
        <w:t xml:space="preserve"> </w:t>
      </w:r>
      <w:r>
        <w:rPr>
          <w:rFonts w:ascii="Times New Roman;sans-serif" w:hAnsi="Times New Roman;sans-serif"/>
          <w:b w:val="false"/>
          <w:color w:val="000000"/>
          <w:sz w:val="20"/>
          <w:shd w:fill="FFFFFF" w:val="clear"/>
        </w:rPr>
        <w:t>interest and penalties,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Executive Summary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for the year ended December 31, 2023 decreased $7.7 million to $17.5 million when compared to the year ended December 31, 2022 due primarily to a $11.9 million reduction in gain on sale of loans primarily attributable to the Company's increased retention of the guaranteed portion of SBA loans the Company originates to increase the interest income the Company receives from such loans, a $6.6 million reduction in strategic program fees resulting primarily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43840"/>
                <wp:effectExtent l="0" t="0" r="0" b="0"/>
                <wp:wrapNone/>
                <wp:docPr id="51" name="Frame51"/>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51</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decline in loan origination volumes, and an increase in non-interest expense of $1.4 million. Partially offsetting these declines were a $4.6 million reduction in the provision for income taxes, a $3.7 million increase in net interest income, a $1.9 million reduction in the provision for credit losses, and a $2.3 million increase in other miscellaneous income.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net interest margin was 11.65% for the year ended December 31, 2023, compared to 14.04% for the year ended December 31, 2022. The decline in net interest margin was due primarily to a $26.6 million decrease in the average balances of loans held for sale along with a shift in the Company's deposit portfolio mix from lower costing deposits to higher costing deposits, partially offset by an increase in average yield and balances in the Company's interest bearing deposits.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assets increased by $185.4 million to $586.2 million as of December 31, 2023 compared to December 31, 2022. This increase was primarily attributable to increased brokered deposits utilized to fund a $134.3 million increase in net loans receivable, a $23.9 million increase in Strategic Program loans held-for-sale, and a $16.4 million increase in the Company's interest-bearing deposits.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Originations decreased by $3.0 billion to $4.3 billion for the year ended December 31, 2023 compared to the year ended December 31, 2022 due mainly to adverse market and economic conditions affecting loan purchasers and borrowers.</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Results of Operations</w:t>
      </w:r>
    </w:p>
    <w:p>
      <w:pPr>
        <w:pStyle w:val="TextBody"/>
        <w:bidi w:val="0"/>
        <w:spacing w:lineRule="auto" w:line="288"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Net Income</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sets forth the principal components of net income for the periods indicated.</w:t>
      </w:r>
    </w:p>
    <w:tbl>
      <w:tblPr>
        <w:tblW w:w="4733" w:type="dxa"/>
        <w:jc w:val="left"/>
        <w:tblInd w:w="0" w:type="dxa"/>
        <w:tblLayout w:type="fixed"/>
        <w:tblCellMar>
          <w:top w:w="28" w:type="dxa"/>
          <w:left w:w="28" w:type="dxa"/>
          <w:bottom w:w="28" w:type="dxa"/>
          <w:right w:w="28" w:type="dxa"/>
        </w:tblCellMar>
      </w:tblPr>
      <w:tblGrid>
        <w:gridCol w:w="825"/>
        <w:gridCol w:w="725"/>
        <w:gridCol w:w="729"/>
        <w:gridCol w:w="211"/>
        <w:gridCol w:w="721"/>
        <w:gridCol w:w="109"/>
        <w:gridCol w:w="109"/>
        <w:gridCol w:w="109"/>
        <w:gridCol w:w="109"/>
        <w:gridCol w:w="211"/>
        <w:gridCol w:w="721"/>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w:t>
              <w:br/>
              <w:t xml:space="preserve">December 31, </w:t>
            </w:r>
          </w:p>
        </w:tc>
      </w:tr>
      <w:tr>
        <w:trPr/>
        <w:tc>
          <w:tcPr>
            <w:tcW w:w="22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loan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income for the year ended December 31, 2023 was $17.5 million, a decrease of $7.7 million, or 30.5%, from net income of $25.1 million for the year ended December 31, 2022. The decrease was primarily attributable to an $11.9 million, or 87.6%, reduction in the gain on sale of loans primarily attributable to the Company's increased retention of the guaranteed portion of SBA loans the Company originates to increase the interest income the Company receives from such loans, lower strategic program fees of $6.6 million, or 29.2%, resulting primarily from a decline in loan origination volume, and an increase of $8.5 million, or 595.5%, in interest expense primarily associated with a shift in our deposit portfolio mix from lower costing deposits to higher costing deposits. Partially offsetting the decrease in net income were an increase in total interest income of $12.2 million, or 23.3%, a reduction in provision for income taxes of $4.6 million, or 41.8%, a decrease of $1.9 million, or 13.9%, in provision for credit losses, and an increase of $2.3 million, or 871.3%, in other miscellaneous income due primarily to an increase of $1.1 million in rental income earned on the Company's operating lease portfolio and a $0.6 million gain on the resolution of a forbearance agreement in the Company's SBA lending program.</w:t>
      </w:r>
    </w:p>
    <w:p>
      <w:pPr>
        <w:pStyle w:val="TextBody"/>
        <w:bidi w:val="0"/>
        <w:spacing w:lineRule="auto" w:line="288"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Net Interest Income and Net Interest Margin Analysis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interest income was the primary contributor to our earnings in 2023 and 2022. Net interest income is affected by changes in the amount and mix of interest-earning assets and interest-bearing liabilities, referred to as “volume changes.” It is also affected by changes in yields earned on interest-earning assets and rates paid on interest-bearing deposits and other borrowed funds, referred to as “rate changes.”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43840"/>
                <wp:effectExtent l="0" t="0" r="0" b="0"/>
                <wp:wrapNone/>
                <wp:docPr id="52" name="Frame52"/>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52</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our net interest income increased $3.7 million, or 7.2%, to $54.6 million compared to the year ended December 31, 2022. This increase was primarily due to increases in the yields on all interest earning asset categories and was partially offset by decreases in the loans held-for-sale volume as well as increased rates on our certificate of deposit portfolio. Average interest earning assets increased by $106.0 million, or 29.2%, to $468.5 million for the year ended December 31, 2023 compared to the year ended December 31, 2022, while the related yield on average interest earning assets decreased by 66 basis points to 13.78%. The cost of funds on interest bearing liabilities for the year ended December 31, 2023 increased by 306 basis points to 4.22%, and the average balance in interest bearing liabilities increased by $113.3 million, or 92.0%, to $236.5 million compared to the prior year period. The increase in cost of funds was primarily due to rate increases in time deposits as well as volume growth in our interest bearing demand accounts. Our net interest margin decreased to 11.65% for the year ended December 31, 2023 from 14.04% for the year ended December 31, 2022.</w:t>
      </w:r>
    </w:p>
    <w:p>
      <w:pPr>
        <w:pStyle w:val="TextBody"/>
        <w:bidi w:val="0"/>
        <w:spacing w:lineRule="auto" w:line="288" w:before="200" w:after="283"/>
        <w:jc w:val="both"/>
        <w:rPr/>
      </w:pPr>
      <w:r>
        <w:rPr>
          <w:rFonts w:ascii="Times New Roman;sans-serif" w:hAnsi="Times New Roman;sans-serif"/>
          <w:b w:val="false"/>
          <w:i/>
          <w:color w:val="000000"/>
          <w:sz w:val="20"/>
          <w:shd w:fill="FFFFFF" w:val="clear"/>
        </w:rPr>
        <w:t>Average Balances and Yields</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 xml:space="preserve">The following table presents average balances for assets and liabilities, the total dollar amounts of interest income from average interest-earning assets, the total dollar amounts of interest expense on average interest-bearing liabilities, and the resulting average yields and costs. The yields and costs for the periods indicated are derived by dividing the income or expense by the average balances for assets or liabilities, respectively, for the periods presented. Loan fees are included in interest income on loans and represent net fees of approximately $1.0 million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43840"/>
                <wp:effectExtent l="0" t="0" r="0" b="0"/>
                <wp:wrapNone/>
                <wp:docPr id="53" name="Frame53"/>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53</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$0.1 million for the year ended December 31, 2023 and 2022, respectively. Average balances have been calculated using daily averages.</w:t>
      </w:r>
    </w:p>
    <w:tbl>
      <w:tblPr>
        <w:tblW w:w="10205" w:type="dxa"/>
        <w:jc w:val="left"/>
        <w:tblInd w:w="0" w:type="dxa"/>
        <w:tblLayout w:type="fixed"/>
        <w:tblCellMar>
          <w:top w:w="28" w:type="dxa"/>
          <w:left w:w="28" w:type="dxa"/>
          <w:bottom w:w="28" w:type="dxa"/>
          <w:right w:w="28" w:type="dxa"/>
        </w:tblCellMar>
      </w:tblPr>
      <w:tblGrid>
        <w:gridCol w:w="823"/>
        <w:gridCol w:w="503"/>
        <w:gridCol w:w="434"/>
        <w:gridCol w:w="211"/>
        <w:gridCol w:w="826"/>
        <w:gridCol w:w="109"/>
        <w:gridCol w:w="109"/>
        <w:gridCol w:w="109"/>
        <w:gridCol w:w="109"/>
        <w:gridCol w:w="211"/>
        <w:gridCol w:w="721"/>
        <w:gridCol w:w="109"/>
        <w:gridCol w:w="109"/>
        <w:gridCol w:w="109"/>
        <w:gridCol w:w="109"/>
        <w:gridCol w:w="359"/>
        <w:gridCol w:w="362"/>
        <w:gridCol w:w="467"/>
        <w:gridCol w:w="109"/>
        <w:gridCol w:w="109"/>
        <w:gridCol w:w="109"/>
        <w:gridCol w:w="211"/>
        <w:gridCol w:w="826"/>
        <w:gridCol w:w="109"/>
        <w:gridCol w:w="109"/>
        <w:gridCol w:w="109"/>
        <w:gridCol w:w="109"/>
        <w:gridCol w:w="211"/>
        <w:gridCol w:w="721"/>
        <w:gridCol w:w="109"/>
        <w:gridCol w:w="109"/>
        <w:gridCol w:w="109"/>
        <w:gridCol w:w="109"/>
        <w:gridCol w:w="359"/>
        <w:gridCol w:w="362"/>
        <w:gridCol w:w="527"/>
      </w:tblGrid>
      <w:tr>
        <w:trPr/>
        <w:tc>
          <w:tcPr>
            <w:tcW w:w="82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5"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Years Ended December 31, </w:t>
            </w:r>
          </w:p>
        </w:tc>
      </w:tr>
      <w:tr>
        <w:trPr/>
        <w:tc>
          <w:tcPr>
            <w:tcW w:w="1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 xml:space="preserve">Balance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 xml:space="preserve">Yield/Rate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 xml:space="preserve">Balance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Yield/Rate</w:t>
            </w:r>
          </w:p>
        </w:tc>
      </w:tr>
      <w:tr>
        <w:trPr/>
        <w:tc>
          <w:tcPr>
            <w:tcW w:w="1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earning 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deposits with the Federal Reserve, non</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central banks and other banks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5.19 </w:t>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5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5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sale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38.50 </w:t>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32.31 </w:t>
            </w:r>
          </w:p>
        </w:tc>
        <w:tc>
          <w:tcPr>
            <w:tcW w:w="5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14.28 </w:t>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14.19 </w:t>
            </w:r>
          </w:p>
        </w:tc>
        <w:tc>
          <w:tcPr>
            <w:tcW w:w="5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earning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468,472 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13.78 </w:t>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14.44 </w:t>
            </w:r>
          </w:p>
        </w:tc>
        <w:tc>
          <w:tcPr>
            <w:tcW w:w="5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earning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bearing liabilities: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5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0.62 </w:t>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5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accounts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5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5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5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borrowings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5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bearing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4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5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bearing 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bearing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381,825 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 and interest rate spread</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4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13.28 </w:t>
            </w:r>
          </w:p>
        </w:tc>
        <w:tc>
          <w:tcPr>
            <w:tcW w:w="5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margin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11.65 </w:t>
            </w:r>
          </w:p>
        </w:tc>
        <w:tc>
          <w:tcPr>
            <w:tcW w:w="46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14.04 </w:t>
            </w:r>
          </w:p>
        </w:tc>
        <w:tc>
          <w:tcPr>
            <w:tcW w:w="52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 of average interest-earning assets to average interest- bearing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198.12 </w:t>
            </w:r>
          </w:p>
        </w:tc>
        <w:tc>
          <w:tcPr>
            <w:tcW w:w="46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294.34 </w:t>
            </w:r>
          </w:p>
        </w:tc>
        <w:tc>
          <w:tcPr>
            <w:tcW w:w="52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both"/>
        <w:rPr/>
      </w:pPr>
      <w:r>
        <w:rPr>
          <w:rFonts w:ascii="Times New Roman;sans-serif" w:hAnsi="Times New Roman;sans-serif"/>
          <w:b w:val="false"/>
          <w:i/>
          <w:color w:val="000000"/>
          <w:sz w:val="20"/>
          <w:shd w:fill="FFFFFF" w:val="clear"/>
        </w:rPr>
        <w:t xml:space="preserve">Rate/Volume Analysis. </w:t>
      </w:r>
      <w:r>
        <w:rPr>
          <w:rFonts w:ascii="Times New Roman;sans-serif" w:hAnsi="Times New Roman;sans-serif"/>
          <w:b w:val="false"/>
          <w:color w:val="000000"/>
          <w:sz w:val="20"/>
          <w:shd w:fill="FFFFFF" w:val="clear"/>
        </w:rPr>
        <w:t xml:space="preserve">The following table sets forth the effects of changing rates and volumes on our net interest income. The rate column shows the effects attributable to changes in rate. The volume column shows the effects attributable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43840"/>
                <wp:effectExtent l="0" t="0" r="0" b="0"/>
                <wp:wrapNone/>
                <wp:docPr id="54" name="Frame54"/>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54</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changes in volume. For purposes of this table, changes attributable to changes in both rate and volume that cannot be segregated have been allocated proportionally based on the changes due to rate and the changes due to volume.</w:t>
      </w:r>
    </w:p>
    <w:tbl>
      <w:tblPr>
        <w:tblW w:w="10205" w:type="dxa"/>
        <w:jc w:val="left"/>
        <w:tblInd w:w="0" w:type="dxa"/>
        <w:tblLayout w:type="fixed"/>
        <w:tblCellMar>
          <w:top w:w="28" w:type="dxa"/>
          <w:left w:w="28" w:type="dxa"/>
          <w:bottom w:w="28" w:type="dxa"/>
          <w:right w:w="28" w:type="dxa"/>
        </w:tblCellMar>
      </w:tblPr>
      <w:tblGrid>
        <w:gridCol w:w="1081"/>
        <w:gridCol w:w="950"/>
        <w:gridCol w:w="922"/>
        <w:gridCol w:w="211"/>
        <w:gridCol w:w="616"/>
        <w:gridCol w:w="109"/>
        <w:gridCol w:w="109"/>
        <w:gridCol w:w="109"/>
        <w:gridCol w:w="109"/>
        <w:gridCol w:w="214"/>
        <w:gridCol w:w="537"/>
        <w:gridCol w:w="109"/>
        <w:gridCol w:w="109"/>
        <w:gridCol w:w="109"/>
        <w:gridCol w:w="109"/>
        <w:gridCol w:w="211"/>
        <w:gridCol w:w="616"/>
        <w:gridCol w:w="109"/>
        <w:gridCol w:w="109"/>
        <w:gridCol w:w="109"/>
        <w:gridCol w:w="109"/>
        <w:gridCol w:w="211"/>
        <w:gridCol w:w="646"/>
        <w:gridCol w:w="109"/>
        <w:gridCol w:w="109"/>
        <w:gridCol w:w="109"/>
        <w:gridCol w:w="109"/>
        <w:gridCol w:w="211"/>
        <w:gridCol w:w="616"/>
        <w:gridCol w:w="109"/>
        <w:gridCol w:w="109"/>
        <w:gridCol w:w="109"/>
        <w:gridCol w:w="109"/>
        <w:gridCol w:w="211"/>
        <w:gridCol w:w="616"/>
        <w:gridCol w:w="156"/>
      </w:tblGrid>
      <w:tr>
        <w:trPr/>
        <w:tc>
          <w:tcPr>
            <w:tcW w:w="10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5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25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Years Ended December 31, </w:t>
            </w:r>
          </w:p>
        </w:tc>
      </w:tr>
      <w:tr>
        <w:trPr/>
        <w:tc>
          <w:tcPr>
            <w:tcW w:w="2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6"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Increase (Decrease) Due to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Increase (Decrease) Due to </w:t>
            </w:r>
          </w:p>
        </w:tc>
      </w:tr>
      <w:tr>
        <w:trPr/>
        <w:tc>
          <w:tcPr>
            <w:tcW w:w="29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Volume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9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deposits with the Federal Reserve, non-U.S. central banks and other banks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held-for-sale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accounts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borrowings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bearing liabilities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interest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Provision for Credit Losses</w:t>
      </w:r>
    </w:p>
    <w:p>
      <w:pPr>
        <w:pStyle w:val="TextBody"/>
        <w:bidi w:val="0"/>
        <w:spacing w:lineRule="auto" w:line="288" w:before="200" w:after="283"/>
        <w:jc w:val="both"/>
        <w:rPr/>
      </w:pPr>
      <w:r>
        <w:rPr>
          <w:rFonts w:ascii="Times New Roman;sans-serif" w:hAnsi="Times New Roman;sans-serif"/>
          <w:b w:val="false"/>
          <w:color w:val="000000"/>
          <w:sz w:val="20"/>
        </w:rPr>
        <w:t xml:space="preserve">On January 1, 2023, the Company adopted ASU 2016-13, </w:t>
      </w:r>
      <w:r>
        <w:rPr>
          <w:rFonts w:ascii="Times New Roman;sans-serif" w:hAnsi="Times New Roman;sans-serif"/>
          <w:b w:val="false"/>
          <w:i/>
          <w:color w:val="000000"/>
          <w:sz w:val="20"/>
        </w:rPr>
        <w:t xml:space="preserve">Topic 326 </w:t>
      </w:r>
      <w:r>
        <w:rPr>
          <w:rFonts w:ascii="Times New Roman;sans-serif" w:hAnsi="Times New Roman;sans-serif"/>
          <w:b w:val="false"/>
          <w:color w:val="000000"/>
          <w:sz w:val="20"/>
        </w:rPr>
        <w:t>which replaced the incurred loss methodology, allowance for loan losses ("ALL"), with CECL for financial instruments measured at amortized cost and other commitments to extend credit. The provision for credit losses is a charge to income to bring our allowance for credit losses ("ACL") to a level deemed appropriate by management and approved by our board of directors. We determine the provision for credit losses monthly in connection with our evaluation of the adequacy of our ACL. For a description of the factors we considered in determining the ACL see Recently adopted accounting pronouncements - Allowance for Credit Losses presented in Note 1 - "Summary of Significant Accounting Policies" in Part I, Item 1 of this Report.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provision for credit losses was $11.6 million and $13.5 million for the years ended December 31, 2023 and 2022, respectively. The decrease of $1.9 million for the year ended December 31, 2023 compared to the prior year was primarily due to an increase in the proportion of loan balances that are guaranteed by the SBA in our loans held for investment portfolio. Although the held for investment loan portfolio balances grew by $135.6 million, the majority of that growth was in loan balances that are guaranteed by the SBA. At December 31, 2023, the Company maintained $131.7 million in loan balances that are guaranteed by the SBA compared to $49.5 million in loan balances that are guaranteed by the SBA balances as of December 31, 2022. Also contributing to the decrease from the prior year was a reduction in strategic program loans held for investment to which higher risk is attributable. In addition, the provision for the prior year period was calculated under the incurred loss model rather than the current expected credit loss methodology as required under ASU 2016-13 and is not necessarily comparable to the provisions charged in 2023.</w:t>
      </w:r>
    </w:p>
    <w:p>
      <w:pPr>
        <w:pStyle w:val="TextBody"/>
        <w:bidi w:val="0"/>
        <w:spacing w:lineRule="auto" w:line="288"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Noninterest Income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largest portion of our noninterest income is associated with our Strategic Program fees. Other sources of noninterest income include gain on sale of loans, SBA loan servicing fees, change in fair value on investment in BFG and other miscellaneous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43840"/>
                <wp:effectExtent l="0" t="0" r="0" b="0"/>
                <wp:wrapNone/>
                <wp:docPr id="55" name="Frame55"/>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55</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for the periods indicated, the major categories of noninterest income:</w:t>
      </w:r>
    </w:p>
    <w:tbl>
      <w:tblPr>
        <w:tblW w:w="8710" w:type="dxa"/>
        <w:jc w:val="left"/>
        <w:tblInd w:w="0" w:type="dxa"/>
        <w:tblLayout w:type="fixed"/>
        <w:tblCellMar>
          <w:top w:w="28" w:type="dxa"/>
          <w:left w:w="28" w:type="dxa"/>
          <w:bottom w:w="28" w:type="dxa"/>
          <w:right w:w="28" w:type="dxa"/>
        </w:tblCellMar>
      </w:tblPr>
      <w:tblGrid>
        <w:gridCol w:w="1303"/>
        <w:gridCol w:w="1145"/>
        <w:gridCol w:w="1151"/>
        <w:gridCol w:w="211"/>
        <w:gridCol w:w="721"/>
        <w:gridCol w:w="109"/>
        <w:gridCol w:w="109"/>
        <w:gridCol w:w="109"/>
        <w:gridCol w:w="109"/>
        <w:gridCol w:w="211"/>
        <w:gridCol w:w="721"/>
        <w:gridCol w:w="109"/>
        <w:gridCol w:w="109"/>
        <w:gridCol w:w="109"/>
        <w:gridCol w:w="109"/>
        <w:gridCol w:w="211"/>
        <w:gridCol w:w="796"/>
        <w:gridCol w:w="109"/>
        <w:gridCol w:w="109"/>
        <w:gridCol w:w="109"/>
        <w:gridCol w:w="109"/>
        <w:gridCol w:w="308"/>
        <w:gridCol w:w="308"/>
        <w:gridCol w:w="316"/>
      </w:tblGrid>
      <w:tr>
        <w:trPr/>
        <w:tc>
          <w:tcPr>
            <w:tcW w:w="130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income:</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fees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loans,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loan servicing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on investment in BFG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miscellaneous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872.5 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2023, total noninterest income decreased $16.3 million, or 43.7%, to $21.1 million compared to the year ended December 31, 2022. This decrease was primarily due to an $11.9 million, or 87.6%, reduction in the gain on sale of loans primarily attributable to the Company's increased retention of the guaranteed portion of SBA loans the Company originates to increase the interest income the Company receives from such loans and lower strategic program fees of $6.6 million, or 29.2%, primarily resulting from a decline in loan origination volume. </w:t>
      </w:r>
    </w:p>
    <w:p>
      <w:pPr>
        <w:pStyle w:val="TextBody"/>
        <w:bidi w:val="0"/>
        <w:spacing w:lineRule="auto" w:line="288"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Noninterest Expense</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Noninterest expense has increased as we have grown and as we have expanded and modernized our operational infrastructure and continued to implement our plan to build an efficient, integrated fintech banking operation with significant capacity for growth.</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for the periods indicated, the major categories of noninterest expense:</w:t>
      </w:r>
    </w:p>
    <w:tbl>
      <w:tblPr>
        <w:tblW w:w="8079" w:type="dxa"/>
        <w:jc w:val="left"/>
        <w:tblInd w:w="0" w:type="dxa"/>
        <w:tblLayout w:type="fixed"/>
        <w:tblCellMar>
          <w:top w:w="28" w:type="dxa"/>
          <w:left w:w="28" w:type="dxa"/>
          <w:bottom w:w="28" w:type="dxa"/>
          <w:right w:w="28" w:type="dxa"/>
        </w:tblCellMar>
      </w:tblPr>
      <w:tblGrid>
        <w:gridCol w:w="1113"/>
        <w:gridCol w:w="978"/>
        <w:gridCol w:w="983"/>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342"/>
        <w:gridCol w:w="348"/>
        <w:gridCol w:w="316"/>
      </w:tblGrid>
      <w:tr>
        <w:trPr/>
        <w:tc>
          <w:tcPr>
            <w:tcW w:w="111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expense:</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employee benefits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 and equipment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SBA servicing asset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total noninterest expense increased $1.4 million, or 3.7%, to $40.2 million compared to the year ended December 31, 2022. This increase was primarily due to an increase in other operating expenses primarily related to data processing costs, an increase in salaries and employee benefits related to a higher number of employees, and increased occupancy and equipment expenses related to our increase in commercial operating lease activity, and was partially offset by a recovery on the SBA servicing asset during 2023 that did not occur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43840"/>
                <wp:effectExtent l="0" t="0" r="0" b="0"/>
                <wp:wrapNone/>
                <wp:docPr id="56" name="Frame56"/>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56</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Financial Condition</w:t>
      </w:r>
    </w:p>
    <w:p>
      <w:pPr>
        <w:pStyle w:val="TextBody"/>
        <w:bidi w:val="0"/>
        <w:spacing w:lineRule="auto" w:line="288" w:before="200" w:after="283"/>
        <w:jc w:val="left"/>
        <w:rPr/>
      </w:pPr>
      <w:r>
        <w:rPr>
          <w:rFonts w:ascii="Times New Roman;sans-serif" w:hAnsi="Times New Roman;sans-serif"/>
          <w:b w:val="false"/>
          <w:color w:val="000000"/>
          <w:sz w:val="20"/>
          <w:shd w:fill="FFFFFF" w:val="clear"/>
        </w:rPr>
        <w:t xml:space="preserve">The following table summarizes selected components of the Company’s consolidated balance sheets as of </w:t>
      </w:r>
      <w:r>
        <w:rPr>
          <w:rFonts w:ascii="Times New Roman;sans-serif" w:hAnsi="Times New Roman;sans-serif"/>
          <w:b w:val="false"/>
          <w:color w:val="000000"/>
          <w:sz w:val="20"/>
        </w:rPr>
        <w:t>December 31, 2023</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2022</w:t>
      </w:r>
      <w:r>
        <w:rPr>
          <w:rFonts w:ascii="Times New Roman;sans-serif" w:hAnsi="Times New Roman;sans-serif"/>
          <w:b w:val="false"/>
          <w:color w:val="000000"/>
          <w:sz w:val="20"/>
          <w:shd w:fill="FFFFFF" w:val="clear"/>
        </w:rPr>
        <w:t>.</w:t>
      </w:r>
    </w:p>
    <w:tbl>
      <w:tblPr>
        <w:tblW w:w="9634" w:type="dxa"/>
        <w:jc w:val="left"/>
        <w:tblInd w:w="0" w:type="dxa"/>
        <w:tblLayout w:type="fixed"/>
        <w:tblCellMar>
          <w:top w:w="28" w:type="dxa"/>
          <w:left w:w="28" w:type="dxa"/>
          <w:bottom w:w="28" w:type="dxa"/>
          <w:right w:w="28" w:type="dxa"/>
        </w:tblCellMar>
      </w:tblPr>
      <w:tblGrid>
        <w:gridCol w:w="1445"/>
        <w:gridCol w:w="1270"/>
        <w:gridCol w:w="1275"/>
        <w:gridCol w:w="211"/>
        <w:gridCol w:w="826"/>
        <w:gridCol w:w="271"/>
        <w:gridCol w:w="109"/>
        <w:gridCol w:w="109"/>
        <w:gridCol w:w="109"/>
        <w:gridCol w:w="211"/>
        <w:gridCol w:w="826"/>
        <w:gridCol w:w="271"/>
        <w:gridCol w:w="109"/>
        <w:gridCol w:w="109"/>
        <w:gridCol w:w="109"/>
        <w:gridCol w:w="211"/>
        <w:gridCol w:w="826"/>
        <w:gridCol w:w="109"/>
        <w:gridCol w:w="109"/>
        <w:gridCol w:w="109"/>
        <w:gridCol w:w="109"/>
        <w:gridCol w:w="291"/>
        <w:gridCol w:w="294"/>
        <w:gridCol w:w="316"/>
      </w:tblGrid>
      <w:tr>
        <w:trPr/>
        <w:tc>
          <w:tcPr>
            <w:tcW w:w="14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w:t>
              <w:br/>
              <w:t xml:space="preserve">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9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586,221 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held to maturity, at cost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to total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Weighted average shares outstanding, basic</w:t>
            </w:r>
            <w:r>
              <w:rPr>
                <w:rFonts w:ascii="Times New Roman;sans-serif" w:hAnsi="Times New Roman;sans-serif"/>
                <w:b w:val="false"/>
                <w:color w:val="000000"/>
                <w:sz w:val="13"/>
              </w:rPr>
              <w:t>(1)</w:t>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12,488,564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12,729,898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Weighted average shares outstanding, diluted</w:t>
            </w:r>
            <w:r>
              <w:rPr>
                <w:rFonts w:ascii="Times New Roman;sans-serif" w:hAnsi="Times New Roman;sans-serif"/>
                <w:b w:val="false"/>
                <w:color w:val="000000"/>
                <w:sz w:val="13"/>
              </w:rPr>
              <w:t>(1)</w:t>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12,909,648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13,357,022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(1)Average shares presented for December 31, 2023 and December 31, 2022 are for the respective years ended on those dates.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assets at December 31, 2023 were $586.2 million, an increase of $185.4 million from December 31, 2022. The increase in total assets was due primarily to increases in loans receivable, net, of $134.3 million, Strategic Program loans held-for-sale of $23.9 million, and cash and cash equivalents of $16.4 million. The decline in the total equity to total assets ratio was primarily due to the asset growth achieved during 2023. The reduction in weighted average basic and diluted shares outstanding was primarily the result of the Company's share repurchase program that was completed during the third quarter of 2023.</w:t>
      </w:r>
    </w:p>
    <w:p>
      <w:pPr>
        <w:pStyle w:val="TextBody"/>
        <w:bidi w:val="0"/>
        <w:spacing w:lineRule="auto" w:line="288"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Loan Portfolio</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manage our loan portfolio based on factors that include concentrations per loan program and aggregated portfolio, industry selection and geographies. We also monitor the impact of identified and estimated losses on capital as well as the pricing characteristics of each product. The following provides a general description and the risk characteristics relevant to each of the business lines. Each loan is assigned a risk grade during the origination and closing process by credit administration personnel based on criteria described later in this section. We analyze the resulting ratings, as well as other external statistics and factors such as delinquency, to track the migration performance of the portfolio balances. This ratings analysis is performed at least quarterly.</w:t>
      </w:r>
    </w:p>
    <w:p>
      <w:pPr>
        <w:pStyle w:val="TextBody"/>
        <w:bidi w:val="0"/>
        <w:spacing w:lineRule="auto" w:line="288" w:before="200" w:after="283"/>
        <w:jc w:val="left"/>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SBA 7(a) Loans</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We originate and service loans partially guaranteed by the SBA under its Section 7(a) loan program. SBA 7(a) loans are made to small businesses and professionals throughout the USA. </w:t>
      </w:r>
      <w:r>
        <w:rPr>
          <w:rFonts w:ascii="Times New Roman;sans-serif" w:hAnsi="Times New Roman;sans-serif"/>
          <w:b w:val="false"/>
          <w:color w:val="000000"/>
          <w:sz w:val="20"/>
        </w:rPr>
        <w:t xml:space="preserve">As of December 31, 2023 and December 31, 2022, we had total SBA 7(a) loans of $239.9 million and $145.2 million, respectively, representing 64.5% and 61.4% of our total loans held for investment, respectively. </w:t>
      </w:r>
      <w:r>
        <w:rPr>
          <w:rFonts w:ascii="Times New Roman;sans-serif" w:hAnsi="Times New Roman;sans-serif"/>
          <w:b w:val="false"/>
          <w:color w:val="000000"/>
          <w:sz w:val="20"/>
          <w:shd w:fill="FFFFFF" w:val="clear"/>
        </w:rPr>
        <w:t xml:space="preserve">Loans are sourced primarily through our referral relationship with BFG. Although BFG actively markets throughout the USA, because of its physical location in the New York area we have developed a lending presence in the New York and New Jersey geographies. The maximum SBA 7(a) loan amount is $5 million. Underwriting is generally based on commercial credit metrics where the primary repayment source is borrower cash flow, secondary is personal guarantor cash flow and tertiary is the sale of collateral pledged. These loans may be secured by commercial and residential mortgages as well as liens on business assets. In addition to typical underwriting metrics, we review the nature of the business, use of proceeds, length of time in business and management experience to help us target loans that we believe have lower credit risk. The SBA 7(a) program generally provides 50%, 75%, 85% and 90% guarantees for eligible SBA 7(a) loans. The guaranty is conditional and covers a portion of the risk of payment default by the borrower, but not the risk of improper underwriting, closing or servicing by the lender. As such, prudent underwriting, closing and servicing processes are essential to effective utilization of the SBA 7(a) program. Historically, we have generally sold the SBA-guaranteed portion (typically 75% of the principal balance) of a majority of the loans we originate at a premium in the secondary market while retaining all servicing rights and the unguaranteed portion. </w:t>
      </w:r>
      <w:r>
        <w:rPr>
          <w:rFonts w:ascii="Times New Roman;sans-serif" w:hAnsi="Times New Roman;sans-serif"/>
          <w:b w:val="false"/>
          <w:color w:val="000000"/>
          <w:sz w:val="20"/>
        </w:rPr>
        <w:t xml:space="preserve">In light of reduced gain-on-sale premiums and increasing variable loan rates during 2022 and 2023, we retained on our balance sheet a greater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43840"/>
                <wp:effectExtent l="0" t="0" r="0" b="0"/>
                <wp:wrapNone/>
                <wp:docPr id="57" name="Frame57"/>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57</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percentage of the guaranteed portion of certain SBA loans that we originated than we have historically, which we believe will benefit the Company through stronger government guaranteed held for investment loan growth and an increased recurring stream of interest income and partially offset the related decline in gain-on-sale revenue.</w:t>
      </w:r>
    </w:p>
    <w:p>
      <w:pPr>
        <w:pStyle w:val="TextBody"/>
        <w:bidi w:val="0"/>
        <w:spacing w:lineRule="auto" w:line="288" w:before="200" w:after="283"/>
        <w:jc w:val="left"/>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Commercial leases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December 31, 2022, we had total commercial leases of $38.1 million and $9.3 million, respectively, representing 10.2% and 3.9% of our total loans held for investment, respectively. Underwriting for smaller ticket credit requests is generally scorecard-based. Underwriting for larger ticket credit requests is generally based on commercial credit metrics where the primary repayment source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all considerations. These leases are generally secured by liens on business assets leased or purchased with Company funds. Historically, we have retained these leases on our balance sheet for investment; however, the Company may occasionally sell leases to certain purchasers.</w:t>
      </w:r>
    </w:p>
    <w:p>
      <w:pPr>
        <w:pStyle w:val="TextBody"/>
        <w:bidi w:val="0"/>
        <w:spacing w:lineRule="auto" w:line="288" w:before="200" w:after="283"/>
        <w:jc w:val="both"/>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Commercial, non-real estate</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Commercial non-real estate loans consist of loans made to commercial enterprises that are not secured by real estate. </w:t>
      </w:r>
      <w:r>
        <w:rPr>
          <w:rFonts w:ascii="Times New Roman;sans-serif" w:hAnsi="Times New Roman;sans-serif"/>
          <w:b w:val="false"/>
          <w:color w:val="000000"/>
          <w:sz w:val="20"/>
        </w:rPr>
        <w:t>As of December 31, 2023 and December 31, 2022, we had total commercial non-real estate loans of $2.5 million and $2.2 million, respectively, representing 0.7% and 0.9% of our total loans held for investment, respectively. Any loan, line of credit, or letter of credit (including any unfunded commitments) and any interest obtained in such loans made by another lender to individuals, sole proprietorships, partnerships, corporations, or other business enterprises for commercial, industrial, agricultural, or professional purposes, not secured by real estate, but not for personal expenditure purposes are included in this category. For example, commercial vehicle term loans and commercial working capital term loans. Underwriting is generally based on commercial credit metrics where the primary repayment source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all considerations. These loans are generally secured by liens on business assets. Historically, we have retained these loans on our balance sheet for investment.</w:t>
      </w:r>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Residential real estate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Residential real estate loans include construction, lot and land development loans that are for the purpose of acquisition and development of property to be improved through the construction of residential buildings, and loans secured by other residential real estate. As of December 31, 2023 and December 31, 2022, we had total residential real estate loans of $38.1 million and $37.8 million, respectively, representing 10.2% and 16.0% of our total loans held for investment, respectively. Construction loans are usually paid off through the conversion to permanent financing from third-party lending institutions. Lot loans may be paid off as the borrower converts to a construction loan. At the completion of the construction project, if the loan is converted to permanent financing by us or if scheduled loan amortization begins, it is then reclassified from construction to single-family dwelling. Underwriting of construction and development loans typically includes analysis of not only the borrower’s financial condition and ability to meet the required debt obligations, but also the general market conditions associated with the area and type of project being funded. These loans are generally secured by mortgages for residential property located primarily in the Salt Lake City, Utah MSA, and we obtain guarantees from responsible parties. Historically, we have retained these loans on our balance sheet for investment.</w:t>
      </w:r>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Strategic Program loans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through our Strategic Program service providers, issue, on a nationwide basis, unsecured consumer and secured or unsecured business loans to borrowers within certain approved credit profiles. Although we have generally sold most of these loans, we may determine to hold more of the funded loans and/or receivables based on a number of factors including the amount of our available capital and risk management considerations. As of December 31, 2023 and December 31, 2022, we had total Strategic Program loans held for investment of $19.4 million and $24.3 million, respectively, representing 5.2% and 10.2% of our total loans held for investment, respectively. Loans originated through these programs are limited to predetermined Bank underwriting criterion, which has been approved by our board of directors. The primary form of repayment on these loans is from personal or business cash flow. Business loans may be secured by liens on business assets, as applicable. We reserve the right to sell any portion of funded loans and/or receivables directly to the Strategic Program service providers or other investors. We generally retain the legal right to service all these loans, but contract with the Strategic Program service provider or another approved sub-servicer to service these loans on our behalf.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43840"/>
                <wp:effectExtent l="0" t="0" r="0" b="0"/>
                <wp:wrapNone/>
                <wp:docPr id="58" name="Frame58"/>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58</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Commercial real estate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Commercial real estate loans include loans to individuals, sole proprietors, partnerships, corporations, or other business enterprises for commercial, industrial, agricultural, or professional purposes, secured by real estate, but not for personal expenditure purposes. As of December 31, 2023 and December 31, 2022, we had total commercial real estate loans of $22.8 million and $12.1 million, respectively, representing 6.1% and 5.2% of our total loans held for investment, respectively. The commercial real estate loans that are owner occupied as of December 31, 2023 and December 31, 2022 represent 91.1% and 72.4% of the commercial real estate loans, respectively. Underwriting is generally based on commercial credit metrics where the primary repayment source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all considerations. In addition to real estate, these loans may also be secured by liens on business assets. Historically, we have retained these loans on our balance sheet for investment.</w:t>
      </w:r>
    </w:p>
    <w:p>
      <w:pPr>
        <w:pStyle w:val="TextBody"/>
        <w:bidi w:val="0"/>
        <w:spacing w:lineRule="auto" w:line="288" w:before="20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Consumer</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Consumer lending provides financing for personal, family, or household purposes on a nationwide basis. Most of these loans are originated through our POS platform and come from a variety of sources, including other approved merchant or dealer relationships and lending platforms. As of December 31, 2023 and December 31, 2022, we had total consumer loans of $11.4 million and $5.8 million, respectively, representing 3.1% and 2.5% of our total loans held for investment, respectively. We use a debt-to-income (“DTI”) ratio to determine whether an applicant will be able to service the debt. The DTI ratio compares the applicant’s anticipated monthly expenses and total monthly obligations to the applicant’s monthly gross income. Our policy is to limit the DTI ratio to 45% after calculating interest payments related to the new loan. Loan officers, at their discretion, may make exceptions to this ratio if the loan is within their authorized lending limit. DTI ratios of no more than 50% may be approved subject to an increase in interest rate. Strong offsetting factors such as higher discretionary income or large down payments are used to justify exceptions to these guidelines. All exceptions are documented and reported. While the loans are generally for the purchase of goods which may afford us a purchase money security interest, they are underwritten as if they were unsecured. On larger loans, we may file a Uniform Commercial Code financing form. Historically, we have retained these loans on our balance sheet for investment.</w:t>
      </w:r>
    </w:p>
    <w:p>
      <w:pPr>
        <w:pStyle w:val="TextBody"/>
        <w:bidi w:val="0"/>
        <w:spacing w:lineRule="auto" w:line="288" w:before="200" w:after="283"/>
        <w:jc w:val="left"/>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Loan Portfolio Program Summary</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Through our diversification efforts we have built a portfolio that we believe positions us to withstand economic shifts. For example, we focus on industries and loan types that have historically lower loss rates such as professional, scientific and technical services (including law firms), non-store retailers (e-commerce), and ambulatory healthcare services.</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our loan portfolio by loan program as of the dates indicated:</w:t>
      </w:r>
    </w:p>
    <w:tbl>
      <w:tblPr>
        <w:tblW w:w="7593" w:type="dxa"/>
        <w:jc w:val="left"/>
        <w:tblInd w:w="0" w:type="dxa"/>
        <w:tblLayout w:type="fixed"/>
        <w:tblCellMar>
          <w:top w:w="28" w:type="dxa"/>
          <w:left w:w="28" w:type="dxa"/>
          <w:bottom w:w="28" w:type="dxa"/>
          <w:right w:w="28" w:type="dxa"/>
        </w:tblCellMar>
      </w:tblPr>
      <w:tblGrid>
        <w:gridCol w:w="857"/>
        <w:gridCol w:w="753"/>
        <w:gridCol w:w="760"/>
        <w:gridCol w:w="211"/>
        <w:gridCol w:w="826"/>
        <w:gridCol w:w="109"/>
        <w:gridCol w:w="109"/>
        <w:gridCol w:w="109"/>
        <w:gridCol w:w="109"/>
        <w:gridCol w:w="307"/>
        <w:gridCol w:w="309"/>
        <w:gridCol w:w="335"/>
        <w:gridCol w:w="109"/>
        <w:gridCol w:w="109"/>
        <w:gridCol w:w="109"/>
        <w:gridCol w:w="211"/>
        <w:gridCol w:w="826"/>
        <w:gridCol w:w="109"/>
        <w:gridCol w:w="109"/>
        <w:gridCol w:w="109"/>
        <w:gridCol w:w="109"/>
        <w:gridCol w:w="307"/>
        <w:gridCol w:w="309"/>
        <w:gridCol w:w="383"/>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December 31, </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of</w:t>
              <w:br/>
              <w:t>total</w:t>
              <w:br/>
              <w:t xml:space="preserve">loans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of</w:t>
              <w:br/>
              <w:t>total</w:t>
              <w:br/>
              <w:t xml:space="preserve">loans </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SBA</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3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3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3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3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3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(1)SBA loans as of December 31, 2023 and December 31, 2022 include $131.7 million and $49.5 million, respectively, of SBA 7(a) loan balances that are guaranteed by the SBA.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43840"/>
                <wp:effectExtent l="0" t="0" r="0" b="0"/>
                <wp:wrapNone/>
                <wp:docPr id="59" name="Frame59"/>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59</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Loan Maturity and Sensitivity to Changes in Interest Rates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$196.0 million, or 52.7%, of the total held for investment loan balance matures in less than five years. Loans maturing in greater than five years totaled $176.2 million as of December 31, 2023. The variable rate portion of our total held for investment loan portfolio at December 31, 2023 was $281.7 million, or 75.7%. The variable rate portion of the total held for investment loans reflects our strategy of minimizing interest rate risk through the use of variable rate products.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detail maturities and sensitivity to interest rate changes for our loan portfolio at December 31, 2023:</w:t>
      </w:r>
    </w:p>
    <w:tbl>
      <w:tblPr>
        <w:tblW w:w="10205" w:type="dxa"/>
        <w:jc w:val="left"/>
        <w:tblInd w:w="0" w:type="dxa"/>
        <w:tblLayout w:type="fixed"/>
        <w:tblCellMar>
          <w:top w:w="28" w:type="dxa"/>
          <w:left w:w="28" w:type="dxa"/>
          <w:bottom w:w="28" w:type="dxa"/>
          <w:right w:w="28" w:type="dxa"/>
        </w:tblCellMar>
      </w:tblPr>
      <w:tblGrid>
        <w:gridCol w:w="675"/>
        <w:gridCol w:w="504"/>
        <w:gridCol w:w="506"/>
        <w:gridCol w:w="211"/>
        <w:gridCol w:w="721"/>
        <w:gridCol w:w="109"/>
        <w:gridCol w:w="109"/>
        <w:gridCol w:w="109"/>
        <w:gridCol w:w="109"/>
        <w:gridCol w:w="359"/>
        <w:gridCol w:w="362"/>
        <w:gridCol w:w="511"/>
        <w:gridCol w:w="109"/>
        <w:gridCol w:w="109"/>
        <w:gridCol w:w="109"/>
        <w:gridCol w:w="211"/>
        <w:gridCol w:w="826"/>
        <w:gridCol w:w="109"/>
        <w:gridCol w:w="109"/>
        <w:gridCol w:w="109"/>
        <w:gridCol w:w="109"/>
        <w:gridCol w:w="307"/>
        <w:gridCol w:w="309"/>
        <w:gridCol w:w="511"/>
        <w:gridCol w:w="109"/>
        <w:gridCol w:w="109"/>
        <w:gridCol w:w="109"/>
        <w:gridCol w:w="211"/>
        <w:gridCol w:w="826"/>
        <w:gridCol w:w="109"/>
        <w:gridCol w:w="109"/>
        <w:gridCol w:w="109"/>
        <w:gridCol w:w="109"/>
        <w:gridCol w:w="308"/>
        <w:gridCol w:w="308"/>
        <w:gridCol w:w="577"/>
      </w:tblGrid>
      <w:tr>
        <w:trPr/>
        <w:tc>
          <w:tcPr>
            <w:tcW w:w="67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1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2023</w:t>
            </w:r>
          </w:p>
        </w:tc>
        <w:tc>
          <w:tcPr>
            <w:tcW w:w="7000"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Remaining Contractual Maturity Held for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One Year</w:t>
              <w:br/>
              <w:t>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 xml:space="preserve">Yield/Rate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After</w:t>
              <w:br/>
              <w:t>One</w:t>
              <w:br/>
              <w:t>Year and</w:t>
              <w:br/>
              <w:t>Through</w:t>
              <w:br/>
              <w:t>Five</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 xml:space="preserve">Yield/Rate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After Five</w:t>
              <w:br/>
              <w:t>Years and</w:t>
              <w:br/>
              <w:t>Through</w:t>
              <w:br/>
              <w:t>Fifteen</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 xml:space="preserve">Yield/Rate </w:t>
            </w:r>
          </w:p>
        </w:tc>
      </w:tr>
      <w:tr>
        <w:trPr/>
        <w:tc>
          <w:tcPr>
            <w:tcW w:w="1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Fixed rate loans: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9.23 </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5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5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5.82 </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5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5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125.05 </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82.20 </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5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5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Variable rate loans: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5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5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29.82 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43840"/>
                <wp:effectExtent l="0" t="0" r="0" b="0"/>
                <wp:wrapNone/>
                <wp:docPr id="60" name="Frame60"/>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60</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tbl>
      <w:tblPr>
        <w:tblW w:w="8486" w:type="dxa"/>
        <w:jc w:val="left"/>
        <w:tblInd w:w="0" w:type="dxa"/>
        <w:tblLayout w:type="fixed"/>
        <w:tblCellMar>
          <w:top w:w="28" w:type="dxa"/>
          <w:left w:w="28" w:type="dxa"/>
          <w:bottom w:w="28" w:type="dxa"/>
          <w:right w:w="28" w:type="dxa"/>
        </w:tblCellMar>
      </w:tblPr>
      <w:tblGrid>
        <w:gridCol w:w="862"/>
        <w:gridCol w:w="759"/>
        <w:gridCol w:w="763"/>
        <w:gridCol w:w="237"/>
        <w:gridCol w:w="813"/>
        <w:gridCol w:w="122"/>
        <w:gridCol w:w="122"/>
        <w:gridCol w:w="122"/>
        <w:gridCol w:w="122"/>
        <w:gridCol w:w="308"/>
        <w:gridCol w:w="308"/>
        <w:gridCol w:w="582"/>
        <w:gridCol w:w="122"/>
        <w:gridCol w:w="122"/>
        <w:gridCol w:w="122"/>
        <w:gridCol w:w="237"/>
        <w:gridCol w:w="931"/>
        <w:gridCol w:w="122"/>
        <w:gridCol w:w="122"/>
        <w:gridCol w:w="122"/>
        <w:gridCol w:w="122"/>
        <w:gridCol w:w="359"/>
        <w:gridCol w:w="362"/>
        <w:gridCol w:w="623"/>
      </w:tblGrid>
      <w:tr>
        <w:trPr/>
        <w:tc>
          <w:tcPr>
            <w:tcW w:w="8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2023</w:t>
            </w:r>
          </w:p>
        </w:tc>
        <w:tc>
          <w:tcPr>
            <w:tcW w:w="610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Remaining Contractual Maturity Held for Investment </w:t>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After</w:t>
              <w:br/>
              <w:t>Fifteen</w:t>
              <w:br/>
              <w:t>Years</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 xml:space="preserve">Yield/Rate </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Yield/Rate</w:t>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Fixed rate loans:</w:t>
            </w:r>
          </w:p>
        </w:tc>
        <w:tc>
          <w:tcPr>
            <w:tcW w:w="11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10.41 </w:t>
            </w:r>
          </w:p>
        </w:tc>
        <w:tc>
          <w:tcPr>
            <w:tcW w:w="5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5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113.78 </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5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Variable rate loans:</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56,917 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10.45 </w:t>
            </w:r>
          </w:p>
        </w:tc>
        <w:tc>
          <w:tcPr>
            <w:tcW w:w="5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235,884 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6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63,105 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372,215 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15.16 </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Nonperforming Assets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Loans are considered past due if the required principal and interest payments have not been received as of the date such payments were contractually due. Loans are placed on nonaccrual status when, in management’s opinion, the borrower may be unable to meet payment obligations as they become due, as well as when required by regulatory provisions. Loans may be placed on nonaccrual status regardless of whether such loans are actually past due. In general, we place loans on nonaccrual status when they become 90 days past due. We also generally place loans on nonaccrual status if they are less than 90 days past due if the collection of principal or interest is in doubt. When interest accrual is discontinued, all unpaid accrued interest is reversed from income. Interest income is subsequently recognized only to the extent recoveries received (either from payments received from the customer, derived from the disposition of collateral or from legal action, such as judgment enforcement) exceed liquidation expenses incurred and outstanding principal.</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non-accrual asset may be restored to accrual status when (1) none of its principal and interest is due and unpaid, and we expect repayment of the remaining contractual principal and interest, or (2) when asset otherwise becomes well secured and is not in the process of collection.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loan which we deem to be uncollectible, in whole or in part, is charged off to the extent of the anticipated loss. In general, loans that are past due for 90 days or more are charged off unless the loan is both well secured and in the process of collection. We believe our disciplined lending approach and focused management of nonperforming assets has resulted in sound asset quality and timely resolution of problem assets. We have several procedures in place to assist us in maintaining the overall quality of our loan portfolio. We have established underwriting guidelines to be followed by our loan officers, and we also monitor our delinquency levels for any negative or adverse trends. There can be no assurance, however, that our loan portfolio will not become subject to increasing pressures from deteriorating borrower credit due to general economic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43840"/>
                <wp:effectExtent l="0" t="0" r="0" b="0"/>
                <wp:wrapNone/>
                <wp:docPr id="61" name="Frame61"/>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61</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pPr>
      <w:r>
        <w:rPr>
          <w:rFonts w:ascii="Times New Roman;sans-serif" w:hAnsi="Times New Roman;sans-serif"/>
          <w:b w:val="false"/>
          <w:color w:val="000000"/>
          <w:sz w:val="20"/>
        </w:rPr>
        <w:t xml:space="preserve">The Company had a total of $27.1 million in nonperforming assets and $0.5 million in material loan modifications at December 31, 2023. The amount of nonperforming assets and material loan modifications as of December 31, 2023 include $15.0 million and $0.3 million,respectively,of SBA 7(a) loan balances that are guaranteed by the SBA. The Company had no nonperforming assets and $0.4 million in troubled debt restructurings at December 31, 2022. The </w:t>
      </w:r>
      <w:r>
        <w:rPr>
          <w:rFonts w:ascii="Times New Roman;sans-serif" w:hAnsi="Times New Roman;sans-serif"/>
          <w:b w:val="false"/>
          <w:color w:val="000000"/>
          <w:sz w:val="20"/>
          <w:shd w:fill="FFFFFF" w:val="clear"/>
        </w:rPr>
        <w:t>amount</w:t>
      </w:r>
      <w:r>
        <w:rPr>
          <w:color w:val="000000"/>
        </w:rPr>
        <w:t xml:space="preserve"> </w:t>
      </w:r>
      <w:r>
        <w:rPr>
          <w:rFonts w:ascii="Times New Roman;sans-serif" w:hAnsi="Times New Roman;sans-serif"/>
          <w:b w:val="false"/>
          <w:color w:val="000000"/>
          <w:sz w:val="20"/>
        </w:rPr>
        <w:t>of troubled debt restructurings as of December 31, 2022 include $0.3 million of SBA 7(a) loan balances that are guaranteed by the SBA. The increase in nonperforming assets from the prior period was primarily attributable to several loans in the SBA 7(a) loan portfolio moving to nonperforming status due mainly to the negative impact of elevated interest rates on the Bank's small business borrowers.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with respect to our nonperforming assets at the dates indicated:</w:t>
      </w:r>
    </w:p>
    <w:tbl>
      <w:tblPr>
        <w:tblW w:w="10370" w:type="dxa"/>
        <w:jc w:val="left"/>
        <w:tblInd w:w="0" w:type="dxa"/>
        <w:tblLayout w:type="fixed"/>
        <w:tblCellMar>
          <w:top w:w="28" w:type="dxa"/>
          <w:left w:w="28" w:type="dxa"/>
          <w:bottom w:w="28" w:type="dxa"/>
          <w:right w:w="28" w:type="dxa"/>
        </w:tblCellMar>
      </w:tblPr>
      <w:tblGrid>
        <w:gridCol w:w="563"/>
        <w:gridCol w:w="311"/>
        <w:gridCol w:w="312"/>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11"/>
        <w:gridCol w:w="721"/>
        <w:gridCol w:w="109"/>
        <w:gridCol w:w="109"/>
        <w:gridCol w:w="109"/>
        <w:gridCol w:w="109"/>
        <w:gridCol w:w="318"/>
        <w:gridCol w:w="703"/>
        <w:gridCol w:w="165"/>
        <w:gridCol w:w="109"/>
        <w:gridCol w:w="109"/>
        <w:gridCol w:w="109"/>
        <w:gridCol w:w="211"/>
        <w:gridCol w:w="826"/>
        <w:gridCol w:w="109"/>
        <w:gridCol w:w="109"/>
        <w:gridCol w:w="109"/>
        <w:gridCol w:w="109"/>
        <w:gridCol w:w="211"/>
        <w:gridCol w:w="826"/>
        <w:gridCol w:w="154"/>
      </w:tblGrid>
      <w:tr>
        <w:trPr/>
        <w:tc>
          <w:tcPr>
            <w:tcW w:w="56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Loans Past Due and Still Accruing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30-89</w:t>
              <w:br/>
              <w:t>Days</w:t>
              <w:br/>
              <w:t>Past</w:t>
              <w:br/>
              <w:t>Due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90 Days</w:t>
              <w:br/>
              <w:t>and Greater</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Non-</w:t>
              <w:br/>
              <w:t>Accrual Loans with no ACL(1)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Non-Accrual Loans with ACL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Current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 Loans</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0" w:type="dxa"/>
            <w:gridSpan w:val="42"/>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Included in the nonaccrual loan balances are $15.0 million of SBA 7(a) loan balances guaranteed by the SBA.</w:t>
            </w:r>
          </w:p>
        </w:tc>
      </w:tr>
    </w:tbl>
    <w:p>
      <w:pPr>
        <w:pStyle w:val="TextBody"/>
        <w:bidi w:val="0"/>
        <w:spacing w:lineRule="auto" w:line="288"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Credit Risk Profile</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believe that we underwrite loans carefully and thoroughly, limiting our lending activities to those products and services where we have the resources and expertise to lend profitably without undue credit risk. We require all loans to conform to policy (or otherwise be identified as exceptions to policy and monitored and reported on, at minimum, quarterly) and be granted on a sound and collectable basis. Loans are made with a primary emphasis on loan profitability, credit risk and concentration exposures.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are proactive in our approach to identifying and resolving problem loans and are focused on working with the borrowers and guarantors of problem loans to provide loan modifications when warranted. When considering how to best diversify our loan portfolio, we consider several factors including our aggregate and product-line specific concentration risks, our business line expertise, and the ability of our infrastructure to appropriately support the product. While certain product lines generate higher net charge-offs, our exposure is carefully monitored and mitigated by our concentration policies and reserved for by the loan loss allowance we maintain. Specifically, retention of certain Strategic Program loans with higher default rates accounts for a disproportionate amount of our charge-offs. In addition to our oversight of the credit policies and processes associated with these programs, we limit within our concentration policies the aggregate exposure of these loans as a percentage of the total loan portfolio, carefully monitor certain vintage loss-indicative factors such as first payment default and marketing channels, and appropriately provision for these balances so that the cumulative charge-off rates remain consistent with management expectations. While the level of nonperforming assets fluctuates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43840"/>
                <wp:effectExtent l="0" t="0" r="0" b="0"/>
                <wp:wrapNone/>
                <wp:docPr id="62" name="Frame62"/>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62</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response to changing economic and market conditions, the relative size and composition of the loan portfolio, and our management’s degree of success in resolving problem assets, we believe our proactive stance to early identification and intervention is the key to successfully managing our loan portfolio.</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Accurate and timely loan risk grading is considered a critical component of an effective credit risk management system. Loan grades take into consideration the borrower’s financial condition, industry trends, and the economic environment. Loan risk grades are changed as necessary to reflect the risk inherent in the loan. Among other things, we use loan risk grading information for loan pricing, risk and collection management and determining monthly loan loss reserve adequacy. Further, on a quarterly basis, the Loan Committee holds a Loan Risk Grade meeting, wherein all loans in our portfolio are reviewed for accurate risk grading. Any changes are made after the Loan Risk Grade meeting to provide for accurate reporting. Reporting is achieved in Loan Committee minutes, which minutes are reviewed by the Board. We supplement credit department supervision of the loan underwriting, approval, closing, servicing and risk grading process with periodic loan reviews by risk department personnel specific to the testing of controls.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use a grading system to rank the quality of each loan. The grade is periodically evaluated and adjusted as performance dictates. Loan grades 1 through 4 are passing grades, grade 5 is special mention. Collectively, grades 6 (substandard), 7 (doubtful) and 8 (loss) represent classified loans within the portfolio. The following guidelines govern the assignment of these risk grades. We do not currently grade Strategic Program loans held for investment due to their small balances and homogenous nature. As credit quality for Strategic Program loans have been highly correlated with delinquency levels, the Strategic Program loans are evaluated collectively for impairment.</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Grade 1: Pass - Loans fully secured by deposit accounts. Loans where the borrower has strong sources of repayment, generally 5 years or more of consistent employment (or related field) and income history. Debt of the borrower is modest relative to the borrower’s financial strength and ability to pay with a DTI ratio of less than 25%. Cash flow is very strong as evidenced by significant discretionary income amounts. Borrower will consistently maintain 30% of the outstanding debts in deposit accounts with us, often with the right of offset, holds, etc. Loan to value ratios (LTV) will be 60% or less. Loans in this category require very minimal monitoring.</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Grade 2: Pass - The borrower has good sources of repayment, generally 3 years or more of consistent employment (or related field) and income history. The debt of the borrower is reasonable relative to the borrower’s financial strength with a DTI ratio of less than 35%. Cash flow is strong as evidenced by exceptional discretionary income amounts. Borrowers will consistently maintain 20% of the outstanding debts in deposit accounts with us. LTV ratios will be 70% or less. These loans require minimal monitoring.</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Grade 3: Pass - There is a comfortable primary source of repayment, generally 2 years or more of consistent employment (or related field) and income history. Borrowers may exhibit a mix of strengths and weaknesses. For example, they have either adequate cash flow with higher than desired leverage, or marginal cash flow with strong collateral and liquidity. Borrowers will have DTIs less than 45%. Borrowers will generally maintain deposit accounts with us, but the consistency and amount of the deposits are not as strong as Grades 1 and 2. LTV ratios will be within our guidelines. These loans will be monitored on a quarterly basis.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Grade 4: Pass Watch – There is adequate primary source of repayment, generally employment time or time in a related field is less than 2 years. Borrowers’ debt to income ratios may fall outside of our guidelines or there is minimal excess cash flow. There may be heavy reliance on collateral, or the loan is large, relative to the financial strength of the borrower. The loans may be maintenance intensive requiring closer monitoring.</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Grade 5: Special Mention – A loan in this category has a specific weakness or problem but does not currently present a significant risk of loss or default as to any material terms of the loan or financing agreement. A typical problem could include a documentation deficiency. If the deficiency is corrected the account will be re-graded.</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Grade 6: Classified Substandard – A substandard loan has a developing or current weakness or weaknesses that could result in loss or default if deficiencies are not corrected, or adverse conditions arise.</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Grade 7: Classified Doubtful – A doubtful loan has an existing weakness or weaknesses that make collection or liquidation in full, on the basis of currently existing facts and conditions, highly questionable and improbable.</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Grade 8: Classified Loss – A loss loan has an existing weakness or weaknesses that render the loan uncollectible and of such little value that continuing to carry as an asset on our book is not warranted. This classification does not mean that the loan has absolutely no recovery or salvage value, but rather it is not practical nor desirable to defer writing off this basically worthless asset, even though partial recovery may be affected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43840"/>
                <wp:effectExtent l="0" t="0" r="0" b="0"/>
                <wp:wrapNone/>
                <wp:docPr id="63" name="Frame63"/>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63</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as of the period presented, the loan balances by loan program as well as risk rating. No loans were classified as 'Loss' grade during the periods presented.</w:t>
      </w:r>
    </w:p>
    <w:tbl>
      <w:tblPr>
        <w:tblW w:w="10205" w:type="dxa"/>
        <w:jc w:val="left"/>
        <w:tblInd w:w="0" w:type="dxa"/>
        <w:tblLayout w:type="fixed"/>
        <w:tblCellMar>
          <w:top w:w="28" w:type="dxa"/>
          <w:left w:w="28" w:type="dxa"/>
          <w:bottom w:w="28" w:type="dxa"/>
          <w:right w:w="28" w:type="dxa"/>
        </w:tblCellMar>
      </w:tblPr>
      <w:tblGrid>
        <w:gridCol w:w="991"/>
        <w:gridCol w:w="708"/>
        <w:gridCol w:w="711"/>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65"/>
        <w:gridCol w:w="456"/>
        <w:gridCol w:w="109"/>
        <w:gridCol w:w="109"/>
        <w:gridCol w:w="109"/>
        <w:gridCol w:w="109"/>
        <w:gridCol w:w="354"/>
        <w:gridCol w:w="683"/>
        <w:gridCol w:w="185"/>
        <w:gridCol w:w="109"/>
        <w:gridCol w:w="109"/>
        <w:gridCol w:w="109"/>
        <w:gridCol w:w="211"/>
        <w:gridCol w:w="721"/>
        <w:gridCol w:w="158"/>
      </w:tblGrid>
      <w:tr>
        <w:trPr/>
        <w:tc>
          <w:tcPr>
            <w:tcW w:w="99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Revolving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4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Construction and land development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Total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Residential real estate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Watch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Mention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Substandard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51,428 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Residential real estate multifamily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Commercial real estate owner occupied </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135,717 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186,550 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Commercial real estate non-owner occupied</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Watch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Mention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Substandard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43840"/>
                <wp:effectExtent l="0" t="0" r="0" b="0"/>
                <wp:wrapNone/>
                <wp:docPr id="64" name="Frame64"/>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64</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tbl>
      <w:tblPr>
        <w:tblW w:w="10065" w:type="dxa"/>
        <w:jc w:val="left"/>
        <w:tblInd w:w="0" w:type="dxa"/>
        <w:tblLayout w:type="fixed"/>
        <w:tblCellMar>
          <w:top w:w="28" w:type="dxa"/>
          <w:left w:w="28" w:type="dxa"/>
          <w:bottom w:w="28" w:type="dxa"/>
          <w:right w:w="28" w:type="dxa"/>
        </w:tblCellMar>
      </w:tblPr>
      <w:tblGrid>
        <w:gridCol w:w="1158"/>
        <w:gridCol w:w="1015"/>
        <w:gridCol w:w="1022"/>
        <w:gridCol w:w="412"/>
        <w:gridCol w:w="414"/>
        <w:gridCol w:w="109"/>
        <w:gridCol w:w="109"/>
        <w:gridCol w:w="109"/>
        <w:gridCol w:w="109"/>
        <w:gridCol w:w="412"/>
        <w:gridCol w:w="414"/>
        <w:gridCol w:w="109"/>
        <w:gridCol w:w="109"/>
        <w:gridCol w:w="109"/>
        <w:gridCol w:w="109"/>
        <w:gridCol w:w="359"/>
        <w:gridCol w:w="362"/>
        <w:gridCol w:w="109"/>
        <w:gridCol w:w="109"/>
        <w:gridCol w:w="109"/>
        <w:gridCol w:w="109"/>
        <w:gridCol w:w="360"/>
        <w:gridCol w:w="361"/>
        <w:gridCol w:w="109"/>
        <w:gridCol w:w="109"/>
        <w:gridCol w:w="109"/>
        <w:gridCol w:w="109"/>
        <w:gridCol w:w="306"/>
        <w:gridCol w:w="310"/>
        <w:gridCol w:w="109"/>
        <w:gridCol w:w="109"/>
        <w:gridCol w:w="109"/>
        <w:gridCol w:w="109"/>
        <w:gridCol w:w="411"/>
        <w:gridCol w:w="415"/>
        <w:gridCol w:w="154"/>
      </w:tblGrid>
      <w:tr>
        <w:trPr/>
        <w:tc>
          <w:tcPr>
            <w:tcW w:w="1158"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Commercial and industrial</w:t>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Consumer </w:t>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Commercial leases</w:t>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Current-period gross writeoffs</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Retained Strategic Program loans</w:t>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Not Rated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Current-period gross writeoffs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portfolio loans receivable, gross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current-period gross writeoffs</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Allowance for Credit Losses</w:t>
      </w:r>
    </w:p>
    <w:p>
      <w:pPr>
        <w:pStyle w:val="TextBody"/>
        <w:bidi w:val="0"/>
        <w:spacing w:lineRule="auto" w:line="288" w:before="200" w:after="283"/>
        <w:jc w:val="both"/>
        <w:rPr/>
      </w:pPr>
      <w:r>
        <w:rPr>
          <w:rFonts w:ascii="Times New Roman;sans-serif" w:hAnsi="Times New Roman;sans-serif"/>
          <w:b w:val="false"/>
          <w:color w:val="000000"/>
          <w:sz w:val="20"/>
        </w:rPr>
        <w:t xml:space="preserve">We adopted Financial Accounting Standards Board Accounting Standards Update No. 2016–13, </w:t>
      </w:r>
      <w:r>
        <w:rPr>
          <w:rFonts w:ascii="Times New Roman;sans-serif" w:hAnsi="Times New Roman;sans-serif"/>
          <w:b w:val="false"/>
          <w:i/>
          <w:color w:val="000000"/>
          <w:sz w:val="20"/>
        </w:rPr>
        <w:t>Financial Instruments – Credit Losses (Topic 326)</w:t>
      </w:r>
      <w:r>
        <w:rPr>
          <w:rFonts w:ascii="Times New Roman;sans-serif" w:hAnsi="Times New Roman;sans-serif"/>
          <w:b w:val="false"/>
          <w:color w:val="000000"/>
          <w:sz w:val="20"/>
        </w:rPr>
        <w:t>, commonly referred to as the “CECL model,” on January 1, 2023.</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 of credit loss incorporates assumptions for both the likelihood and amount of funding over the estimated life of the commitments, including adjustments for current conditions and reasonable and supportable forecasts. Management periodically reviews and updates its assumptions for estimated funding rates. Our judgment in determining the adequacy of the ACL is inherently subjective as it requires estimates that are susceptible to significant revision as more information becomes available and as situations and information change. We evaluate the ACL on a monthly basis and take into consideration such factors as changes in the nature and volume of the loan portfolio, overall portfolio quality, review of specific problem loans and current economic conditions and trends that may affect the borrower’s ability to repay. The quality of the loan portfolio and the adequacy of the ACL is reviewed by regulatory examinations and the Company’s auditors.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43840"/>
                <wp:effectExtent l="0" t="0" r="0" b="0"/>
                <wp:wrapNone/>
                <wp:docPr id="65" name="Frame65"/>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65</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Credit losses are charged against the ACL when we believe that the collectability of the principal loan balance is unlikely. Subsequent recoveries, if any, are credited to the ACL when received. The amortized cost basis of loans does not include accrued interest receivable, which is included in "accrued interest receivable" on the Consolidated Balance Sheets. The "Provision for credit losses" on the Consolidated Statements of Income is a combination of the provision for credit losses and the provision for unfunded loan commitments.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a summary of changes in the ACL for the periods and dates indicated:</w:t>
      </w:r>
    </w:p>
    <w:tbl>
      <w:tblPr>
        <w:tblW w:w="4859" w:type="dxa"/>
        <w:jc w:val="left"/>
        <w:tblInd w:w="0" w:type="dxa"/>
        <w:tblLayout w:type="fixed"/>
        <w:tblCellMar>
          <w:top w:w="28" w:type="dxa"/>
          <w:left w:w="28" w:type="dxa"/>
          <w:bottom w:w="28" w:type="dxa"/>
          <w:right w:w="28" w:type="dxa"/>
        </w:tblCellMar>
      </w:tblPr>
      <w:tblGrid>
        <w:gridCol w:w="1119"/>
        <w:gridCol w:w="983"/>
        <w:gridCol w:w="987"/>
        <w:gridCol w:w="343"/>
        <w:gridCol w:w="1175"/>
        <w:gridCol w:w="252"/>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 Ended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ACL:</w:t>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3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Impact of ASU 2016-13 adoption</w:t>
            </w:r>
            <w:r>
              <w:rPr>
                <w:rFonts w:ascii="Times New Roman;sans-serif" w:hAnsi="Times New Roman;sans-serif"/>
                <w:b w:val="false"/>
                <w:color w:val="000000"/>
                <w:sz w:val="13"/>
              </w:rPr>
              <w:t>(1)</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beginning balance</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12,242 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loan losses</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11,525 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Charge offs</w:t>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and land development </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Residential real estate </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real estate </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(10,946)</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Recoveries</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Residential real estate </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real estate </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12,888 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ASU 2016-13 (CECL) was adopted January 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43840"/>
                <wp:effectExtent l="0" t="0" r="0" b="0"/>
                <wp:wrapNone/>
                <wp:docPr id="66" name="Frame66"/>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66</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tbl>
      <w:tblPr>
        <w:tblW w:w="4154" w:type="dxa"/>
        <w:jc w:val="left"/>
        <w:tblInd w:w="0" w:type="dxa"/>
        <w:tblLayout w:type="fixed"/>
        <w:tblCellMar>
          <w:top w:w="28" w:type="dxa"/>
          <w:left w:w="28" w:type="dxa"/>
          <w:bottom w:w="28" w:type="dxa"/>
          <w:right w:w="28" w:type="dxa"/>
        </w:tblCellMar>
      </w:tblPr>
      <w:tblGrid>
        <w:gridCol w:w="863"/>
        <w:gridCol w:w="759"/>
        <w:gridCol w:w="762"/>
        <w:gridCol w:w="343"/>
        <w:gridCol w:w="1175"/>
        <w:gridCol w:w="252"/>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 Ended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ACL</w:t>
            </w:r>
            <w:r>
              <w:rPr>
                <w:rFonts w:ascii="Times New Roman;sans-serif" w:hAnsi="Times New Roman;sans-serif"/>
                <w:b w:val="false"/>
                <w:color w:val="000000"/>
                <w:sz w:val="13"/>
              </w:rPr>
              <w:t>(2)</w:t>
            </w:r>
            <w:r>
              <w:rPr>
                <w:rFonts w:ascii="Times New Roman;sans-serif" w:hAnsi="Times New Roman;sans-serif"/>
                <w:b w:val="false"/>
                <w:color w:val="000000"/>
                <w:sz w:val="20"/>
              </w:rPr>
              <w:t>:</w:t>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3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9,855 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loan losses</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13,519 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Charge offs</w:t>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(11,948)</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Recoveries</w:t>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11,985 </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ASU 2016-13 (CECL) was adopted January 1, 2023. The 2022 amounts presented are calculated under the prior accounting standard.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show the allocation of the ACL as of December 31, 2023, and allowance for loan losses ("ALL") as of December 31, 2022, among loan categories. The ACL related to Strategic Programs constitutes 54.8% of the total ACL while comprising 5.2% of total loans held for investment as of December 31, 2023. The ALL related to Strategic Programs constitutes 55.9% of the total ALL while comprising 10.2% of total loans held for investment as of December 31,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43840"/>
                <wp:effectExtent l="0" t="0" r="0" b="0"/>
                <wp:wrapNone/>
                <wp:docPr id="67" name="Frame67"/>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67</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percentage of ACL related to Strategic Program loans retained reflects the increased credit risks associated with certain retained Strategic Program loans.</w:t>
      </w:r>
    </w:p>
    <w:tbl>
      <w:tblPr>
        <w:tblW w:w="5714" w:type="dxa"/>
        <w:jc w:val="left"/>
        <w:tblInd w:w="0" w:type="dxa"/>
        <w:tblLayout w:type="fixed"/>
        <w:tblCellMar>
          <w:top w:w="28" w:type="dxa"/>
          <w:left w:w="28" w:type="dxa"/>
          <w:bottom w:w="28" w:type="dxa"/>
          <w:right w:w="28" w:type="dxa"/>
        </w:tblCellMar>
      </w:tblPr>
      <w:tblGrid>
        <w:gridCol w:w="1119"/>
        <w:gridCol w:w="983"/>
        <w:gridCol w:w="988"/>
        <w:gridCol w:w="211"/>
        <w:gridCol w:w="721"/>
        <w:gridCol w:w="109"/>
        <w:gridCol w:w="109"/>
        <w:gridCol w:w="109"/>
        <w:gridCol w:w="109"/>
        <w:gridCol w:w="307"/>
        <w:gridCol w:w="309"/>
        <w:gridCol w:w="640"/>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of</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Total</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Allowance </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and land development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Residential real estate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real estate </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4994" w:type="dxa"/>
        <w:jc w:val="left"/>
        <w:tblInd w:w="0" w:type="dxa"/>
        <w:tblLayout w:type="fixed"/>
        <w:tblCellMar>
          <w:top w:w="28" w:type="dxa"/>
          <w:left w:w="28" w:type="dxa"/>
          <w:bottom w:w="28" w:type="dxa"/>
          <w:right w:w="28" w:type="dxa"/>
        </w:tblCellMar>
      </w:tblPr>
      <w:tblGrid>
        <w:gridCol w:w="859"/>
        <w:gridCol w:w="754"/>
        <w:gridCol w:w="757"/>
        <w:gridCol w:w="211"/>
        <w:gridCol w:w="721"/>
        <w:gridCol w:w="109"/>
        <w:gridCol w:w="109"/>
        <w:gridCol w:w="109"/>
        <w:gridCol w:w="109"/>
        <w:gridCol w:w="307"/>
        <w:gridCol w:w="309"/>
        <w:gridCol w:w="640"/>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of</w:t>
              <w:br/>
              <w:t>Total</w:t>
              <w:br/>
              <w:t xml:space="preserve">Allowance </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 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6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6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6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reflects the ratios of the ACL to total loans held for investment ("LHFI"), nonaccrual loans to total loans held for investment, and the ACL to nonaccrual loans by CECL loan category as of December 31, 2023. </w:t>
      </w:r>
    </w:p>
    <w:tbl>
      <w:tblPr>
        <w:tblW w:w="8197" w:type="dxa"/>
        <w:jc w:val="left"/>
        <w:tblInd w:w="0" w:type="dxa"/>
        <w:tblLayout w:type="fixed"/>
        <w:tblCellMar>
          <w:top w:w="28" w:type="dxa"/>
          <w:left w:w="28" w:type="dxa"/>
          <w:bottom w:w="28" w:type="dxa"/>
          <w:right w:w="28" w:type="dxa"/>
        </w:tblCellMar>
      </w:tblPr>
      <w:tblGrid>
        <w:gridCol w:w="1120"/>
        <w:gridCol w:w="982"/>
        <w:gridCol w:w="987"/>
        <w:gridCol w:w="273"/>
        <w:gridCol w:w="273"/>
        <w:gridCol w:w="684"/>
        <w:gridCol w:w="109"/>
        <w:gridCol w:w="109"/>
        <w:gridCol w:w="109"/>
        <w:gridCol w:w="354"/>
        <w:gridCol w:w="354"/>
        <w:gridCol w:w="882"/>
        <w:gridCol w:w="109"/>
        <w:gridCol w:w="109"/>
        <w:gridCol w:w="109"/>
        <w:gridCol w:w="332"/>
        <w:gridCol w:w="332"/>
        <w:gridCol w:w="970"/>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ACL to Total</w:t>
              <w:br/>
              <w:t>LHFI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Nonaccrual loans</w:t>
              <w:br/>
              <w:t>to Total LHFI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ACL to</w:t>
              <w:br/>
              <w:t>Nonaccrual loans</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and land development </w:t>
            </w:r>
          </w:p>
        </w:tc>
        <w:tc>
          <w:tcPr>
            <w:tcW w:w="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Residential real estate </w:t>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9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real estate </w:t>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8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9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9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8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128.2 </w:t>
            </w:r>
          </w:p>
        </w:tc>
        <w:tc>
          <w:tcPr>
            <w:tcW w:w="9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w:t>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43840"/>
                <wp:effectExtent l="0" t="0" r="0" b="0"/>
                <wp:wrapNone/>
                <wp:docPr id="68" name="Frame68"/>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68</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ratios of the ALL to total loans held for investment, nonaccrual loans to total loans held for investment, and the ALL to nonaccrual loans by loan category as of December 31, 2022.</w:t>
      </w:r>
    </w:p>
    <w:tbl>
      <w:tblPr>
        <w:tblW w:w="7179" w:type="dxa"/>
        <w:jc w:val="left"/>
        <w:tblInd w:w="0" w:type="dxa"/>
        <w:tblLayout w:type="fixed"/>
        <w:tblCellMar>
          <w:top w:w="28" w:type="dxa"/>
          <w:left w:w="28" w:type="dxa"/>
          <w:bottom w:w="28" w:type="dxa"/>
          <w:right w:w="28" w:type="dxa"/>
        </w:tblCellMar>
      </w:tblPr>
      <w:tblGrid>
        <w:gridCol w:w="864"/>
        <w:gridCol w:w="759"/>
        <w:gridCol w:w="762"/>
        <w:gridCol w:w="305"/>
        <w:gridCol w:w="243"/>
        <w:gridCol w:w="609"/>
        <w:gridCol w:w="109"/>
        <w:gridCol w:w="109"/>
        <w:gridCol w:w="109"/>
        <w:gridCol w:w="290"/>
        <w:gridCol w:w="290"/>
        <w:gridCol w:w="724"/>
        <w:gridCol w:w="109"/>
        <w:gridCol w:w="109"/>
        <w:gridCol w:w="109"/>
        <w:gridCol w:w="341"/>
        <w:gridCol w:w="341"/>
        <w:gridCol w:w="997"/>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ALL to</w:t>
              <w:br/>
              <w:t>Total LHFI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Nonaccrual</w:t>
              <w:br/>
              <w:t>to Total LHFI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ALL to</w:t>
              <w:br/>
              <w:t xml:space="preserve">Nonaccrual loans </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6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6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6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97"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6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9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ACL/ALL to total loans held for investment for the periods presented above was primarily due to growth in the SBA 7(a) loan balances with $131.7 million and $49.5 million of loan balances guaranteed by the SBA at December 31, 2023 and 2022, respectively. The increase in nonaccrual loans to loans held for investment and the increase in ACL to nonaccrual loans ratios from December 31, 2022 to December 31, 2023 was primarily related to a small number of large SBA loans that were moved to nonaccrual status during 2023.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ratio of net charge-offs to average loans outstanding by loan category, as of the dates indicated.</w:t>
      </w:r>
    </w:p>
    <w:tbl>
      <w:tblPr>
        <w:tblW w:w="10205" w:type="dxa"/>
        <w:jc w:val="left"/>
        <w:tblInd w:w="0" w:type="dxa"/>
        <w:tblLayout w:type="fixed"/>
        <w:tblCellMar>
          <w:top w:w="28" w:type="dxa"/>
          <w:left w:w="28" w:type="dxa"/>
          <w:bottom w:w="28" w:type="dxa"/>
          <w:right w:w="28" w:type="dxa"/>
        </w:tblCellMar>
      </w:tblPr>
      <w:tblGrid>
        <w:gridCol w:w="638"/>
        <w:gridCol w:w="440"/>
        <w:gridCol w:w="441"/>
        <w:gridCol w:w="248"/>
        <w:gridCol w:w="851"/>
        <w:gridCol w:w="128"/>
        <w:gridCol w:w="109"/>
        <w:gridCol w:w="109"/>
        <w:gridCol w:w="109"/>
        <w:gridCol w:w="211"/>
        <w:gridCol w:w="826"/>
        <w:gridCol w:w="109"/>
        <w:gridCol w:w="109"/>
        <w:gridCol w:w="109"/>
        <w:gridCol w:w="109"/>
        <w:gridCol w:w="255"/>
        <w:gridCol w:w="256"/>
        <w:gridCol w:w="458"/>
        <w:gridCol w:w="109"/>
        <w:gridCol w:w="109"/>
        <w:gridCol w:w="109"/>
        <w:gridCol w:w="248"/>
        <w:gridCol w:w="851"/>
        <w:gridCol w:w="128"/>
        <w:gridCol w:w="109"/>
        <w:gridCol w:w="109"/>
        <w:gridCol w:w="109"/>
        <w:gridCol w:w="211"/>
        <w:gridCol w:w="826"/>
        <w:gridCol w:w="109"/>
        <w:gridCol w:w="109"/>
        <w:gridCol w:w="109"/>
        <w:gridCol w:w="109"/>
        <w:gridCol w:w="310"/>
        <w:gridCol w:w="260"/>
        <w:gridCol w:w="766"/>
      </w:tblGrid>
      <w:tr>
        <w:trPr/>
        <w:tc>
          <w:tcPr>
            <w:tcW w:w="6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1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w:t>
            </w:r>
          </w:p>
        </w:tc>
      </w:tr>
      <w:tr>
        <w:trPr/>
        <w:tc>
          <w:tcPr>
            <w:tcW w:w="1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Net</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Charge-</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Offs (Recoveries)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NCO to</w:t>
              <w:br/>
              <w:t>Average</w:t>
              <w:b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w:t>
              <w:br/>
              <w:t>Charge-</w:t>
              <w:br/>
              <w:t>Offs (Recoveries)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NCO (Recovery) to</w:t>
              <w:br/>
              <w:t>Average</w:t>
              <w:br/>
              <w:t>Loans</w:t>
            </w:r>
          </w:p>
        </w:tc>
      </w:tr>
      <w:tr>
        <w:trPr/>
        <w:tc>
          <w:tcPr>
            <w:tcW w:w="1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4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4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10,879 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4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11,389 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Due primarily to the increase in our average loans held for investment balances, the ratio of net charge-offs to average loans outstanding by loan category was lower during the year ended December 31, 2023 as compared to the year ended December 31, 2022. The increase in the ratio for Strategic Programs loans was primarily due to a reduction in the average loan balances in the year ended December 31, 2023. </w:t>
      </w:r>
    </w:p>
    <w:p>
      <w:pPr>
        <w:pStyle w:val="TextBody"/>
        <w:bidi w:val="0"/>
        <w:spacing w:lineRule="auto" w:line="288"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Interest-Bearing Deposits in Other Banks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interest-bearing deposits in other banks increased to $116.6 million at December 31, 2023 from $100.2 million at December 31, 2022, an increase of $16.4 million, or 16.4%. This increase was primarily due to an increase in brokered time deposit balances. Interest-bearing deposits in other banks have generally been the primary repository of the liquidity we use to fund our operations. Aside from minimal balances held with our correspondent banks, the majority of our interest-bearing deposits in other banks was held directly with the Federal Reserve.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43840"/>
                <wp:effectExtent l="0" t="0" r="0" b="0"/>
                <wp:wrapNone/>
                <wp:docPr id="69" name="Frame69"/>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69</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Securities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use our securities portfolio to provide a source of liquidity, provide an appropriate return on funds invested, manage interest rate risk, meet collateral requirements and meet regulatory capital requirements.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classify investment securities as either held-to-maturity or available-for-sale based on our intentions and the Company’s ability to hold such securities until maturity. In determining such classifications, securities that we have the positive intent and the ability to hold until maturity are classified as held-to-maturity and carried at amortized cost. All other securities are designated as available-for-sale and carried at estimated fair value with unrealized gains and losses included in shareholders’ equity on an after-tax basis. For the year presented, all securities were classified as held-to-maturity.</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The following table summarizes the contractual maturities, amortized cost, and weighted average yields of investment securities at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w:t>
      </w:r>
    </w:p>
    <w:tbl>
      <w:tblPr>
        <w:tblW w:w="10148" w:type="dxa"/>
        <w:jc w:val="left"/>
        <w:tblInd w:w="0" w:type="dxa"/>
        <w:tblLayout w:type="fixed"/>
        <w:tblCellMar>
          <w:top w:w="28" w:type="dxa"/>
          <w:left w:w="28" w:type="dxa"/>
          <w:bottom w:w="28" w:type="dxa"/>
          <w:right w:w="28" w:type="dxa"/>
        </w:tblCellMar>
      </w:tblPr>
      <w:tblGrid>
        <w:gridCol w:w="1108"/>
        <w:gridCol w:w="974"/>
        <w:gridCol w:w="978"/>
        <w:gridCol w:w="359"/>
        <w:gridCol w:w="1049"/>
        <w:gridCol w:w="185"/>
        <w:gridCol w:w="185"/>
        <w:gridCol w:w="185"/>
        <w:gridCol w:w="185"/>
        <w:gridCol w:w="204"/>
        <w:gridCol w:w="204"/>
        <w:gridCol w:w="508"/>
        <w:gridCol w:w="109"/>
        <w:gridCol w:w="109"/>
        <w:gridCol w:w="109"/>
        <w:gridCol w:w="211"/>
        <w:gridCol w:w="721"/>
        <w:gridCol w:w="109"/>
        <w:gridCol w:w="109"/>
        <w:gridCol w:w="109"/>
        <w:gridCol w:w="109"/>
        <w:gridCol w:w="204"/>
        <w:gridCol w:w="204"/>
        <w:gridCol w:w="508"/>
        <w:gridCol w:w="109"/>
        <w:gridCol w:w="109"/>
        <w:gridCol w:w="109"/>
        <w:gridCol w:w="211"/>
        <w:gridCol w:w="721"/>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8"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After Five to Ten Years Weighted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After Ten Years</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Weighted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r>
      <w:tr>
        <w:trPr/>
        <w:tc>
          <w:tcPr>
            <w:tcW w:w="3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5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Amortized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Weighted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Average</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Yield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Amortized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Weighted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Average</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Yield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Total</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Amortized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Cost</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mortgage obligations</w:t>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 average yield of investment securities is the sum of all interest that the investments generate, divided by the sum of the book value.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calls, sales or maturities of securities during the years ended December 31, 2023 and December 31, 2022.</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there were 19 securities, consisting of nine collateralized mortgage obligations and 10 mortgage-backed securities, in an unrealized loss position as of December 31, 2023 and 17 securities, consisting of eight collateralized mortgage obligations and nine mortgage-backed securities, in an unrealized loss position as of December 31, 2022.</w:t>
      </w:r>
    </w:p>
    <w:p>
      <w:pPr>
        <w:pStyle w:val="TextBody"/>
        <w:bidi w:val="0"/>
        <w:spacing w:lineRule="auto" w:line="288"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Total Liabilities</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Total liabilities increased from </w:t>
      </w:r>
      <w:r>
        <w:rPr>
          <w:rFonts w:ascii="Times New Roman;sans-serif" w:hAnsi="Times New Roman;sans-serif"/>
          <w:b w:val="false"/>
          <w:color w:val="000000"/>
          <w:sz w:val="20"/>
        </w:rPr>
        <w:t>$260.3 million</w:t>
      </w:r>
      <w:r>
        <w:rPr>
          <w:color w:val="000000"/>
          <w:shd w:fill="FFFFFF" w:val="clear"/>
        </w:rPr>
        <w:t xml:space="preserve"> </w:t>
      </w:r>
      <w:r>
        <w:rPr>
          <w:rFonts w:ascii="Times New Roman;sans-serif" w:hAnsi="Times New Roman;sans-serif"/>
          <w:b w:val="false"/>
          <w:color w:val="000000"/>
          <w:sz w:val="20"/>
          <w:shd w:fill="FFFFFF" w:val="clear"/>
        </w:rPr>
        <w:t xml:space="preserve">at </w:t>
      </w:r>
      <w:r>
        <w:rPr>
          <w:rFonts w:ascii="Times New Roman;sans-serif" w:hAnsi="Times New Roman;sans-serif"/>
          <w:b w:val="false"/>
          <w:color w:val="000000"/>
          <w:sz w:val="20"/>
        </w:rPr>
        <w:t xml:space="preserve">December 31, 2022 to $431.2 million </w:t>
      </w:r>
      <w:r>
        <w:rPr>
          <w:rFonts w:ascii="Times New Roman;sans-serif" w:hAnsi="Times New Roman;sans-serif"/>
          <w:b w:val="false"/>
          <w:color w:val="000000"/>
          <w:sz w:val="20"/>
          <w:shd w:fill="FFFFFF" w:val="clear"/>
        </w:rPr>
        <w:t xml:space="preserve">at </w:t>
      </w:r>
      <w:r>
        <w:rPr>
          <w:rFonts w:ascii="Times New Roman;sans-serif" w:hAnsi="Times New Roman;sans-serif"/>
          <w:b w:val="false"/>
          <w:color w:val="000000"/>
          <w:sz w:val="20"/>
        </w:rPr>
        <w:t xml:space="preserve">December 31, 2023 </w:t>
      </w:r>
      <w:r>
        <w:rPr>
          <w:rFonts w:ascii="Times New Roman;sans-serif" w:hAnsi="Times New Roman;sans-serif"/>
          <w:b w:val="false"/>
          <w:color w:val="000000"/>
          <w:sz w:val="20"/>
          <w:shd w:fill="FFFFFF" w:val="clear"/>
        </w:rPr>
        <w:t>primarily due to an increase in total deposits.</w:t>
      </w:r>
    </w:p>
    <w:p>
      <w:pPr>
        <w:pStyle w:val="TextBody"/>
        <w:bidi w:val="0"/>
        <w:spacing w:lineRule="auto" w:line="288"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Deposits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Deposits are the major source of funding for the Company. We offer a variety of deposit products including interest and noninterest bearing demand accounts, HSA demand deposits sourced through Lively, Inc., money market and savings accounts and certificates of deposit, all of which we market at competitive pricing. We generate deposits from our customers on a relationship basis and through access to national institutional and brokered deposit sources. We also generate deposits in relation to our Strategic Programs in the form of reserve accounts as discussed above. These deposits add an element of flexibility in that they tend to increase or decrease in relation to the size of our Strategic Program loan portfolio. In addition to the reserve account, some Strategic Program loan originators maintain operating deposit accounts with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43840"/>
                <wp:effectExtent l="0" t="0" r="0" b="0"/>
                <wp:wrapNone/>
                <wp:docPr id="70" name="Frame70"/>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70</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end of period and average balances of our deposit portfolio for the periods indicated (average balances have been calculated using daily averages):</w:t>
      </w:r>
    </w:p>
    <w:tbl>
      <w:tblPr>
        <w:tblW w:w="8594" w:type="dxa"/>
        <w:jc w:val="left"/>
        <w:tblInd w:w="0" w:type="dxa"/>
        <w:tblLayout w:type="fixed"/>
        <w:tblCellMar>
          <w:top w:w="28" w:type="dxa"/>
          <w:left w:w="28" w:type="dxa"/>
          <w:bottom w:w="28" w:type="dxa"/>
          <w:right w:w="28" w:type="dxa"/>
        </w:tblCellMar>
      </w:tblPr>
      <w:tblGrid>
        <w:gridCol w:w="1140"/>
        <w:gridCol w:w="1002"/>
        <w:gridCol w:w="1008"/>
        <w:gridCol w:w="211"/>
        <w:gridCol w:w="826"/>
        <w:gridCol w:w="109"/>
        <w:gridCol w:w="109"/>
        <w:gridCol w:w="109"/>
        <w:gridCol w:w="109"/>
        <w:gridCol w:w="307"/>
        <w:gridCol w:w="309"/>
        <w:gridCol w:w="441"/>
        <w:gridCol w:w="109"/>
        <w:gridCol w:w="109"/>
        <w:gridCol w:w="109"/>
        <w:gridCol w:w="211"/>
        <w:gridCol w:w="826"/>
        <w:gridCol w:w="109"/>
        <w:gridCol w:w="109"/>
        <w:gridCol w:w="109"/>
        <w:gridCol w:w="109"/>
        <w:gridCol w:w="307"/>
        <w:gridCol w:w="309"/>
        <w:gridCol w:w="498"/>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25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Percent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Percent </w:t>
            </w:r>
          </w:p>
        </w:tc>
      </w:tr>
      <w:tr>
        <w:trPr/>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Period end:</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Noninterest-bearing demand 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4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deposits: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4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4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4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4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period end deposits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200" w:after="283"/>
        <w:jc w:val="left"/>
        <w:rPr/>
      </w:pPr>
      <w:r>
        <w:rPr/>
      </w:r>
    </w:p>
    <w:tbl>
      <w:tblPr>
        <w:tblW w:w="10205" w:type="dxa"/>
        <w:jc w:val="left"/>
        <w:tblInd w:w="0" w:type="dxa"/>
        <w:tblLayout w:type="fixed"/>
        <w:tblCellMar>
          <w:top w:w="28" w:type="dxa"/>
          <w:left w:w="28" w:type="dxa"/>
          <w:bottom w:w="28" w:type="dxa"/>
          <w:right w:w="28" w:type="dxa"/>
        </w:tblCellMar>
      </w:tblPr>
      <w:tblGrid>
        <w:gridCol w:w="766"/>
        <w:gridCol w:w="674"/>
        <w:gridCol w:w="677"/>
        <w:gridCol w:w="211"/>
        <w:gridCol w:w="826"/>
        <w:gridCol w:w="109"/>
        <w:gridCol w:w="109"/>
        <w:gridCol w:w="109"/>
        <w:gridCol w:w="109"/>
        <w:gridCol w:w="255"/>
        <w:gridCol w:w="256"/>
        <w:gridCol w:w="508"/>
        <w:gridCol w:w="109"/>
        <w:gridCol w:w="109"/>
        <w:gridCol w:w="109"/>
        <w:gridCol w:w="307"/>
        <w:gridCol w:w="309"/>
        <w:gridCol w:w="417"/>
        <w:gridCol w:w="109"/>
        <w:gridCol w:w="109"/>
        <w:gridCol w:w="109"/>
        <w:gridCol w:w="211"/>
        <w:gridCol w:w="826"/>
        <w:gridCol w:w="109"/>
        <w:gridCol w:w="109"/>
        <w:gridCol w:w="109"/>
        <w:gridCol w:w="109"/>
        <w:gridCol w:w="255"/>
        <w:gridCol w:w="256"/>
        <w:gridCol w:w="508"/>
        <w:gridCol w:w="109"/>
        <w:gridCol w:w="109"/>
        <w:gridCol w:w="109"/>
        <w:gridCol w:w="307"/>
        <w:gridCol w:w="309"/>
        <w:gridCol w:w="474"/>
      </w:tblGrid>
      <w:tr>
        <w:trPr/>
        <w:tc>
          <w:tcPr>
            <w:tcW w:w="76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08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w:t>
            </w:r>
          </w:p>
        </w:tc>
      </w:tr>
      <w:tr>
        <w:trPr/>
        <w:tc>
          <w:tcPr>
            <w:tcW w:w="2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1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 xml:space="preserve">rate paid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br/>
              <w:t xml:space="preserve">of 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 xml:space="preserve">rate paid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Percent</w:t>
              <w:br/>
              <w:t xml:space="preserve">of total </w:t>
            </w:r>
          </w:p>
        </w:tc>
      </w:tr>
      <w:tr>
        <w:trPr/>
        <w:tc>
          <w:tcPr>
            <w:tcW w:w="21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Average:</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Noninterest-bearing demand 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4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Interest-bearing deposits: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474"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474"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4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5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4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50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4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average deposits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deposits increased to $404.8 million as of December 31, 2023 from $243.0 million as of December 31, 2022, an increase of $161.8 million, or 66.6%. This increase was primarily due to an increase in brokered time deposits and noninterest-bearing demand deposits utilized in the funding of our lending programs.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an FDIC-insured institution, our deposits are insured up to applicable limits by the DIF of the FDIC. The Dodd-Frank Act raised the limit for federal deposit insurance to $250,000 for most deposit accounts and increased the cash limit of Securities Investor Protection Corporation protection from $100,000 to $250,000. Our total uninsured deposits were $136.9 million and $108.4 million as of December 31, 2023 and December 31, 2022, respectively. The maturity profile of our uninsured time deposits, those amounts that exceed the FDIC insurance limit, at December 31, 2023 is as follows:</w:t>
      </w:r>
    </w:p>
    <w:tbl>
      <w:tblPr>
        <w:tblW w:w="8218" w:type="dxa"/>
        <w:jc w:val="left"/>
        <w:tblInd w:w="0" w:type="dxa"/>
        <w:tblLayout w:type="fixed"/>
        <w:tblCellMar>
          <w:top w:w="28" w:type="dxa"/>
          <w:left w:w="28" w:type="dxa"/>
          <w:bottom w:w="28" w:type="dxa"/>
          <w:right w:w="28" w:type="dxa"/>
        </w:tblCellMar>
      </w:tblPr>
      <w:tblGrid>
        <w:gridCol w:w="782"/>
        <w:gridCol w:w="687"/>
        <w:gridCol w:w="690"/>
        <w:gridCol w:w="211"/>
        <w:gridCol w:w="466"/>
        <w:gridCol w:w="109"/>
        <w:gridCol w:w="109"/>
        <w:gridCol w:w="109"/>
        <w:gridCol w:w="109"/>
        <w:gridCol w:w="266"/>
        <w:gridCol w:w="587"/>
        <w:gridCol w:w="137"/>
        <w:gridCol w:w="109"/>
        <w:gridCol w:w="109"/>
        <w:gridCol w:w="109"/>
        <w:gridCol w:w="311"/>
        <w:gridCol w:w="532"/>
        <w:gridCol w:w="161"/>
        <w:gridCol w:w="109"/>
        <w:gridCol w:w="109"/>
        <w:gridCol w:w="109"/>
        <w:gridCol w:w="223"/>
        <w:gridCol w:w="652"/>
        <w:gridCol w:w="115"/>
        <w:gridCol w:w="109"/>
        <w:gridCol w:w="109"/>
        <w:gridCol w:w="109"/>
        <w:gridCol w:w="211"/>
        <w:gridCol w:w="61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059"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w:t>
              <w:br/>
              <w:t>months</w:t>
              <w:br/>
              <w:t>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More than</w:t>
              <w:br/>
              <w:t>three</w:t>
              <w:br/>
              <w:t>months</w:t>
              <w:br/>
              <w:t>to six</w:t>
              <w:br/>
              <w:t>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More than</w:t>
              <w:br/>
              <w:t>six months</w:t>
              <w:br/>
              <w:t>to twelve</w:t>
              <w:br/>
              <w:t>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More than</w:t>
              <w:br/>
              <w:t>twelve</w:t>
              <w:br/>
              <w:t>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 uninsured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43840"/>
                <wp:effectExtent l="0" t="0" r="0" b="0"/>
                <wp:wrapNone/>
                <wp:docPr id="71" name="Frame71"/>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71</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Liquidity and Capital Resources</w:t>
      </w:r>
    </w:p>
    <w:p>
      <w:pPr>
        <w:pStyle w:val="TextBody"/>
        <w:bidi w:val="0"/>
        <w:spacing w:lineRule="auto" w:line="288"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Liquidity Management</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Liquidity management is the ability to meet current and future financial obligations of a short-term nature. Our primary sources of funds consist of deposit inflows, the sale of loans, repayment of loans and net profits. While maturities and scheduled amortization of loans and securities are predictable sources of funds, deposit flows, loan prepayments, loan sales and security sales are greatly influenced by general interest rates, economic conditions, and competition.</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primary source of funds to originate new loans is derived from deposits. Deposits are comprised of core and noncore deposits. We use brokered deposits and a rate listing service to advertise rates to banks, credit unions, and other institutional entities. We designate deposits obtained from this source as Institutional Deposits. To attract deposits from local and nationwide consumer and commercial markets, we historically paid rates at the higher end of the market, which we have been able to pay due to our high margin and technology-oriented business model. We utilize rate listing services and website advertising to attract deposits from consumer and commercial sources.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regularly evaluate new, core deposit products. We intend to have various term offerings to match our funding needs. With no current plans to expand our brick-and-mortar branch network, online and mobile banking offers a means to meet customer needs and better efficiency through technology compared to traditional branch networks. We believe that the rise of mobile, online banking, and integrated fintech banking solutions provides us the opportunity to further leverage the technological competency we have demonstrated in recent years.</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We regularly adjust our investment in liquid assets based upon our assessment of (1) expected loan demand, (2) expected deposit flows, (3) yields available on interest-earning deposits and securities and (4) the objectives of our asset/liability management, funds management and liquidity policies. The objective of the liquidity policy is to reduce the risk to our earnings and capital arising from the inability to meet obligations in a timely manner. This entails ensuring sufficient funds are available at a reasonable cost to meet potential demands from both fund providers and borrowers. Liquid assets, defined as cash and due from banks and interest bearing deposits, were </w:t>
      </w:r>
      <w:r>
        <w:rPr>
          <w:rFonts w:ascii="Times New Roman;sans-serif" w:hAnsi="Times New Roman;sans-serif"/>
          <w:b w:val="false"/>
          <w:color w:val="000000"/>
          <w:sz w:val="20"/>
        </w:rPr>
        <w:t>20.0%</w:t>
      </w:r>
      <w:r>
        <w:rPr>
          <w:color w:val="000000"/>
          <w:shd w:fill="FFFFFF" w:val="clear"/>
        </w:rPr>
        <w:t xml:space="preserve"> </w:t>
      </w:r>
      <w:r>
        <w:rPr>
          <w:rFonts w:ascii="Times New Roman;sans-serif" w:hAnsi="Times New Roman;sans-serif"/>
          <w:b w:val="false"/>
          <w:color w:val="000000"/>
          <w:sz w:val="20"/>
          <w:shd w:fill="FFFFFF" w:val="clear"/>
        </w:rPr>
        <w:t>of total assets at December 31, 2023.</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We primarily utilize short-term and long-term borrowings to supplement deposits to fund our lending and investment activities, each of which is discussed below. At December 31, 2023, we had the ability to access $11.4 million from the Federal Reserve Bank’s Discount Window and $0.8 million from the Federal Reserve Bank's Bank Term Funding Program on a collateralized basis. </w:t>
      </w:r>
      <w:r>
        <w:rPr>
          <w:rFonts w:ascii="Times New Roman;sans-serif" w:hAnsi="Times New Roman;sans-serif"/>
          <w:b w:val="false"/>
          <w:color w:val="000000"/>
          <w:sz w:val="20"/>
        </w:rPr>
        <w:t xml:space="preserve">Through Zions Bank, the Bank had an unsecured line available of $5.0 million at December 31, 2023. </w:t>
      </w:r>
      <w:r>
        <w:rPr>
          <w:rFonts w:ascii="Times New Roman;sans-serif" w:hAnsi="Times New Roman;sans-serif"/>
          <w:b w:val="false"/>
          <w:color w:val="000000"/>
          <w:sz w:val="20"/>
          <w:shd w:fill="FFFFFF" w:val="clear"/>
        </w:rPr>
        <w:t>The Bank had an available unsecured line of credit with Bankers’ Bank of the West to borrow up to $1.1 million in overnight funds. We also maintain a $30.5 million line of credit with Federal Home Loan Bank, secured by specific pledged loans. We had no outstanding balances on such unsecured or secured lines of credit as of December 31, 2023. In long term borrowings, we had $0.2 million outstanding at December 31, 2023 related to the PPPLF. The PPPLF is secured by pledged PPP loans.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most liquid assets are cash and cash equivalents. The levels of these assets depend on our operating, financing, lending and investing activities during any given period. At December 31, 2023, liquid assets (defined as cash and due from banks and interest bearing deposits), consisting of cash and due from banks, totaled $117.0 million. We believe that our liquid assets combined with the available lines of credit provide adequate liquidity to meet our current financial obligations for at least the next 12 months.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and related notes, which have been prepared in accordance with GAAP, require the measurement of financial position and operating results in terms of historical dollars, without considering the changes in the relative purchasing power of money over time due to inflation. The impact of inflation is primarily reflected in the increased cost of operations. Unlike most industrial companies, nearly all of our assets and liabilities are monetary in nature. As a result, interest rates have a greater impact on our performance than do the effects of general levels of inflation. Interest rates do not necessarily move in the same direction or to the same extent as the price of goods or services.</w:t>
      </w:r>
    </w:p>
    <w:p>
      <w:pPr>
        <w:pStyle w:val="TextBody"/>
        <w:bidi w:val="0"/>
        <w:spacing w:lineRule="auto" w:line="288"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Capital Resources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Shareholders’ equity increased $14.6 million to $155.1 million at December 31, 2023 compared to $140.5 million at December 31, 2022. The increase in shareholders’ equity was primarily attributable to net income of $17.5 million recognized for the year ended December 31, 2023. Exercised stock options and stock-based compensation increased additional paid-in capital in the aggregate by approximately $2.1 million while the repurchase of common stock and the adoption of ASC 2016-13 (CECL) reduced additional paid-in capital by approximately $4.7 million and $0.2 million, respectively, for the year ended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43840"/>
                <wp:effectExtent l="0" t="0" r="0" b="0"/>
                <wp:wrapNone/>
                <wp:docPr id="72" name="Frame72"/>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72</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We use several indicators of capital strength. The most commonly used measure is total equity to total assets, which was </w:t>
      </w:r>
      <w:r>
        <w:rPr>
          <w:rFonts w:ascii="Times New Roman;sans-serif" w:hAnsi="Times New Roman;sans-serif"/>
          <w:b w:val="false"/>
          <w:color w:val="000000"/>
          <w:sz w:val="20"/>
        </w:rPr>
        <w:t>26.5%</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35.0%</w:t>
      </w:r>
      <w:r>
        <w:rPr>
          <w:color w:val="000000"/>
          <w:shd w:fill="FFFFFF" w:val="clear"/>
        </w:rPr>
        <w:t xml:space="preserve"> </w:t>
      </w:r>
      <w:r>
        <w:rPr>
          <w:rFonts w:ascii="Times New Roman;sans-serif" w:hAnsi="Times New Roman;sans-serif"/>
          <w:b w:val="false"/>
          <w:color w:val="000000"/>
          <w:sz w:val="20"/>
          <w:shd w:fill="FFFFFF" w:val="clear"/>
        </w:rPr>
        <w:t xml:space="preserve">as of December 31, 2023 and December 31, 2022, respectively. </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Our return on average equity was </w:t>
      </w:r>
      <w:r>
        <w:rPr>
          <w:rFonts w:ascii="Times New Roman;sans-serif" w:hAnsi="Times New Roman;sans-serif"/>
          <w:b w:val="false"/>
          <w:color w:val="000000"/>
          <w:sz w:val="20"/>
        </w:rPr>
        <w:t>11.9%</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19.6%</w:t>
      </w:r>
      <w:r>
        <w:rPr>
          <w:color w:val="000000"/>
          <w:shd w:fill="FFFFFF" w:val="clear"/>
        </w:rPr>
        <w:t xml:space="preserve"> </w:t>
      </w:r>
      <w:r>
        <w:rPr>
          <w:rFonts w:ascii="Times New Roman;sans-serif" w:hAnsi="Times New Roman;sans-serif"/>
          <w:b w:val="false"/>
          <w:color w:val="000000"/>
          <w:sz w:val="20"/>
          <w:shd w:fill="FFFFFF" w:val="clear"/>
        </w:rPr>
        <w:t xml:space="preserve">for the years ended December 31, 2023 and 2022, respectively. Our return on average assets was </w:t>
      </w:r>
      <w:r>
        <w:rPr>
          <w:rFonts w:ascii="Times New Roman;sans-serif" w:hAnsi="Times New Roman;sans-serif"/>
          <w:b w:val="false"/>
          <w:color w:val="000000"/>
          <w:sz w:val="20"/>
        </w:rPr>
        <w:t>3.5%</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6.4%</w:t>
      </w:r>
      <w:r>
        <w:rPr>
          <w:color w:val="000000"/>
          <w:shd w:fill="FFFFFF" w:val="clear"/>
        </w:rPr>
        <w:t xml:space="preserve"> </w:t>
      </w:r>
      <w:r>
        <w:rPr>
          <w:rFonts w:ascii="Times New Roman;sans-serif" w:hAnsi="Times New Roman;sans-serif"/>
          <w:b w:val="false"/>
          <w:color w:val="000000"/>
          <w:sz w:val="20"/>
          <w:shd w:fill="FFFFFF" w:val="clear"/>
        </w:rPr>
        <w:t>for the years ended December 31, 2023 and 2022, respectively.</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seek to maintain adequate capital to support anticipated asset growth, operating needs and unexpected risks, and to ensure that we are in compliance with all current and anticipated regulatory capital guidelines. Our primary sources of new capital include retained earnings and proceeds from the sale and issuance of capital stock or other securities. Expected future use or activities for which capital may be set aside include balance sheet growth and associated relative increases in market or credit exposure, investment activity, potential product and business expansions, acquisitions and strategic or infrastructure investments.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Bank is subject to various regulatory capital requirements administered by the federal banking agencies. Failure to meet minimum capital requirements can initiate certain mandatory and possibly additional discretionary actions by regulators that, if undertaken, could have a material effect on the Company’s financial statements.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The capital amounts and classifications are also subject to qualitative judgments by the regulators about components, risk weightings, and other factors.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Under the prompt corrective action rules, an institution is deemed “well capitalized” if its Tier 1 leverage ratio, Common Equity Tier 1 ratio, Tier 1 Capital ratio, and Total Capital ratio meet or exceed 5%, 6.5%, 8%, and 10%, respectively. On September 17, 2019, the federal banking agencies jointly finalized a rule intending to simplify the regulatory capital requirements described above for qualifying community banking organizations that opt into the Community Bank Leverage Ratio framework, as required by Section 201 of the Regulatory Relief Act. The Bank has elected to opt into the Community Bank Leverage Ratio framework starting in 2020. Under these new capital requirements the Bank must maintain a leverage ratio greater than 9.0% for each year beginning in 2022.</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2023 and December 31, 2022, the most recent notification from the FDIC categorized the Bank as well-capitalized under the regulatory framework for prompt corrective action (there are no conditions or events since that notification we believe have changed the Bank’s category). The following table sets forth the actual capital amounts and ratios for the Bank and the amount of capital required to be categorized as well-capitalized as of the dates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43840"/>
                <wp:effectExtent l="0" t="0" r="0" b="0"/>
                <wp:wrapNone/>
                <wp:docPr id="73" name="Frame73"/>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73</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the regulatory capital ratios for the Bank as of the dates indicated:</w:t>
      </w:r>
    </w:p>
    <w:tbl>
      <w:tblPr>
        <w:tblW w:w="7915" w:type="dxa"/>
        <w:jc w:val="left"/>
        <w:tblInd w:w="0" w:type="dxa"/>
        <w:tblLayout w:type="fixed"/>
        <w:tblCellMar>
          <w:top w:w="28" w:type="dxa"/>
          <w:left w:w="28" w:type="dxa"/>
          <w:bottom w:w="28" w:type="dxa"/>
          <w:right w:w="28" w:type="dxa"/>
        </w:tblCellMar>
      </w:tblPr>
      <w:tblGrid>
        <w:gridCol w:w="929"/>
        <w:gridCol w:w="816"/>
        <w:gridCol w:w="820"/>
        <w:gridCol w:w="384"/>
        <w:gridCol w:w="384"/>
        <w:gridCol w:w="957"/>
        <w:gridCol w:w="109"/>
        <w:gridCol w:w="109"/>
        <w:gridCol w:w="109"/>
        <w:gridCol w:w="384"/>
        <w:gridCol w:w="384"/>
        <w:gridCol w:w="957"/>
        <w:gridCol w:w="109"/>
        <w:gridCol w:w="109"/>
        <w:gridCol w:w="109"/>
        <w:gridCol w:w="254"/>
        <w:gridCol w:w="254"/>
        <w:gridCol w:w="738"/>
      </w:tblGrid>
      <w:tr>
        <w:trPr/>
        <w:tc>
          <w:tcPr>
            <w:tcW w:w="92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Capital Ratios</w:t>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Well-</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Capitalized</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Requirement</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Leverage Ratio (under CBLR)</w:t>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200" w:after="283"/>
        <w:jc w:val="left"/>
        <w:rPr/>
      </w:pPr>
      <w:r>
        <w:rPr/>
      </w:r>
    </w:p>
    <w:p>
      <w:pPr>
        <w:pStyle w:val="TextBody"/>
        <w:bidi w:val="0"/>
        <w:spacing w:lineRule="auto" w:line="288"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Contractual Obligations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contractual obligations to make future payments on debt and lease agreements. While our liquidity monitoring and management consider both present and future demands for and sources of liquidity, the following table of contractual commitments focuses only on future obligations and summarizes our contractual obligations as of December 31, 2023.</w:t>
      </w:r>
    </w:p>
    <w:tbl>
      <w:tblPr>
        <w:tblW w:w="9461" w:type="dxa"/>
        <w:jc w:val="left"/>
        <w:tblInd w:w="0" w:type="dxa"/>
        <w:tblLayout w:type="fixed"/>
        <w:tblCellMar>
          <w:top w:w="28" w:type="dxa"/>
          <w:left w:w="28" w:type="dxa"/>
          <w:bottom w:w="28" w:type="dxa"/>
          <w:right w:w="28" w:type="dxa"/>
        </w:tblCellMar>
      </w:tblPr>
      <w:tblGrid>
        <w:gridCol w:w="999"/>
        <w:gridCol w:w="878"/>
        <w:gridCol w:w="882"/>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9"/>
        <w:gridCol w:w="641"/>
        <w:gridCol w:w="160"/>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Less than</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One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One to</w:t>
              <w:br/>
              <w:t>Three</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to</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More</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Than Five</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Years</w:t>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Deposits without stated maturity</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deposits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Long term borrowings</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(1)Balances in this category pertain to the PPPLF and are fully-collateralized with PPP loans</w:t>
      </w:r>
    </w:p>
    <w:p>
      <w:pPr>
        <w:pStyle w:val="TextBody"/>
        <w:bidi w:val="0"/>
        <w:spacing w:lineRule="auto" w:line="288"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Off-Balance Sheet Items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the normal course of business, we enter into various transactions, which, in accordance with GAAP, are not included in our consolidated statements of financial condition. We enter into these transactions to meet the financing needs of our customers. These transactions include commitments to extend credit, which involves, to varying degrees, elements of credit risk and interest rate risk exceeding the amounts recognized in our consolidated statements of financial condition. Our exposure to credit loss is represented by the contractual amounts of these commitments. The same credit policies and procedures are used in making these commitments as for on-balance sheet instruments. We are not aware of any accounting loss to be incurred by funding these commitments; if required, we would maintain an allowance for off-balance sheet credit risk which would be recorded in other liabilities on the consolidated balance sheets.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commitments to extend credit as of the dates indicated are summarized below. Since commitments associated with commitments to extend credit may expire unused, the amounts shown do not necessarily reflect the actual future cash funding requirements.</w:t>
      </w:r>
    </w:p>
    <w:tbl>
      <w:tblPr>
        <w:tblW w:w="5454" w:type="dxa"/>
        <w:jc w:val="left"/>
        <w:tblInd w:w="0" w:type="dxa"/>
        <w:tblLayout w:type="fixed"/>
        <w:tblCellMar>
          <w:top w:w="28" w:type="dxa"/>
          <w:left w:w="28" w:type="dxa"/>
          <w:bottom w:w="28" w:type="dxa"/>
          <w:right w:w="28" w:type="dxa"/>
        </w:tblCellMar>
      </w:tblPr>
      <w:tblGrid>
        <w:gridCol w:w="1086"/>
        <w:gridCol w:w="955"/>
        <w:gridCol w:w="959"/>
        <w:gridCol w:w="211"/>
        <w:gridCol w:w="721"/>
        <w:gridCol w:w="109"/>
        <w:gridCol w:w="109"/>
        <w:gridCol w:w="109"/>
        <w:gridCol w:w="109"/>
        <w:gridCol w:w="211"/>
        <w:gridCol w:w="721"/>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w:t>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open-end lines of credit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unused commitments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commitments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GAAP Reconciliation and Management Explanation of Non-GAAP Financial Measures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One of the financial measures included in this Report is not a measure of financial performance recognized by GAAP. This non-GAAP financial measure is “tangible book value per share.” Our management uses this non-GAAP financial measure in its analysis of our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43840"/>
                <wp:effectExtent l="0" t="0" r="0" b="0"/>
                <wp:wrapNone/>
                <wp:docPr id="74" name="Frame74"/>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74</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ind w:left="0" w:right="0" w:hanging="360"/>
        <w:jc w:val="both"/>
        <w:rPr/>
      </w:pPr>
      <w:r>
        <w:rPr>
          <w:color w:val="000000"/>
        </w:rPr>
        <w:t>•</w:t>
      </w:r>
      <w:r>
        <w:rPr>
          <w:color w:val="000000"/>
          <w:shd w:fill="FFFFFF" w:val="clear"/>
        </w:rPr>
        <w:t>“</w:t>
      </w:r>
      <w:r>
        <w:rPr>
          <w:rFonts w:ascii="Times New Roman;sans-serif" w:hAnsi="Times New Roman;sans-serif"/>
          <w:b w:val="false"/>
          <w:color w:val="000000"/>
          <w:sz w:val="20"/>
          <w:shd w:fill="FFFFFF" w:val="clear"/>
        </w:rPr>
        <w:t>Tangible book value per share” is defined as book value per share less goodwill and other intangible assets, divided by the outstanding number of common shares at the end of each period. The most directly comparable GAAP financial measure is book value per share. We had no goodwill or other intangible assets as of any of the dates indicated. We have not considered loan servicing rights or loan trailing fee asset as intangible assets for purposes of this calculation. As a result, tangible book value per share is the same as book value per share as of each of the dates indicated.</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believe this non-GAAP financial measure provides useful information to management and investors that is supplementary to our financial condition, results of operations and cash flows computed in accordance with GAAP; however, we acknowledge that our non-GAAP financial measure has a number of limitations. As such, you should not view this measure as a substitute for results determined in accordance with GAAP, and such measure is not necessarily comparable to non-GAAP financial measures that other companies use.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Recently Issued Accounting Pronouncements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our consolidated financial statements included elsewhere in this Report for a full description of recent accounting pronouncements, including the respective expected dates of adoption and anticipated effects on our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Under the filer category of “smaller reporting company,” as defined in Rule 12b-2 of the Exchange Act, the Company is not required to provide information requested by Part II, Item 7A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43840"/>
                <wp:effectExtent l="0" t="0" r="0" b="0"/>
                <wp:wrapNone/>
                <wp:docPr id="75" name="Frame75"/>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75</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INDEX TO CONSOLIDATED FINANCIAL STATEMENTS</w:t>
      </w:r>
    </w:p>
    <w:tbl>
      <w:tblPr>
        <w:tblW w:w="6855" w:type="dxa"/>
        <w:jc w:val="left"/>
        <w:tblInd w:w="0" w:type="dxa"/>
        <w:tblLayout w:type="fixed"/>
        <w:tblCellMar>
          <w:top w:w="28" w:type="dxa"/>
          <w:left w:w="28" w:type="dxa"/>
          <w:bottom w:w="28" w:type="dxa"/>
          <w:right w:w="28" w:type="dxa"/>
        </w:tblCellMar>
      </w:tblPr>
      <w:tblGrid>
        <w:gridCol w:w="2275"/>
        <w:gridCol w:w="1999"/>
        <w:gridCol w:w="2010"/>
        <w:gridCol w:w="167"/>
        <w:gridCol w:w="167"/>
        <w:gridCol w:w="237"/>
      </w:tblGrid>
      <w:tr>
        <w:trPr/>
        <w:tc>
          <w:tcPr>
            <w:tcW w:w="2275"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73">
              <w:r>
                <w:rPr>
                  <w:rStyle w:val="InternetLink"/>
                  <w:rFonts w:ascii="Times New Roman;sans-serif" w:hAnsi="Times New Roman;sans-serif"/>
                  <w:b w:val="false"/>
                  <w:color w:val="0000FF"/>
                  <w:sz w:val="20"/>
                  <w:u w:val="single"/>
                </w:rPr>
                <w:t>Report of Independent Registered Public Accounting Firm</w:t>
              </w:r>
            </w:hyperlink>
            <w:r>
              <w:rPr>
                <w:color w:val="000000"/>
              </w:rPr>
              <w:t xml:space="preserve"> </w:t>
            </w:r>
            <w:r>
              <w:rPr>
                <w:rFonts w:ascii="Times New Roman;sans-serif" w:hAnsi="Times New Roman;sans-serif"/>
                <w:b w:val="false"/>
                <w:color w:val="000000"/>
                <w:sz w:val="20"/>
              </w:rPr>
              <w:t>(PCAOB ID 173)</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a473d16a0b248378eb2de2b08890873_73">
              <w:r>
                <w:rPr>
                  <w:rStyle w:val="InternetLink"/>
                  <w:rFonts w:ascii="Times New Roman;sans-serif" w:hAnsi="Times New Roman;sans-serif"/>
                  <w:b w:val="false"/>
                  <w:strike w:val="false"/>
                  <w:dstrike w:val="false"/>
                  <w:color w:val="000000"/>
                  <w:sz w:val="20"/>
                  <w:u w:val="none"/>
                  <w:effect w:val="none"/>
                </w:rPr>
                <w:t>77</w:t>
              </w:r>
            </w:hyperlink>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76">
              <w:r>
                <w:rPr>
                  <w:rStyle w:val="InternetLink"/>
                  <w:rFonts w:ascii="Times New Roman;sans-serif" w:hAnsi="Times New Roman;sans-serif"/>
                  <w:b w:val="false"/>
                  <w:color w:val="0000FF"/>
                  <w:sz w:val="20"/>
                  <w:u w:val="single"/>
                </w:rPr>
                <w:t>Consolidated Balance Sheet</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a473d16a0b248378eb2de2b08890873_76">
              <w:r>
                <w:rPr>
                  <w:rStyle w:val="InternetLink"/>
                  <w:rFonts w:ascii="Times New Roman;sans-serif" w:hAnsi="Times New Roman;sans-serif"/>
                  <w:b w:val="false"/>
                  <w:strike w:val="false"/>
                  <w:dstrike w:val="false"/>
                  <w:color w:val="000000"/>
                  <w:sz w:val="20"/>
                  <w:u w:val="none"/>
                  <w:effect w:val="none"/>
                </w:rPr>
                <w:t>78</w:t>
              </w:r>
            </w:hyperlink>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79">
              <w:r>
                <w:rPr>
                  <w:rStyle w:val="InternetLink"/>
                  <w:rFonts w:ascii="Times New Roman;sans-serif" w:hAnsi="Times New Roman;sans-serif"/>
                  <w:b w:val="false"/>
                  <w:color w:val="0000FF"/>
                  <w:sz w:val="20"/>
                  <w:u w:val="single"/>
                </w:rPr>
                <w:t>Consolidated Statements of Income</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a473d16a0b248378eb2de2b08890873_79">
              <w:r>
                <w:rPr>
                  <w:rStyle w:val="InternetLink"/>
                  <w:rFonts w:ascii="Times New Roman;sans-serif" w:hAnsi="Times New Roman;sans-serif"/>
                  <w:b w:val="false"/>
                  <w:strike w:val="false"/>
                  <w:dstrike w:val="false"/>
                  <w:color w:val="000000"/>
                  <w:sz w:val="20"/>
                  <w:u w:val="none"/>
                  <w:effect w:val="none"/>
                </w:rPr>
                <w:t>79</w:t>
              </w:r>
            </w:hyperlink>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82">
              <w:r>
                <w:rPr>
                  <w:rStyle w:val="InternetLink"/>
                  <w:rFonts w:ascii="Times New Roman;sans-serif" w:hAnsi="Times New Roman;sans-serif"/>
                  <w:b w:val="false"/>
                  <w:color w:val="0000FF"/>
                  <w:sz w:val="20"/>
                  <w:u w:val="single"/>
                </w:rPr>
                <w:t>Consolidated Statements of Changes in Shareholders’ Equity</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a473d16a0b248378eb2de2b08890873_82">
              <w:r>
                <w:rPr>
                  <w:rStyle w:val="InternetLink"/>
                  <w:rFonts w:ascii="Times New Roman;sans-serif" w:hAnsi="Times New Roman;sans-serif"/>
                  <w:b w:val="false"/>
                  <w:strike w:val="false"/>
                  <w:dstrike w:val="false"/>
                  <w:color w:val="000000"/>
                  <w:sz w:val="20"/>
                  <w:u w:val="none"/>
                  <w:effect w:val="none"/>
                </w:rPr>
                <w:t>80</w:t>
              </w:r>
            </w:hyperlink>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85">
              <w:r>
                <w:rPr>
                  <w:rStyle w:val="InternetLink"/>
                  <w:rFonts w:ascii="Times New Roman;sans-serif" w:hAnsi="Times New Roman;sans-serif"/>
                  <w:b w:val="false"/>
                  <w:color w:val="0000FF"/>
                  <w:sz w:val="20"/>
                  <w:u w:val="single"/>
                </w:rPr>
                <w:t>Consolidated Statements of Cash Flows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a473d16a0b248378eb2de2b08890873_85">
              <w:r>
                <w:rPr>
                  <w:rStyle w:val="InternetLink"/>
                  <w:rFonts w:ascii="Times New Roman;sans-serif" w:hAnsi="Times New Roman;sans-serif"/>
                  <w:b w:val="false"/>
                  <w:strike w:val="false"/>
                  <w:dstrike w:val="false"/>
                  <w:color w:val="000000"/>
                  <w:sz w:val="20"/>
                  <w:u w:val="none"/>
                  <w:effect w:val="none"/>
                </w:rPr>
                <w:t>81</w:t>
              </w:r>
            </w:hyperlink>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88">
              <w:r>
                <w:rPr>
                  <w:rStyle w:val="InternetLink"/>
                  <w:rFonts w:ascii="Times New Roman;sans-serif" w:hAnsi="Times New Roman;sans-serif"/>
                  <w:b w:val="false"/>
                  <w:color w:val="0000FF"/>
                  <w:sz w:val="20"/>
                  <w:u w:val="single"/>
                </w:rPr>
                <w:t>Notes to Consolidated Financial Statements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a473d16a0b248378eb2de2b08890873_88">
              <w:r>
                <w:rPr>
                  <w:rStyle w:val="InternetLink"/>
                  <w:rFonts w:ascii="Times New Roman;sans-serif" w:hAnsi="Times New Roman;sans-serif"/>
                  <w:b w:val="false"/>
                  <w:strike w:val="false"/>
                  <w:dstrike w:val="false"/>
                  <w:color w:val="000000"/>
                  <w:sz w:val="20"/>
                  <w:u w:val="none"/>
                  <w:effect w:val="none"/>
                </w:rPr>
                <w:t>82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43840"/>
                <wp:effectExtent l="0" t="0" r="0" b="0"/>
                <wp:wrapNone/>
                <wp:docPr id="76" name="Frame76"/>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76</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REPORT OF INDEPENDENT REGISTERED PUBLIC ACCOUNTING FIRM</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the Shareholders and the Board of Directors of</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FinWise Bancorp and Subsidiaries</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Opinion on the Consolidated Financial Statements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audited the accompanying consolidated balance sheets of FinWise Bancorp and Subsidiaries (the “Company”), as of December 31, 2023 and 2022, the related consolidated statements of income, changes in shareholder’s equity, and cash flows for the years then ended, and the related notes (collectively referred to as the “consolidated financial statements”). In our opinion, the consolidated financial statements present fairly, in all material respects, the consolidated financial position of the Company as of December 31, 2023 and 2022, and the consolidated results of its operations and its cash flows for the years then ended, in conformity with accounting principles generally accepted in the United States of America.</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Change in Accounting Principle</w:t>
      </w:r>
    </w:p>
    <w:p>
      <w:pPr>
        <w:pStyle w:val="TextBody"/>
        <w:bidi w:val="0"/>
        <w:spacing w:lineRule="auto" w:line="288" w:before="200" w:after="283"/>
        <w:jc w:val="both"/>
        <w:rPr/>
      </w:pPr>
      <w:r>
        <w:rPr>
          <w:rFonts w:ascii="Times New Roman;sans-serif" w:hAnsi="Times New Roman;sans-serif"/>
          <w:b w:val="false"/>
          <w:color w:val="000000"/>
          <w:sz w:val="20"/>
        </w:rPr>
        <w:t xml:space="preserve">As discussed in Notes 1 and 3 to the consolidated financial statements, the Company has changed its method of accounting for credit losses due to the adoption of Accounting Standards Update No. 2016-13, </w:t>
      </w:r>
      <w:r>
        <w:rPr>
          <w:rFonts w:ascii="Times New Roman;sans-serif" w:hAnsi="Times New Roman;sans-serif"/>
          <w:b w:val="false"/>
          <w:i/>
          <w:color w:val="000000"/>
          <w:sz w:val="20"/>
        </w:rPr>
        <w:t>Financial Instruments - Credit Losses</w:t>
      </w:r>
      <w:r>
        <w:rPr>
          <w:rFonts w:ascii="Times New Roman;sans-serif" w:hAnsi="Times New Roman;sans-serif"/>
          <w:b w:val="false"/>
          <w:color w:val="000000"/>
          <w:sz w:val="20"/>
        </w:rPr>
        <w:t>.</w:t>
      </w:r>
    </w:p>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Basis for Opinion</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Our audits included performing procedures to assess the risks of material misstatement of the consolidated</w:t>
      </w:r>
      <w:r>
        <w:rPr>
          <w:color w:val="000000"/>
          <w:shd w:fill="FFFFFF" w:val="clear"/>
        </w:rPr>
        <w:t xml:space="preserve"> </w:t>
      </w:r>
      <w:r>
        <w:rPr>
          <w:rFonts w:ascii="Times New Roman;sans-serif" w:hAnsi="Times New Roman;sans-serif"/>
          <w:b w:val="false"/>
          <w:color w:val="000000"/>
          <w:sz w:val="20"/>
          <w:shd w:fill="FFFFFF" w:val="clear"/>
        </w:rPr>
        <w:t>financial statements, whether due to error or fraud, and performing procedures to respond to those risks. Such procedures included examining, on a test basis, evidence regarding the amounts and disclosures in the consolidated</w:t>
      </w:r>
      <w:r>
        <w:rPr>
          <w:color w:val="000000"/>
          <w:shd w:fill="FFFFFF" w:val="clear"/>
        </w:rPr>
        <w:t xml:space="preserve"> </w:t>
      </w:r>
      <w:r>
        <w:rPr>
          <w:rFonts w:ascii="Times New Roman;sans-serif" w:hAnsi="Times New Roman;sans-serif"/>
          <w:b w:val="false"/>
          <w:color w:val="000000"/>
          <w:sz w:val="20"/>
          <w:shd w:fill="FFFFFF" w:val="clear"/>
        </w:rPr>
        <w:t>financial statements. Our audits also included evaluating the accounting principles used and significant estimates made by management, as well as evaluating the overall presentation of the consolidated financial statements. We believe that our audits provide</w:t>
      </w:r>
      <w:r>
        <w:rPr>
          <w:color w:val="000000"/>
          <w:shd w:fill="FFFFFF" w:val="clear"/>
        </w:rPr>
        <w:t xml:space="preserve"> </w:t>
      </w:r>
      <w:r>
        <w:rPr>
          <w:rFonts w:ascii="Times New Roman;sans-serif" w:hAnsi="Times New Roman;sans-serif"/>
          <w:b w:val="false"/>
          <w:color w:val="000000"/>
          <w:sz w:val="20"/>
          <w:shd w:fill="FFFFFF" w:val="clear"/>
        </w:rPr>
        <w:t>a reasonable basis for our opinion.</w:t>
      </w:r>
    </w:p>
    <w:p>
      <w:pPr>
        <w:pStyle w:val="TextBody"/>
        <w:bidi w:val="0"/>
        <w:spacing w:before="200" w:after="283"/>
        <w:jc w:val="both"/>
        <w:rPr/>
      </w:pPr>
      <w:r>
        <w:rPr/>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 Moss Adams LLP</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Spokane, Washington</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March 25, 2024</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served as the Company’s auditor since 2018.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43840"/>
                <wp:effectExtent l="0" t="0" r="0" b="0"/>
                <wp:wrapNone/>
                <wp:docPr id="77" name="Frame77"/>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77</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FinWise Bancorp</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Balance Sheets</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 thousands, except share and par value amounts)</w:t>
      </w:r>
    </w:p>
    <w:tbl>
      <w:tblPr>
        <w:tblW w:w="10205" w:type="dxa"/>
        <w:jc w:val="left"/>
        <w:tblInd w:w="0" w:type="dxa"/>
        <w:tblLayout w:type="fixed"/>
        <w:tblCellMar>
          <w:top w:w="28" w:type="dxa"/>
          <w:left w:w="28" w:type="dxa"/>
          <w:bottom w:w="28" w:type="dxa"/>
          <w:right w:w="28" w:type="dxa"/>
        </w:tblCellMar>
      </w:tblPr>
      <w:tblGrid>
        <w:gridCol w:w="2992"/>
        <w:gridCol w:w="2350"/>
        <w:gridCol w:w="2377"/>
        <w:gridCol w:w="196"/>
        <w:gridCol w:w="751"/>
        <w:gridCol w:w="109"/>
        <w:gridCol w:w="109"/>
        <w:gridCol w:w="109"/>
        <w:gridCol w:w="109"/>
        <w:gridCol w:w="196"/>
        <w:gridCol w:w="751"/>
        <w:gridCol w:w="156"/>
      </w:tblGrid>
      <w:tr>
        <w:trPr/>
        <w:tc>
          <w:tcPr>
            <w:tcW w:w="2992"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7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due from banks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Interest-bearing deposits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100,181 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and cash equivalents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100,567 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Investment securities held-to-maturity,net of allowance for credit losses of none, (fair value of $13.8 million and $12.7 million, respectively)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Federal Home Loan Bank (FHLB) stock, at cost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Strategic Program loans held-for-sale, at lower of cost or fair value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Loans receivable, net of allowance for credit losses of $12.9 million and $12.0 million, respectively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224,217 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Premises and equipment,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 receivable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taxes,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 Business Administration servicing asset,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Business Funding Group (BFG), at fair value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(“ROU”)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receivable,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586,221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400,780</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SHAREHOLDERS’ EQUITY</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Liabilities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Deposits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Noninterest-bearing</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78,817 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Interest-bearing</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164,181 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deposits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404,833 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242,998 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 payable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payable,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taxes,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Paycheck Protection Program Liquidity Facility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431,165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260,321</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Commitments and contingencies (Note 8)</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Shareholders’ equity</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$0.001 par value, 4,000,000 authorized; no shares issued and outstanding as of December 31, 2023 and December 31, 2022</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$0.001 par value, 40,000,000 shares authorized; 12,493,565 and 12,831,345 shares issued and outstanding as of December 31, 2023 and December 31, 2022, respectively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paid-in-capital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85,832 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shareholders’ equity</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140,459 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 and shareholders’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586,221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400,780</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43840"/>
                <wp:effectExtent l="0" t="0" r="0" b="0"/>
                <wp:wrapNone/>
                <wp:docPr id="78" name="Frame78"/>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78</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FinWise Bancorp</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Statements of Income</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 thousands, except share and per share amounts)</w:t>
      </w:r>
    </w:p>
    <w:tbl>
      <w:tblPr>
        <w:tblW w:w="6730" w:type="dxa"/>
        <w:jc w:val="left"/>
        <w:tblInd w:w="0" w:type="dxa"/>
        <w:tblLayout w:type="fixed"/>
        <w:tblCellMar>
          <w:top w:w="28" w:type="dxa"/>
          <w:left w:w="28" w:type="dxa"/>
          <w:bottom w:w="28" w:type="dxa"/>
          <w:right w:w="28" w:type="dxa"/>
        </w:tblCellMar>
      </w:tblPr>
      <w:tblGrid>
        <w:gridCol w:w="1320"/>
        <w:gridCol w:w="1156"/>
        <w:gridCol w:w="1168"/>
        <w:gridCol w:w="262"/>
        <w:gridCol w:w="886"/>
        <w:gridCol w:w="146"/>
        <w:gridCol w:w="146"/>
        <w:gridCol w:w="146"/>
        <w:gridCol w:w="146"/>
        <w:gridCol w:w="262"/>
        <w:gridCol w:w="886"/>
        <w:gridCol w:w="206"/>
      </w:tblGrid>
      <w:tr>
        <w:trPr/>
        <w:tc>
          <w:tcPr>
            <w:tcW w:w="1320"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w:t>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Interest income</w:t>
            </w:r>
          </w:p>
        </w:tc>
        <w:tc>
          <w:tcPr>
            <w:tcW w:w="12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fees on loans</w:t>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58,445 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50,941 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on securities</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interest income</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 income</w:t>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64,534 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52,329 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Interest expense</w:t>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on deposits</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on PPP Liquidity Facility</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 expense</w:t>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1,434 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interest income</w:t>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54,559 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50,895 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credit losses</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11,638 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13,519 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interest income after provision for loan losses</w:t>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42,921 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37,376 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Non-interest income</w:t>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Strategic Program fees</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22,467 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loans, net</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13,550 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SBA loan servicing fees</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on investment in BFG</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miscellaneous income</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non-interest income</w:t>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21,080 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37,411 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Non-interest expense</w:t>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Salaries and employee benefits</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24,489 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services</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Occupancy and equipment expenses</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(Recovery) impairment of SBA servicing asset</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expenses</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non-interest expense</w:t>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40,188 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38,756 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Income before provision for income tax</w:t>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23,813 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36,031 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10,916 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income</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17,460</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25,115</w:t>
            </w: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share, basic</w:t>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share, diluted</w:t>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basic</w:t>
            </w:r>
          </w:p>
        </w:tc>
        <w:tc>
          <w:tcPr>
            <w:tcW w:w="1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12,488,564</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12,729,898</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diluted</w:t>
            </w:r>
          </w:p>
        </w:tc>
        <w:tc>
          <w:tcPr>
            <w:tcW w:w="1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12,909,648</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13,357,022</w:t>
            </w:r>
          </w:p>
        </w:tc>
      </w:tr>
    </w:tbl>
    <w:p>
      <w:pPr>
        <w:pStyle w:val="TextBody"/>
        <w:bidi w:val="0"/>
        <w:spacing w:lineRule="auto" w:line="288" w:before="20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43840"/>
                <wp:effectExtent l="0" t="0" r="0" b="0"/>
                <wp:wrapNone/>
                <wp:docPr id="79" name="Frame79"/>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79</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FinWise Bancorp</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Statements of Changes in Shareholders’ Equity</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 thousands, except share amounts)</w:t>
      </w:r>
    </w:p>
    <w:tbl>
      <w:tblPr>
        <w:tblW w:w="9835" w:type="dxa"/>
        <w:jc w:val="left"/>
        <w:tblInd w:w="0" w:type="dxa"/>
        <w:tblLayout w:type="fixed"/>
        <w:tblCellMar>
          <w:top w:w="28" w:type="dxa"/>
          <w:left w:w="28" w:type="dxa"/>
          <w:bottom w:w="28" w:type="dxa"/>
          <w:right w:w="28" w:type="dxa"/>
        </w:tblCellMar>
      </w:tblPr>
      <w:tblGrid>
        <w:gridCol w:w="1279"/>
        <w:gridCol w:w="1129"/>
        <w:gridCol w:w="1132"/>
        <w:gridCol w:w="404"/>
        <w:gridCol w:w="406"/>
        <w:gridCol w:w="308"/>
        <w:gridCol w:w="109"/>
        <w:gridCol w:w="109"/>
        <w:gridCol w:w="109"/>
        <w:gridCol w:w="208"/>
        <w:gridCol w:w="367"/>
        <w:gridCol w:w="116"/>
        <w:gridCol w:w="109"/>
        <w:gridCol w:w="109"/>
        <w:gridCol w:w="109"/>
        <w:gridCol w:w="196"/>
        <w:gridCol w:w="661"/>
        <w:gridCol w:w="109"/>
        <w:gridCol w:w="109"/>
        <w:gridCol w:w="109"/>
        <w:gridCol w:w="109"/>
        <w:gridCol w:w="196"/>
        <w:gridCol w:w="751"/>
        <w:gridCol w:w="109"/>
        <w:gridCol w:w="109"/>
        <w:gridCol w:w="109"/>
        <w:gridCol w:w="109"/>
        <w:gridCol w:w="205"/>
        <w:gridCol w:w="788"/>
        <w:gridCol w:w="163"/>
      </w:tblGrid>
      <w:tr>
        <w:trPr/>
        <w:tc>
          <w:tcPr>
            <w:tcW w:w="127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Shareholders’</w:t>
              <w:br/>
              <w:t>Equity</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2021</w:t>
            </w:r>
          </w:p>
        </w:tc>
        <w:tc>
          <w:tcPr>
            <w:tcW w:w="11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12,772,010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13</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54,836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60,593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115,442</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123,055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repurchased</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(120,000)</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options exercised</w:t>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25,115 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2022</w:t>
            </w:r>
          </w:p>
        </w:tc>
        <w:tc>
          <w:tcPr>
            <w:tcW w:w="11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12,831,345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13</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54,614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85,832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140,459</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Impact of the adoption of ASC 326 Credit Losses</w:t>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168,821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options exercised</w:t>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repurchased</w:t>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17,460 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2023</w:t>
            </w:r>
          </w:p>
        </w:tc>
        <w:tc>
          <w:tcPr>
            <w:tcW w:w="111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12,493,565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12</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51,200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103,844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6"/>
              </w:rPr>
              <w:t>155,056</w:t>
            </w: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43840"/>
                <wp:effectExtent l="0" t="0" r="0" b="0"/>
                <wp:wrapNone/>
                <wp:docPr id="80" name="Frame80"/>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80</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FinWise Bancorp</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Consolidated Statements of Cash Flows</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 thousands)</w:t>
      </w:r>
    </w:p>
    <w:tbl>
      <w:tblPr>
        <w:tblW w:w="9023" w:type="dxa"/>
        <w:jc w:val="center"/>
        <w:tblInd w:w="0" w:type="dxa"/>
        <w:tblLayout w:type="fixed"/>
        <w:tblCellMar>
          <w:top w:w="28" w:type="dxa"/>
          <w:left w:w="28" w:type="dxa"/>
          <w:bottom w:w="28" w:type="dxa"/>
          <w:right w:w="28" w:type="dxa"/>
        </w:tblCellMar>
      </w:tblPr>
      <w:tblGrid>
        <w:gridCol w:w="2471"/>
        <w:gridCol w:w="2179"/>
        <w:gridCol w:w="2189"/>
        <w:gridCol w:w="181"/>
        <w:gridCol w:w="616"/>
        <w:gridCol w:w="109"/>
        <w:gridCol w:w="109"/>
        <w:gridCol w:w="109"/>
        <w:gridCol w:w="109"/>
        <w:gridCol w:w="181"/>
        <w:gridCol w:w="616"/>
        <w:gridCol w:w="154"/>
      </w:tblGrid>
      <w:tr>
        <w:trPr/>
        <w:tc>
          <w:tcPr>
            <w:tcW w:w="2471"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For the Years Ended</w:t>
              <w:br/>
              <w:t>December 31,</w:t>
            </w:r>
          </w:p>
        </w:tc>
      </w:tr>
      <w:tr>
        <w:trPr/>
        <w:tc>
          <w:tcPr>
            <w:tcW w:w="6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2022</w:t>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Cash flows from operating activities:</w:t>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Adjustments to reconcile net income to net cash from operating activities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Depreciation and amortization</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Provision for credit losses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Noncash operating lease cost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amortization in securities discounts and premiums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Capitalized servicing assets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Capitalized loan trailing fee asset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Gain on sale of loans, net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Originations of Strategic Program loans held-for-sale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(4,077,855)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(6,974,133)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on Strategic Program loans held-for-sale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4,053,929 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7,011,292 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fair value of BFG</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(Recovery) impairment of SBA servicing asset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 expense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Deferred income tax benefit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Net changes in:</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Accrued interest receivable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Accrued interest payable</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assets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Operating lease liabilities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Other liabilities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provided by operating activities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61,153 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Cash flows from investing activities: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increase in loans receivable</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(17,330)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 of lease pools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Investment in equity investment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Distributions from BFG</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 of bank premises and equipment, net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maturities and paydowns of securities held-to-maturity</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Purchases of securities held to maturity</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Purchase of FHLB stock</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used in investing activities</w:t>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(152,870)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(35,834)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Cash flows from financing activities:</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increase (decrease) in deposits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161,835 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Common stock repurchased</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Proceeds from exercise of stock options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Repayment of PPP Liquidity Facility</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cash provided by (used in) financing activities</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157,013 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(10,506)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Net change in cash and cash equivalents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 beginning of the period</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Cash and cash equivalents, end of the period</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100,567 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Supplemental disclosures of cash flow information:</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Cash paid during the period</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Income taxes</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6,626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9,360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Interest</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9,410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1,428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Supplemental disclosures of noncash operating activities:</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Right-of-use assets obtained in exchange for operating lease liabilities (ASC 842 adoption effective January 1, 2022)</w:t>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7,380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Impact of current expected credit loss model (ASU 2016-13 adoption effective January 1, 2023)</w:t>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4"/>
              </w:rPr>
              <w:t>283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43840"/>
                <wp:effectExtent l="0" t="0" r="0" b="0"/>
                <wp:wrapNone/>
                <wp:docPr id="81" name="Frame81"/>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81</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FinWise Bancorp</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 – Summary of Significant Accounting Policies</w:t>
      </w:r>
    </w:p>
    <w:p>
      <w:pPr>
        <w:pStyle w:val="TextBody"/>
        <w:bidi w:val="0"/>
        <w:spacing w:lineRule="auto" w:line="288" w:before="200" w:after="283"/>
        <w:jc w:val="both"/>
        <w:rPr/>
      </w:pPr>
      <w:r>
        <w:rPr>
          <w:rFonts w:ascii="Times New Roman;sans-serif" w:hAnsi="Times New Roman;sans-serif"/>
          <w:b/>
          <w:color w:val="000000"/>
          <w:sz w:val="20"/>
        </w:rPr>
        <w:t xml:space="preserve">Nature of business and organization – </w:t>
      </w:r>
      <w:r>
        <w:rPr>
          <w:rFonts w:ascii="Times New Roman;sans-serif" w:hAnsi="Times New Roman;sans-serif"/>
          <w:b w:val="false"/>
          <w:color w:val="000000"/>
          <w:sz w:val="20"/>
        </w:rPr>
        <w:t>FinWise Bancorp is a Utah Corporation headquartered in Murray, Utah and operates all business activities through its wholly-owned subsidiaries FinWise Bank, f/k/a Utah Community Bank and FinWise Investment, LLC. FinWise Bank was incorporated in the state of Utah on May 7, 1999. FinWise Bancorp, f/k/a All West Bancorp, was incorporated in the state of Utah on October 22, 2002, after which, it acquired 100% of FinWise Bank. As of March 4, 2016, FinWise Bank’s articles of incorporation were amended to rename the entity FinWise Bank. As of March 15, 2021, FinWise Bancorp’s articles of incorporation were amended and restated to rename the entity FinWise Bancorp. References herein to “FinWise Bancorp,” “Bancorp” or the “holding company,” refer to FinWise Bancorp on a standalone basis. The word “Company” refers to FinWise Bancorp, FinWise Investment, LLC, and FinWise Bank collectively and on a consolidated basis. References to the “Bank” refer to FinWise Bank on a standalone basis.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Bank provides a full range of banking services to individual and commercial customers. The Bank’s primary source of revenue is from loans including consumer, Small Business Administration (SBA), commercial, commercial real estate, and residential real estate. The Bank also has established Strategic Programs with various third-party loan origination platforms that use technology to streamline the origination of unsecured consumer and secured or unsecured business loans to borrowers within certain approved credit profiles. The Bank earns monthly program fees based on the volume of loans originated in these Strategic Programs, as well as interest during the time the Bank holds the loans.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competition from other financial institutions and to the regulations of certain federal and state agencies and undergoes periodic examinations by those agencies.</w:t>
      </w:r>
    </w:p>
    <w:p>
      <w:pPr>
        <w:pStyle w:val="TextBody"/>
        <w:bidi w:val="0"/>
        <w:spacing w:lineRule="auto" w:line="288" w:before="200" w:after="283"/>
        <w:jc w:val="both"/>
        <w:rPr/>
      </w:pPr>
      <w:r>
        <w:rPr>
          <w:rFonts w:ascii="Times New Roman;sans-serif" w:hAnsi="Times New Roman;sans-serif"/>
          <w:b/>
          <w:color w:val="000000"/>
          <w:sz w:val="20"/>
        </w:rPr>
        <w:t>Significant concentrations of credit risk</w:t>
      </w:r>
      <w:r>
        <w:rPr>
          <w:color w:val="000000"/>
        </w:rPr>
        <w:t xml:space="preserve"> – </w:t>
      </w:r>
      <w:r>
        <w:rPr>
          <w:rFonts w:ascii="Times New Roman;sans-serif" w:hAnsi="Times New Roman;sans-serif"/>
          <w:b w:val="false"/>
          <w:color w:val="000000"/>
          <w:sz w:val="20"/>
        </w:rPr>
        <w:t xml:space="preserve">All of the Company's activities are with customers located throughout the United States. The Company has concentrations in SBA loans, Strategic Program loans, and residential real estate loans. Accordingly, their ultimate collectability is particularly susceptible to changes in market conditions.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Ongoing analysis of the Company's loan portfolio is performed to evaluate whether there is any significant exposure to an individual borrower or group(s) of borrowers as a result of any concentrations of credit risk. Such credit risks (whether on- or off-balance sheet) may occur when groups of borrowers or counterparties have similar economic characteristics and are similarly affected by changes in economic or other conditions. Credit risk also includes the loss that would be recognized subsequent to the reporting date if counterparties failed to perform as contracted. As of December 31, 2023 and 2022, the Company analyzed its exposure to credit risks and concluded that no significant exposure exists from such concentrations of credit risk.</w:t>
      </w:r>
    </w:p>
    <w:p>
      <w:pPr>
        <w:pStyle w:val="TextBody"/>
        <w:bidi w:val="0"/>
        <w:spacing w:lineRule="auto" w:line="288" w:before="200" w:after="283"/>
        <w:jc w:val="both"/>
        <w:rPr/>
      </w:pPr>
      <w:r>
        <w:rPr>
          <w:rFonts w:ascii="Times New Roman;sans-serif" w:hAnsi="Times New Roman;sans-serif"/>
          <w:b/>
          <w:color w:val="000000"/>
          <w:sz w:val="20"/>
        </w:rPr>
        <w:t>Principles of consolidation</w:t>
      </w:r>
      <w:r>
        <w:rPr>
          <w:color w:val="000000"/>
        </w:rPr>
        <w:t xml:space="preserve"> – </w:t>
      </w:r>
      <w:r>
        <w:rPr>
          <w:rFonts w:ascii="Times New Roman;sans-serif" w:hAnsi="Times New Roman;sans-serif"/>
          <w:b w:val="false"/>
          <w:color w:val="000000"/>
          <w:sz w:val="20"/>
        </w:rPr>
        <w:t xml:space="preserve">The consolidated financial statements include the account of FinWise Bancorp and its wholly-owned subsidiaries, FinWise Investment, LLC and FinWise Bank. All significant inter-company balances and transactions have been eliminated in consolidation. </w:t>
      </w:r>
    </w:p>
    <w:p>
      <w:pPr>
        <w:pStyle w:val="TextBody"/>
        <w:bidi w:val="0"/>
        <w:spacing w:lineRule="auto" w:line="288" w:before="200" w:after="283"/>
        <w:jc w:val="both"/>
        <w:rPr/>
      </w:pPr>
      <w:r>
        <w:rPr>
          <w:rFonts w:ascii="Times New Roman;sans-serif" w:hAnsi="Times New Roman;sans-serif"/>
          <w:b/>
          <w:color w:val="000000"/>
          <w:sz w:val="20"/>
        </w:rPr>
        <w:t>Out-of-period adjustments</w:t>
      </w:r>
      <w:r>
        <w:rPr>
          <w:color w:val="000000"/>
        </w:rPr>
        <w:t xml:space="preserve"> – </w:t>
      </w:r>
      <w:r>
        <w:rPr>
          <w:rFonts w:ascii="Times New Roman;sans-serif" w:hAnsi="Times New Roman;sans-serif"/>
          <w:b w:val="false"/>
          <w:color w:val="000000"/>
          <w:sz w:val="20"/>
        </w:rPr>
        <w:t>During the first quarter of 2022, the Company recognized a $(0.8) million ($(0.6) million net of tax) reduction of interest and fees on loans and loans receivable, net as an out-of-period adjustment. The impact associated with this correction was not considered material to the interim unaudited consolidated financial statements for the year ended December 31, 2022, or the financial statements of any previously filed interim or annual periods.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2022, the Company identified an error in the calculation of the Company’s tax provision which understated income tax expense for previously reported financial statements. The error was related to an incorrect application of Section 162(m) of the Internal Revenue Code, which limits tax deductions relating to executive compensation of certain executives of publicly held companies. The Company recorded an out-of-period adjustment during the third quarter of 2022 to correct the previously understated income tax expense. The adjustment resulted in a decrease to after-tax income of $(0.9) million for the year ended December 31, 2022. The impact associated with this correction was not considered material to the interim unaudited consolidated financial statements for the three months ended September 30, 2022, year ended December 31, 2022, or the financial statements of any previously filed interim or annual periods.</w:t>
      </w:r>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fourth quarter of 2022, the Company established a new loan trailing fee asset which is included in “Other assets” on the Consolidated Balance Sheets of approximately $2.3 million and recognized $2.1 million in gain on sale of loans ($1.5 million net of tax) as an out-of-period adjustment of which $1.2 million ($0.9 million net of tax) would have been recorded in the first three quarters of 2022 with the remaining $0.9 million ($0.6 million net of tax) associated with years prior to 2022. Before this correction, the loan trailing fees had been recognized in revenue during the month payment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43840"/>
                <wp:effectExtent l="0" t="0" r="0" b="0"/>
                <wp:wrapNone/>
                <wp:docPr id="82" name="Frame82"/>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82</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6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was owed by the Strategic Program rather than as a gain to be recognized upon sale of the loan receivables. The impact associated with this correction was not considered material to the interim unaudited consolidated financial statements for the year ended December 31, 2022, or the financial statements of any previously filed interim or annual periods. </w:t>
      </w:r>
    </w:p>
    <w:p>
      <w:pPr>
        <w:pStyle w:val="TextBody"/>
        <w:bidi w:val="0"/>
        <w:spacing w:lineRule="auto" w:line="288" w:before="200" w:after="283"/>
        <w:jc w:val="both"/>
        <w:rPr/>
      </w:pPr>
      <w:r>
        <w:rPr>
          <w:rFonts w:ascii="Times New Roman;sans-serif" w:hAnsi="Times New Roman;sans-serif"/>
          <w:b/>
          <w:color w:val="000000"/>
          <w:sz w:val="20"/>
        </w:rPr>
        <w:t>Use of estimates</w:t>
      </w:r>
      <w:r>
        <w:rPr>
          <w:color w:val="000000"/>
        </w:rPr>
        <w:t xml:space="preserve"> – </w:t>
      </w:r>
      <w:r>
        <w:rPr>
          <w:rFonts w:ascii="Times New Roman;sans-serif" w:hAnsi="Times New Roman;sans-serif"/>
          <w:b w:val="false"/>
          <w:color w:val="000000"/>
          <w:sz w:val="20"/>
        </w:rPr>
        <w:t>In preparing the consolidated financial statements in accordance with Generally Accepted Accounting Principles (GAAP), management is required to make estimates and assumptions that affect the reported amounts of certain assets and liabilities as of the date of the consolidated balance sheets and certain revenues and expenses for the period. Actual results could differ, either positively or negatively, from those estimates.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Material estimates that are particularly susceptible to significant changes in the near term relate to the determination of the allowance for credit losses (ACL), the determination of the fair value of certain financial instruments, deferred income tax assets and stock-based compensation.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believes the ACL is adequate. While management uses currently available information to recognize credit losses on loans, future additions to the allowance may be necessary based on economic conditions and individual credit deterioration.</w:t>
      </w:r>
    </w:p>
    <w:p>
      <w:pPr>
        <w:pStyle w:val="TextBody"/>
        <w:bidi w:val="0"/>
        <w:spacing w:lineRule="auto" w:line="288" w:before="200" w:after="283"/>
        <w:jc w:val="both"/>
        <w:rPr/>
      </w:pPr>
      <w:r>
        <w:rPr>
          <w:rFonts w:ascii="Times New Roman;sans-serif" w:hAnsi="Times New Roman;sans-serif"/>
          <w:b/>
          <w:color w:val="000000"/>
          <w:sz w:val="20"/>
        </w:rPr>
        <w:t>Cash and Cash Equivalents</w:t>
      </w:r>
      <w:r>
        <w:rPr>
          <w:color w:val="000000"/>
        </w:rPr>
        <w:t xml:space="preserve"> – </w:t>
      </w:r>
      <w:r>
        <w:rPr>
          <w:rFonts w:ascii="Times New Roman;sans-serif" w:hAnsi="Times New Roman;sans-serif"/>
          <w:b w:val="false"/>
          <w:color w:val="000000"/>
          <w:sz w:val="20"/>
        </w:rPr>
        <w:t>For purposes of reporting cash flows, the Company defines cash and cash equivalents as cash, cash due from banks, interest-bearing deposits in other banks, other interest-bearing deposits, and federal funds sold.</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its cash in deposit accounts that, at times, may exceed federally insured limits. The Company has not experienced any losses in such accounts and believes it is not exposed to any significant credit risk on cash and cash equivalents.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Federal Reserve Board Regulations require maintenance of certain minimum reserve balances based on certain average deposits; however, on March 15, 2020, the Federal Reserve announced that reserve requirement ratios would be reduced to zero percent effective March 26, 2020, due to economic conditions, which eliminated the reserve requirement for all depository institutions. The reserve requirement is still at zero percent as of December 31, 2023.</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Investments</w:t>
      </w:r>
    </w:p>
    <w:p>
      <w:pPr>
        <w:pStyle w:val="TextBody"/>
        <w:bidi w:val="0"/>
        <w:spacing w:lineRule="auto" w:line="288" w:before="200" w:after="283"/>
        <w:jc w:val="both"/>
        <w:rPr/>
      </w:pPr>
      <w:r>
        <w:rPr>
          <w:rFonts w:ascii="Times New Roman;sans-serif" w:hAnsi="Times New Roman;sans-serif"/>
          <w:b/>
          <w:i/>
          <w:color w:val="000000"/>
          <w:sz w:val="20"/>
        </w:rPr>
        <w:t>Investment securities</w:t>
      </w:r>
      <w:r>
        <w:rPr>
          <w:color w:val="000000"/>
        </w:rPr>
        <w:t xml:space="preserve"> – </w:t>
      </w:r>
      <w:r>
        <w:rPr>
          <w:rFonts w:ascii="Times New Roman;sans-serif" w:hAnsi="Times New Roman;sans-serif"/>
          <w:b w:val="false"/>
          <w:color w:val="000000"/>
          <w:sz w:val="20"/>
        </w:rPr>
        <w:t>Debt securities that management has the positive intent and ability to hold to maturity are classified as "held-to-maturity" and recorded at amortized cost. Securities not classified as held-to-maturity are classified as "available for sale" and recorded at fair value, with unrealized gains and losses excluded from earnings and reported in other comprehensive income. The Company did not hold any available for sale securities at December 31, 2023 or 2022.</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no longer evaluates securities for other-than-temporary impairment after the adoption of ASU 2016-13, Topic 326 which changed the accounting for recognizing impairment on available for sale and held to maturity debt securities. Each quarter management evaluates impairment where there has been a decline in fair value below the amortized cost basis of a security to determine whether there is a credit loss associated with the decline in fair value. Management considers the nature of the collateral, potential future changes in collateral values, default rates, delinquency rates, third-party guarantees, credit ratings, interest rate changes since purchase, volatility of the security's fair value and historical loss information for financial assets secured with similar collateral among other factors. Credit losses are calculated individually, rather than collectively, using a discounted cash flow method, whereby management compares the present value of expected cash flows with the amortized cost basis of the security. The credit loss component recognized through the Provision for Credit Losses on the Consolidate Statement of Income. (See Note 2 - Investments.)</w:t>
      </w:r>
    </w:p>
    <w:p>
      <w:pPr>
        <w:pStyle w:val="TextBody"/>
        <w:bidi w:val="0"/>
        <w:spacing w:lineRule="auto" w:line="288" w:before="200" w:after="283"/>
        <w:jc w:val="both"/>
        <w:rPr/>
      </w:pPr>
      <w:r>
        <w:rPr>
          <w:rFonts w:ascii="Times New Roman;sans-serif" w:hAnsi="Times New Roman;sans-serif"/>
          <w:b/>
          <w:i/>
          <w:color w:val="000000"/>
          <w:sz w:val="20"/>
        </w:rPr>
        <w:t>Equity method investments</w:t>
      </w:r>
      <w:r>
        <w:rPr>
          <w:color w:val="000000"/>
        </w:rPr>
        <w:t xml:space="preserve"> – </w:t>
      </w:r>
      <w:r>
        <w:rPr>
          <w:rFonts w:ascii="Times New Roman;sans-serif" w:hAnsi="Times New Roman;sans-serif"/>
          <w:b w:val="false"/>
          <w:color w:val="000000"/>
          <w:sz w:val="20"/>
        </w:rPr>
        <w:t xml:space="preserve">Ownership interests in entities for which the Company has significant influence that are not consolidated are accounted for as equity method investments. SEC Staff Announcement: Accounting for Limited Partnership Investments (codified in Accounting Standards Codification (“ASC”) 323-30-S99-1) guidance requires the use of the equity method unless the investor’s interest “is so minor that the limited partner may have virtually no influence over partnership operating and financial policies.” The SEC staff’s position is that investments in limited partnerships and limited liability companies of greater than 3% to 5% are considered more than minor and, therefore, should be accounted for using the equity method or fair value option and are not required to be consolidated. The Company concluded that, consistent with its accounting policy, the Company’s level of ownership in Business Funding Group, LLC (“BFG”) was indicative of significant influence and, as a result, the investment would be accounted for using the equity method. However, the Company elected the fair value option for its investment due to cost-benefit considerations. Pursuant to electing the fair value option, the Company measures its investment in BFG at fair value each reporting period and changes in fair value are recorded in the Consolidated Statements of Income within ‘Change in fair value on investment in BFG.’ See Note 9, Investment </w:t>
      </w:r>
      <w:r>
        <w:rPr>
          <w:rFonts w:ascii="Times New Roman;sans-serif" w:hAnsi="Times New Roman;sans-serif"/>
          <w:b w:val="false"/>
          <w:color w:val="000000"/>
          <w:sz w:val="20"/>
          <w:shd w:fill="FFFFFF" w:val="clear"/>
        </w:rPr>
        <w:t>in Business Funding Group, LLC</w:t>
      </w:r>
      <w:r>
        <w:rPr>
          <w:rFonts w:ascii="Times New Roman;sans-serif" w:hAnsi="Times New Roman;sans-serif"/>
          <w:b w:val="false"/>
          <w:color w:val="000000"/>
          <w:sz w:val="20"/>
        </w:rPr>
        <w:t>, for a discussion about the Company’s investment in BFG.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43840"/>
                <wp:effectExtent l="0" t="0" r="0" b="0"/>
                <wp:wrapNone/>
                <wp:docPr id="83" name="Frame83"/>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83</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pPr>
      <w:r>
        <w:rPr>
          <w:rFonts w:ascii="Times New Roman;sans-serif" w:hAnsi="Times New Roman;sans-serif"/>
          <w:b/>
          <w:color w:val="000000"/>
          <w:sz w:val="20"/>
        </w:rPr>
        <w:t xml:space="preserve">Investment in Federal Home Loan Bank ("FHLB") stock </w:t>
      </w:r>
      <w:r>
        <w:rPr>
          <w:color w:val="000000"/>
        </w:rPr>
        <w:t xml:space="preserve">– </w:t>
      </w:r>
      <w:r>
        <w:rPr>
          <w:rFonts w:ascii="Times New Roman;sans-serif" w:hAnsi="Times New Roman;sans-serif"/>
          <w:b w:val="false"/>
          <w:color w:val="000000"/>
          <w:sz w:val="20"/>
        </w:rPr>
        <w:t>FHLB stock investments are required based on the level of the Bank’s assets, capital and/or capital/surplus. FHLB stock is carried at cost and periodically evaluated for impairment. There is no readily determinable fair value for this stock as it has no quoted market value, it is a required investment and it is expected to be redeemed at par value. FHLB obtains its funding primarily through issuance of consolidated obligations of the FHLB system. The U.S. government does not guarantee these obligations, and each of the regional FHLBs are jointly and severally liable for repayment of each other’s debt. Cash dividends are reported as a component of Other miscellaneous income in the Consolidated Statements of Income.</w:t>
      </w:r>
    </w:p>
    <w:p>
      <w:pPr>
        <w:pStyle w:val="TextBody"/>
        <w:bidi w:val="0"/>
        <w:spacing w:lineRule="auto" w:line="288" w:before="200" w:after="283"/>
        <w:jc w:val="both"/>
        <w:rPr/>
      </w:pPr>
      <w:r>
        <w:rPr>
          <w:rFonts w:ascii="Times New Roman;sans-serif" w:hAnsi="Times New Roman;sans-serif"/>
          <w:b/>
          <w:color w:val="000000"/>
          <w:sz w:val="20"/>
        </w:rPr>
        <w:t xml:space="preserve">Loans Receivable </w:t>
      </w:r>
      <w:r>
        <w:rPr>
          <w:color w:val="000000"/>
        </w:rPr>
        <w:t xml:space="preserve">– </w:t>
      </w:r>
      <w:r>
        <w:rPr>
          <w:rFonts w:ascii="Times New Roman;sans-serif" w:hAnsi="Times New Roman;sans-serif"/>
          <w:b w:val="false"/>
          <w:color w:val="000000"/>
          <w:sz w:val="20"/>
        </w:rPr>
        <w:t xml:space="preserve">Loans receivable are reported at their outstanding principal adjusted for any charge-offs, the allowance for credit losses, and deferred fees and costs. Loan origination fees, net of certain direct origination costs, if any, are deferred and recognized on an adjustment of the related loan yield using an effective-yield method over the contractual life of the loan. Interest income on loans is recognized on an accrual basis commencing in the month of origination using the interest method. Delinquency fees are recognized in income when chargeable and when collectability is reasonably assured.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requires most loans and leases to be substantially collateralized by real estate, equipment, vehicles, accounts receivable, inventories or other tangible or intangible assets. Real estate collateral is generally in the form of first and second mortgages on various types of property. The Company also originates unsecured loans to consumers and businesses.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change its intent from holding loans for investment and reclassify them as held-for-sale. </w:t>
      </w:r>
    </w:p>
    <w:p>
      <w:pPr>
        <w:pStyle w:val="TextBody"/>
        <w:bidi w:val="0"/>
        <w:spacing w:lineRule="auto" w:line="288" w:before="200" w:after="283"/>
        <w:jc w:val="both"/>
        <w:rPr/>
      </w:pPr>
      <w:r>
        <w:rPr>
          <w:rFonts w:ascii="Times New Roman;sans-serif" w:hAnsi="Times New Roman;sans-serif"/>
          <w:b/>
          <w:color w:val="000000"/>
          <w:sz w:val="20"/>
        </w:rPr>
        <w:t xml:space="preserve">Loans Held For Sale - </w:t>
      </w:r>
      <w:r>
        <w:rPr>
          <w:rFonts w:ascii="Times New Roman;sans-serif" w:hAnsi="Times New Roman;sans-serif"/>
          <w:b w:val="false"/>
          <w:color w:val="000000"/>
          <w:sz w:val="20"/>
        </w:rPr>
        <w:t xml:space="preserve">Loans held-for-sale are carried at the lower of aggregate cost or fair value. Gains and losses are recorded in non-interest income based on the difference between sales proceeds and carrying value. While the Company sells the vast majority of the loans funded in its Strategic Programs shortly after origination, the Company may choose to retain a portion of the funded loans and/or receivables. </w:t>
      </w:r>
    </w:p>
    <w:p>
      <w:pPr>
        <w:pStyle w:val="TextBody"/>
        <w:bidi w:val="0"/>
        <w:spacing w:lineRule="auto" w:line="288" w:before="200" w:after="283"/>
        <w:jc w:val="both"/>
        <w:rPr/>
      </w:pPr>
      <w:r>
        <w:rPr>
          <w:rFonts w:ascii="Times New Roman;sans-serif" w:hAnsi="Times New Roman;sans-serif"/>
          <w:b/>
          <w:color w:val="000000"/>
          <w:sz w:val="20"/>
        </w:rPr>
        <w:t xml:space="preserve">Allowance for Credit Losses - </w:t>
      </w:r>
      <w:r>
        <w:rPr>
          <w:rFonts w:ascii="Times New Roman;sans-serif" w:hAnsi="Times New Roman;sans-serif"/>
          <w:b w:val="false"/>
          <w:color w:val="000000"/>
          <w:sz w:val="20"/>
        </w:rPr>
        <w:t xml:space="preserve">On January 1, 2023, the Company adopted ASU 2016-13, </w:t>
      </w:r>
      <w:r>
        <w:rPr>
          <w:rFonts w:ascii="Times New Roman;sans-serif" w:hAnsi="Times New Roman;sans-serif"/>
          <w:b w:val="false"/>
          <w:i/>
          <w:color w:val="000000"/>
          <w:sz w:val="20"/>
        </w:rPr>
        <w:t>Topic 326</w:t>
      </w:r>
      <w:r>
        <w:rPr>
          <w:color w:val="000000"/>
        </w:rPr>
        <w:t xml:space="preserve"> </w:t>
      </w:r>
      <w:r>
        <w:rPr>
          <w:rFonts w:ascii="Times New Roman;sans-serif" w:hAnsi="Times New Roman;sans-serif"/>
          <w:b w:val="false"/>
          <w:color w:val="000000"/>
          <w:sz w:val="20"/>
        </w:rPr>
        <w:t>which replaced the incurred loss methodology with CECL for financial instruments measured at amortized cost and other commitments to extend credit. CECL requires the immediate recognition of estimated credit losses expected to occur over the estimated remaining life of the asset. The forward-looking concept of CECL requires loss estimates to consider historical experience, current conditions and reasonable and supportable economic forecasts of future events and circumstances.</w:t>
      </w:r>
    </w:p>
    <w:p>
      <w:pPr>
        <w:pStyle w:val="TextBody"/>
        <w:bidi w:val="0"/>
        <w:spacing w:lineRule="auto" w:line="288" w:before="200" w:after="283"/>
        <w:jc w:val="both"/>
        <w:rPr/>
      </w:pPr>
      <w:r>
        <w:rPr>
          <w:rFonts w:ascii="Times New Roman;sans-serif" w:hAnsi="Times New Roman;sans-serif"/>
          <w:b w:val="false"/>
          <w:color w:val="000000"/>
          <w:sz w:val="20"/>
        </w:rPr>
        <w:t xml:space="preserve">The allowance for credit losses (“ACL”) on loans held for investment is the combination of the allowance for loan losses and the reserve for unfunded loan commitments. The allowance for loan losses is reported as a reduction of the amortized cost basis of loans, while the reserve for unfunded loan commitments is included within "other liabilities" on the Consolidated Balance Sheets. The estimate of credit loss incorporates assumptions for both the likelihood and amount of funding over the estimated life of the commitments, including adjustments for current conditions and reasonable and supportable forecasts. Management periodically reviews and updates its assumptions for estimated funding rates. Accrued interest receivable is excluded from the ACL calculation. The amortized cost basis of loans does not include accrued interest receivable, which is included in "accrued interest receivable" on the Consolidated Balance Sheets. As of December 31, 2023 and 2022 the Company had balances of accrued interest receivable of $3.6 million and $1.8 million, respectively. The amount related to investments held-to-maturity was </w:t>
      </w:r>
      <w:r>
        <w:rPr>
          <w:rFonts w:ascii="Times New Roman;sans-serif" w:hAnsi="Times New Roman;sans-serif"/>
          <w:b w:val="false"/>
          <w:i/>
          <w:color w:val="000000"/>
          <w:sz w:val="20"/>
        </w:rPr>
        <w:t xml:space="preserve">de minimis </w:t>
      </w:r>
      <w:r>
        <w:rPr>
          <w:rFonts w:ascii="Times New Roman;sans-serif" w:hAnsi="Times New Roman;sans-serif"/>
          <w:b w:val="false"/>
          <w:color w:val="000000"/>
          <w:sz w:val="20"/>
        </w:rPr>
        <w:t>as of December 31, 2023 and 2022. The "Provision for credit losses" on the Consolidated Statements of Income is a combination of the provision for credit losses and the provision for unfunded loan commitments.</w:t>
      </w:r>
    </w:p>
    <w:p>
      <w:pPr>
        <w:pStyle w:val="TextBody"/>
        <w:bidi w:val="0"/>
        <w:spacing w:lineRule="auto" w:line="288" w:before="200" w:after="283"/>
        <w:jc w:val="both"/>
        <w:rPr/>
      </w:pPr>
      <w:r>
        <w:rPr>
          <w:rFonts w:ascii="Times New Roman;sans-serif" w:hAnsi="Times New Roman;sans-serif"/>
          <w:b w:val="false"/>
          <w:i/>
          <w:color w:val="000000"/>
          <w:sz w:val="20"/>
        </w:rPr>
        <w:t>ACL in accordance with CECL methodology</w:t>
      </w:r>
      <w:r>
        <w:rPr>
          <w:color w:val="000000"/>
        </w:rPr>
        <w:t xml:space="preserve">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the Bank's core portfolio which consists of SBA 7(a), local lending, retail point of sale, and equipment finance and leasing, the Bank pools similar loans that are collectively evaluated and determines an appropriate level of general allowance by portfolio segment using a non-discounted cash flow model taking into account probability of default, loss in the event of default, and prepayment speed estimates based on industry specific collected data. The model captures losses over the historical charge-off and prepayment cycle and applies those losses at a loan level over the remaining maturity of the loan. The model then calculates a historical loss rate using the average losses over the reporting period, which is then applied to each segment utilizing a standard reversion rate. With respect to the Bank's active retained Strategic Program loan portfolio, the Bank is using a methodology that compares the actual loan performance of a vintage to the worst performing loans within that vintage, known as the high-water mark. The Bank records the expected credit losses based on the high-water mark loss rate. With respect to the Bank's inactive retained Strategic Program loan portfolio, performance data at the summary level provided by the Strategic Programs is banded by credit profile and original loan term and compared to actual loan performance on a quarterly basis. The expected loss rate is supplemented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43840"/>
                <wp:effectExtent l="0" t="0" r="0" b="0"/>
                <wp:wrapNone/>
                <wp:docPr id="84" name="Frame84"/>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84</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adjustments for reasonable and supportable forecasts of relevant economic indicators, including but not limited to national unemployment rate forecasts. Expected credit losses are estimated over the contractual term of the loans, adjusted for expected prepayments when appropriate. Also included in the ACL are qualitative factors based on the risks present for each portfolio segment. These qualitative factors include the following that are derived from the Interagency Policy Statement on Allowance for Credit Losses: changes in lending policies and procedures; changes in international, national, regional, and local economic and business conditions and developments that affect the collectability of the loan portfolio; changes in the nature and volume of the loan portfolio and in the terms of loans; changes in the experience, ability, and depth of lending management and staff; changes in the volume and severity of past due loans, nonaccrual loans, and classified or graded loans; changes in the quality of the Bank's loan review system; changes in the value of underlying collateral for loans that are not collateral-dependent; changes in the level of concentration of credit; changes in the effect of competition, legal, and regulatory requirements on the level of estimated credit losses; and, if applicable, changes in the composition and volume of the loan portfolio due to mergers, acquisitions, and other significant transactions not considered elsewhere. The Bank also considers as an additional qualitative factor any lingering "ripple" effects of the Covid-19 pandemic, including lasting changes to consumer behavior, lending, and society at large. It is also possible that these factors could include social, political, economic, and terrorist events or activities. All of these factors are susceptible to change, which may be significant.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When management identifies loans that do not share common risk characteristics (i.e., are not similar to other loans within a pool) they are evaluated on an individual basis. These loans are not included in the collective evaluation. For loans identified as having a likelihood of foreclosure or that the borrower is experiencing financial difficulty, a collateral dependent approach is used. These are loans for which the repayment is expected to be provided substantially through the operation or sale of the collateral. Under CECL, for collateral dependent loans, the Company has adopted the practical expedient method to measure the allowance for credit losses based on the fair value of collateral. The allowance for credit losses is calculated on an individual loan basis based on the shortfall between the fair value of the loan's collateral, which is adjusted for liquidation costs/discounts, and amortized cost. If the fair value of the collateral exceeds the amortized cost, no allowance is required.</w:t>
      </w:r>
    </w:p>
    <w:p>
      <w:pPr>
        <w:pStyle w:val="TextBody"/>
        <w:bidi w:val="0"/>
        <w:spacing w:lineRule="auto" w:line="288" w:before="200" w:after="283"/>
        <w:jc w:val="both"/>
        <w:rPr/>
      </w:pPr>
      <w:r>
        <w:rPr>
          <w:rFonts w:ascii="Times New Roman;sans-serif" w:hAnsi="Times New Roman;sans-serif"/>
          <w:b w:val="false"/>
          <w:color w:val="000000"/>
          <w:sz w:val="20"/>
        </w:rPr>
        <w:t>The CECL methodology requires a significant amount of management judgment in determining the appropriate allowance for credit losses. Several of the steps in the methodology involve judgment and are subjective in nature including, among other things: segmenting the loan portfolio; determining the amount of loss history to consider; selecting predictive econometric regression models that use appropriate macroeconomic variables; determining the methodology to forecast prepayments; selecting the most appropriate economic forecast scenario; determining the length of the reasonable and supportable forecast and reversion periods; estimating expected utilization rates on unfunded loan commitments; and assessing relevant and appropriate qualitative factors. In addition, the CECL methodology is dependent on economic forecasts, which are inherently imprecise and will change from period to period. Although the allowance for credit losses is considered appropriate, there can be no</w:t>
      </w:r>
      <w:r>
        <w:rPr>
          <w:color w:val="000000"/>
        </w:rPr>
        <w:t xml:space="preserve"> </w:t>
      </w:r>
      <w:r>
        <w:rPr>
          <w:rFonts w:ascii="Times New Roman;sans-serif" w:hAnsi="Times New Roman;sans-serif"/>
          <w:b w:val="false"/>
          <w:color w:val="000000"/>
          <w:sz w:val="20"/>
        </w:rPr>
        <w:t>assurance that it will be sufficient to absorb future losses.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determining an appropriate amount for the allowance, the Bank segments and aggregates the loan portfolio based on common characteristics. The following segments have been identified:</w:t>
      </w:r>
    </w:p>
    <w:p>
      <w:pPr>
        <w:pStyle w:val="TextBody"/>
        <w:bidi w:val="0"/>
        <w:spacing w:lineRule="auto" w:line="288" w:before="200" w:after="283"/>
        <w:jc w:val="both"/>
        <w:rPr/>
      </w:pPr>
      <w:r>
        <w:rPr>
          <w:rFonts w:ascii="Times New Roman;sans-serif" w:hAnsi="Times New Roman;sans-serif"/>
          <w:b w:val="false"/>
          <w:color w:val="000000"/>
          <w:sz w:val="20"/>
          <w:u w:val="single"/>
        </w:rPr>
        <w:t>Commercial Real Estate</w:t>
      </w:r>
      <w:r>
        <w:rPr>
          <w:rFonts w:ascii="Times New Roman;sans-serif" w:hAnsi="Times New Roman;sans-serif"/>
          <w:b w:val="false"/>
          <w:color w:val="000000"/>
          <w:sz w:val="20"/>
        </w:rPr>
        <w:t>. These loans are generally secured by owner-occupied nonfarm, nonresidential properties, or by other nonfarm, nonresidential properties. Owner-occupied commercial real estate loans are typically repaid first by the cash flows generated by the underlying business. Factors that may influence a business' cash flows include, but are not limited to, demand for its products or services, quality and depth of management, degree of competition, regulatory changes, and general economic conditions. Non-owner occupied commercial real estate loans are generally considered to have a higher degree of credit risk as they may be dependent on the ongoing success and operating viability of a fewer number of tenants who are occupying the property and who may have a greater degree of exposure to economic conditions.</w:t>
      </w:r>
    </w:p>
    <w:p>
      <w:pPr>
        <w:pStyle w:val="TextBody"/>
        <w:bidi w:val="0"/>
        <w:spacing w:lineRule="auto" w:line="288" w:before="200" w:after="283"/>
        <w:jc w:val="both"/>
        <w:rPr/>
      </w:pPr>
      <w:r>
        <w:rPr>
          <w:rFonts w:ascii="Times New Roman;sans-serif" w:hAnsi="Times New Roman;sans-serif"/>
          <w:b w:val="false"/>
          <w:color w:val="000000"/>
          <w:sz w:val="20"/>
          <w:u w:val="single"/>
        </w:rPr>
        <w:t>Commercial and Industrial</w:t>
      </w:r>
      <w:r>
        <w:rPr>
          <w:rFonts w:ascii="Times New Roman;sans-serif" w:hAnsi="Times New Roman;sans-serif"/>
          <w:b w:val="false"/>
          <w:color w:val="000000"/>
          <w:sz w:val="20"/>
        </w:rPr>
        <w:t xml:space="preserve">. These loans are generally secured by business assets such as furniture, fixtures, equipment, accounts receivable, inventory, business vehicles, and other business personal property. Commercial and industrial loans are typically repaid first by the cash flows generated by the borrower's business operations. The primary risk characteristics are specific to the underlying business and its ability to generate sustainable profitability and resulting positive cash flows. Factors that may influence a business' profitability include, but are not limited to, demand for its products or services, quality and depth of management, degree of competition, regulatory changes, and general economic conditions. </w:t>
      </w:r>
    </w:p>
    <w:p>
      <w:pPr>
        <w:pStyle w:val="TextBody"/>
        <w:bidi w:val="0"/>
        <w:spacing w:lineRule="auto" w:line="288" w:before="200" w:after="283"/>
        <w:jc w:val="both"/>
        <w:rPr/>
      </w:pPr>
      <w:r>
        <w:rPr>
          <w:rFonts w:ascii="Times New Roman;sans-serif" w:hAnsi="Times New Roman;sans-serif"/>
          <w:b w:val="false"/>
          <w:color w:val="000000"/>
          <w:sz w:val="20"/>
          <w:u w:val="single"/>
        </w:rPr>
        <w:t>Commercial Leases</w:t>
      </w:r>
      <w:r>
        <w:rPr>
          <w:rFonts w:ascii="Times New Roman;sans-serif" w:hAnsi="Times New Roman;sans-serif"/>
          <w:b w:val="false"/>
          <w:color w:val="000000"/>
          <w:sz w:val="20"/>
        </w:rPr>
        <w:t xml:space="preserve">. Equipment financing and leasing typically involve the use of equipment as collateral for the loan. If the borrower defaults on the loan, the Bank may need to repossess and sell the equipment to recover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43840"/>
                <wp:effectExtent l="0" t="0" r="0" b="0"/>
                <wp:wrapNone/>
                <wp:docPr id="85" name="Frame85"/>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85</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outstanding debt. However, the value of the equipment may depreciate over time, or disappear, making it difficult for the Bank to recover the full amount of the lease. In equipment leasing, the residual value of the equipment is an important consideration. The residual value is the estimated value of the equipment at the end of the lease term. If the actual value of the equipment is lower than the residual value, the lessor may not be able to recover the full amount of the lease payments.</w:t>
      </w:r>
    </w:p>
    <w:p>
      <w:pPr>
        <w:pStyle w:val="TextBody"/>
        <w:bidi w:val="0"/>
        <w:spacing w:lineRule="auto" w:line="288" w:before="200" w:after="283"/>
        <w:jc w:val="both"/>
        <w:rPr/>
      </w:pPr>
      <w:r>
        <w:rPr>
          <w:rFonts w:ascii="Times New Roman;sans-serif" w:hAnsi="Times New Roman;sans-serif"/>
          <w:b w:val="false"/>
          <w:color w:val="000000"/>
          <w:sz w:val="20"/>
          <w:u w:val="single"/>
        </w:rPr>
        <w:t>Construction and Land Development</w:t>
      </w:r>
      <w:r>
        <w:rPr>
          <w:rFonts w:ascii="Times New Roman;sans-serif" w:hAnsi="Times New Roman;sans-serif"/>
          <w:b w:val="false"/>
          <w:color w:val="000000"/>
          <w:sz w:val="20"/>
        </w:rPr>
        <w:t>. Risks common to construction loans are cost overruns, changes in market demand for property, supply chain interruption affecting construction materials, inadequate long-term financing arrangements and declines in real estate values. Changes in market demand for property could lead to longer marketing times resulting in higher carrying costs, declining values, and higher interest rates. Risks common to residential lot loans are those similar to other types of real estate construction loans, as many customers finance the purchase of improved lots in anticipation of constructing a 1 to 4 family residence. Accordingly, common risks are changes in market demand for property, supply chain interruption affecting construction materials, inadequate long-term financing arrangements and declines in real estate values. Changes in market demand for property could lead to longer marketing times resulting in higher carrying costs, declining values and higher interest rates.</w:t>
      </w:r>
    </w:p>
    <w:p>
      <w:pPr>
        <w:pStyle w:val="TextBody"/>
        <w:bidi w:val="0"/>
        <w:spacing w:lineRule="auto" w:line="288" w:before="200" w:after="283"/>
        <w:jc w:val="both"/>
        <w:rPr/>
      </w:pPr>
      <w:r>
        <w:rPr>
          <w:rFonts w:ascii="Times New Roman;sans-serif" w:hAnsi="Times New Roman;sans-serif"/>
          <w:b w:val="false"/>
          <w:color w:val="000000"/>
          <w:sz w:val="20"/>
          <w:u w:val="single"/>
        </w:rPr>
        <w:t>Consumer</w:t>
      </w:r>
      <w:r>
        <w:rPr>
          <w:rFonts w:ascii="Times New Roman;sans-serif" w:hAnsi="Times New Roman;sans-serif"/>
          <w:b w:val="false"/>
          <w:color w:val="000000"/>
          <w:sz w:val="20"/>
        </w:rPr>
        <w:t>. These are loans to individuals for household, family, and other personal expenditures. Consumer loans generally have higher interest rates and shorter terms than residential loans but tend to have higher credit risk due to the type of collateral securing the loan or in some cases the absence of collateral.</w:t>
      </w:r>
    </w:p>
    <w:p>
      <w:pPr>
        <w:pStyle w:val="TextBody"/>
        <w:bidi w:val="0"/>
        <w:spacing w:lineRule="auto" w:line="288" w:before="200" w:after="283"/>
        <w:jc w:val="both"/>
        <w:rPr/>
      </w:pPr>
      <w:r>
        <w:rPr>
          <w:rFonts w:ascii="Times New Roman;sans-serif" w:hAnsi="Times New Roman;sans-serif"/>
          <w:b w:val="false"/>
          <w:color w:val="000000"/>
          <w:sz w:val="20"/>
          <w:u w:val="single"/>
        </w:rPr>
        <w:t>Residential Real Estate</w:t>
      </w:r>
      <w:r>
        <w:rPr>
          <w:rFonts w:ascii="Times New Roman;sans-serif" w:hAnsi="Times New Roman;sans-serif"/>
          <w:b w:val="false"/>
          <w:color w:val="000000"/>
          <w:sz w:val="20"/>
        </w:rPr>
        <w:t>. These loans are generally secured by 1 to 4 family residential properties. The primary risk characteristics associated with residential mortgage loans typically involve: major living or lifestyle changes to the borrower, including unemployment or other loss of income; unexpected significant expenses, such as for major medical issues or catastrophic events; and divorce or death. In addition, residential mortgage loans that have adjustable rates could expose the borrower to higher debt service requirements in a rising interest rate environment. Further, real estate values could drop significantly and cause the value of the property to fall below the loan amount, creating additional potential loss exposure for the Bank.</w:t>
      </w:r>
    </w:p>
    <w:p>
      <w:pPr>
        <w:pStyle w:val="TextBody"/>
        <w:bidi w:val="0"/>
        <w:spacing w:lineRule="auto" w:line="288" w:before="200" w:after="283"/>
        <w:jc w:val="both"/>
        <w:rPr/>
      </w:pPr>
      <w:r>
        <w:rPr>
          <w:rFonts w:ascii="Times New Roman;sans-serif" w:hAnsi="Times New Roman;sans-serif"/>
          <w:b w:val="false"/>
          <w:color w:val="000000"/>
          <w:sz w:val="20"/>
          <w:u w:val="single"/>
        </w:rPr>
        <w:t>Residential Real Estate Multifamily</w:t>
      </w:r>
      <w:r>
        <w:rPr>
          <w:rFonts w:ascii="Times New Roman;sans-serif" w:hAnsi="Times New Roman;sans-serif"/>
          <w:b w:val="false"/>
          <w:color w:val="000000"/>
          <w:sz w:val="20"/>
        </w:rPr>
        <w:t xml:space="preserve">. Risks common to multifamily loans are poor management, high vacancy rates and regulatory changes. The value of multi-family properties can be impacted by changes in the local real estate market. If property values decline, the Bank may not be able to recover the full amount of the loan if the property needs to be foreclosed. </w:t>
      </w:r>
    </w:p>
    <w:p>
      <w:pPr>
        <w:pStyle w:val="TextBody"/>
        <w:bidi w:val="0"/>
        <w:spacing w:lineRule="auto" w:line="288" w:before="200" w:after="283"/>
        <w:jc w:val="both"/>
        <w:rPr/>
      </w:pPr>
      <w:r>
        <w:rPr>
          <w:rFonts w:ascii="Times New Roman;sans-serif" w:hAnsi="Times New Roman;sans-serif"/>
          <w:b w:val="false"/>
          <w:color w:val="000000"/>
          <w:sz w:val="20"/>
          <w:u w:val="single"/>
        </w:rPr>
        <w:t>Strategic Program Loans Held for Investment</w:t>
      </w:r>
      <w:r>
        <w:rPr>
          <w:rFonts w:ascii="Times New Roman;sans-serif" w:hAnsi="Times New Roman;sans-serif"/>
          <w:b w:val="false"/>
          <w:color w:val="000000"/>
          <w:sz w:val="20"/>
        </w:rPr>
        <w:t xml:space="preserve">. Unsecured consumer loans and secured or unsecured business loans issued by the Company through these programs generally follow and are limited to specific predetermined underwriting criteria. Strategic Program loans cover a wide range of borrower credit profiles, loan terms and interest rates. Strategic Program loans generally have higher interest rates and shorter terms similar to consumer loans and tend to have higher credit risk due to the type of collateral securing the loan or in most cases the absence of collateral. </w:t>
      </w:r>
    </w:p>
    <w:p>
      <w:pPr>
        <w:pStyle w:val="TextBody"/>
        <w:bidi w:val="0"/>
        <w:spacing w:lineRule="auto" w:line="288" w:before="200" w:after="283"/>
        <w:jc w:val="both"/>
        <w:rPr/>
      </w:pPr>
      <w:r>
        <w:rPr>
          <w:rFonts w:ascii="Times New Roman;sans-serif" w:hAnsi="Times New Roman;sans-serif"/>
          <w:b/>
          <w:color w:val="000000"/>
          <w:sz w:val="20"/>
        </w:rPr>
        <w:t xml:space="preserve">Nonaccrual Loans </w:t>
      </w:r>
      <w:r>
        <w:rPr>
          <w:color w:val="000000"/>
        </w:rPr>
        <w:t xml:space="preserve">– </w:t>
      </w:r>
      <w:r>
        <w:rPr>
          <w:rFonts w:ascii="Times New Roman;sans-serif" w:hAnsi="Times New Roman;sans-serif"/>
          <w:b w:val="false"/>
          <w:color w:val="000000"/>
          <w:sz w:val="20"/>
        </w:rPr>
        <w:t xml:space="preserve">The Company's policy is to place loans on a nonaccrual status when: 1) payment is in default for 90 days or more unless the loan is well secured and in the process of collection; or 2) full repayment of principal and interest is not foreseen. When a loan is placed on nonaccrual status, all accrued and uncollected interest on that loan is reversed. Past-due interest received on nonaccrual loans is not recognized in interest income but is applied as a reduction of the outstanding principal of the loan. A loan is relieved of its nonaccrual status when all principal and interest payments are brought current, the loan is well secured, and an analysis of the borrower's financial condition provides reasonable assurance that the borrower can repay the loan as scheduled. </w:t>
      </w:r>
    </w:p>
    <w:p>
      <w:pPr>
        <w:pStyle w:val="TextBody"/>
        <w:bidi w:val="0"/>
        <w:spacing w:lineRule="auto" w:line="288" w:before="200" w:after="283"/>
        <w:jc w:val="both"/>
        <w:rPr/>
      </w:pPr>
      <w:r>
        <w:rPr>
          <w:rFonts w:ascii="Times New Roman;sans-serif" w:hAnsi="Times New Roman;sans-serif"/>
          <w:b/>
          <w:color w:val="000000"/>
          <w:sz w:val="20"/>
        </w:rPr>
        <w:t>Premises and equipment, net</w:t>
      </w:r>
      <w:r>
        <w:rPr>
          <w:color w:val="000000"/>
        </w:rPr>
        <w:t xml:space="preserve"> – </w:t>
      </w:r>
      <w:r>
        <w:rPr>
          <w:rFonts w:ascii="Times New Roman;sans-serif" w:hAnsi="Times New Roman;sans-serif"/>
          <w:b w:val="false"/>
          <w:color w:val="000000"/>
          <w:sz w:val="20"/>
        </w:rPr>
        <w:t>Premises and equipment are stated at cost less accumulated depreciation. Depreciation included in the operating expense is computed using the straight-line method over the estimated useful lives of the related assets. Expenditures for new premises and equipment and major improvements are capitalized. Normal costs of maintenance and repairs are charged to expense as incurred. Gains and losses on dispositions are included in non-interest expense.</w:t>
      </w:r>
    </w:p>
    <w:p>
      <w:pPr>
        <w:pStyle w:val="TextBody"/>
        <w:bidi w:val="0"/>
        <w:spacing w:lineRule="auto" w:line="288" w:before="200" w:after="283"/>
        <w:jc w:val="both"/>
        <w:rPr/>
      </w:pPr>
      <w:r>
        <w:rPr>
          <w:rFonts w:ascii="Times New Roman;sans-serif" w:hAnsi="Times New Roman;sans-serif"/>
          <w:b/>
          <w:color w:val="000000"/>
          <w:sz w:val="20"/>
        </w:rPr>
        <w:t xml:space="preserve">Leases – </w:t>
      </w:r>
      <w:r>
        <w:rPr>
          <w:rFonts w:ascii="Times New Roman;sans-serif" w:hAnsi="Times New Roman;sans-serif"/>
          <w:b w:val="false"/>
          <w:color w:val="000000"/>
          <w:sz w:val="20"/>
        </w:rPr>
        <w:t xml:space="preserve">The Company accounts for leases according to ASU 2016-02, Leases (Topic 842), and applies a right -of-use (“ROU”) model that requires a lessee to record, for all leases with a lease term of more than 12 months, an asset representing its right to use the underlying asset and a liability to make lease payments. The Company elected to apply the package of practical expedients permitting entities to not reassess: 1) whether any expired or existing contracts are or contain leases; 2) the lease classification for any expired or existing leases; and 3) initial direct costs for any existing leases. Additionally, as provided by ASU 2016-02, the Company elected to not apply the recognition requirements of ASC 842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43840"/>
                <wp:effectExtent l="0" t="0" r="0" b="0"/>
                <wp:wrapNone/>
                <wp:docPr id="86" name="Frame86"/>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86</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short-term leases, defined as leases with a term of twelve months or less, and to recognize the lease payments in net income on short-term leases on a straight-line basis over the lease term.</w:t>
      </w:r>
    </w:p>
    <w:p>
      <w:pPr>
        <w:pStyle w:val="TextBody"/>
        <w:bidi w:val="0"/>
        <w:spacing w:lineRule="auto" w:line="288" w:before="200" w:after="283"/>
        <w:jc w:val="both"/>
        <w:rPr/>
      </w:pPr>
      <w:r>
        <w:rPr>
          <w:rFonts w:ascii="Times New Roman;sans-serif" w:hAnsi="Times New Roman;sans-serif"/>
          <w:b/>
          <w:color w:val="000000"/>
          <w:sz w:val="20"/>
        </w:rPr>
        <w:t>Income taxes</w:t>
      </w:r>
      <w:r>
        <w:rPr>
          <w:color w:val="000000"/>
        </w:rPr>
        <w:t xml:space="preserve"> – </w:t>
      </w:r>
      <w:r>
        <w:rPr>
          <w:rFonts w:ascii="Times New Roman;sans-serif" w:hAnsi="Times New Roman;sans-serif"/>
          <w:b w:val="false"/>
          <w:color w:val="000000"/>
          <w:sz w:val="20"/>
        </w:rPr>
        <w:t>Deferred income tax assets and deferred income tax liabilities represent the tax effect of temporary differences between financial reporting and tax reporting measured at enacted tax rates in effect for the year in which the differences are expected to reverse. The Company recognizes only the impact of tax positions that, based on their technical merits, are more likely than not to be sustained upon an audit by the taxing authority.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Developing the provision for income taxes, including the effective tax rate and analysis of potential tax exposure items, if any, requires significant judgment and expertise in federal and state income tax laws, regulations and strategies, including the determination of deferred income tax assets and liabilities and any estimated valuation allowances deemed necessary to value deferred income tax assets. Judgments and tax strategies are subject to audit by various taxing authorities. While the Company believes it has no significant uncertain income tax positions in the consolidated financial statements, adverse determinations by these taxing authorities could have a material adverse effect on the consolidated financial statements.</w:t>
      </w:r>
    </w:p>
    <w:p>
      <w:pPr>
        <w:pStyle w:val="TextBody"/>
        <w:bidi w:val="0"/>
        <w:spacing w:lineRule="auto" w:line="288" w:before="240" w:after="283"/>
        <w:jc w:val="both"/>
        <w:rPr/>
      </w:pPr>
      <w:r>
        <w:rPr>
          <w:rFonts w:ascii="Times New Roman;sans-serif" w:hAnsi="Times New Roman;sans-serif"/>
          <w:b/>
          <w:color w:val="000000"/>
          <w:sz w:val="20"/>
        </w:rPr>
        <w:t>Transfer of financial assets</w:t>
      </w:r>
      <w:r>
        <w:rPr>
          <w:color w:val="000000"/>
        </w:rPr>
        <w:t xml:space="preserve"> – </w:t>
      </w:r>
      <w:r>
        <w:rPr>
          <w:rFonts w:ascii="Times New Roman;sans-serif" w:hAnsi="Times New Roman;sans-serif"/>
          <w:b w:val="false"/>
          <w:color w:val="000000"/>
          <w:sz w:val="20"/>
        </w:rPr>
        <w:t>Transfers of financial assets are accounted for as sales, when control over the assets has been surrendered. Control over transferred assets is deemed to be surrendered when: 1) the assets have been isolated from the Company, 2) the transferee obtains the right (free of conditions that constrain it from taking advantage of that right) to pledge or exchange the transferred assets, and 3) the Company does not maintain effective control over the transferred assets through an agreement to repurchase them before their maturity.</w:t>
      </w:r>
    </w:p>
    <w:p>
      <w:pPr>
        <w:pStyle w:val="TextBody"/>
        <w:bidi w:val="0"/>
        <w:spacing w:lineRule="auto" w:line="288" w:before="240" w:after="283"/>
        <w:jc w:val="both"/>
        <w:rPr/>
      </w:pPr>
      <w:r>
        <w:rPr>
          <w:rFonts w:ascii="Times New Roman;sans-serif" w:hAnsi="Times New Roman;sans-serif"/>
          <w:b/>
          <w:color w:val="000000"/>
          <w:sz w:val="20"/>
        </w:rPr>
        <w:t>SBA servicing asset, net</w:t>
      </w:r>
      <w:r>
        <w:rPr>
          <w:color w:val="000000"/>
        </w:rPr>
        <w:t xml:space="preserve"> – </w:t>
      </w:r>
      <w:r>
        <w:rPr>
          <w:rFonts w:ascii="Times New Roman;sans-serif" w:hAnsi="Times New Roman;sans-serif"/>
          <w:b w:val="false"/>
          <w:color w:val="000000"/>
          <w:sz w:val="20"/>
        </w:rPr>
        <w:t>Servicing assets are recognized as separate assets when servicing rights are acquired through sale of financial assets. For sales of SBA loans, or portions of SBA loans, with servicing retained, a portion of the cost of originating the loan is allocated to the servicing asset based on relative fair value. Fair value is based on a valuation model that calculates the present value of estimated future servicing income. Servicing assets are subsequently measured using the amortization method which requires servicing assets to be amortized into non-interest income in proportion to, and over the period of, estimated future net servicing income of the underlying loans. The SBA servicing asset is carried at the lower of cost or market value.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SBA servicing asset is evaluated annually for impairment based on the fair value of the asset as compared to amortized cost. Capitalized servicing rights are stated separately on the consolidated balance sheet and are amortized into non-interest income in proportion to, and over the period of, the estimated future net servicing income of the underlying financial assets.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Servicing fee income, which is reported in the consolidated statements of income in SBA loan servicing fees, is recorded for fees earned for servicing loans. The fees are based on a contractual percentage of the outstanding principal and recorded as income when earned. The amortization of servicing assets and changes in the valuation allowance are netted against loan servicing income.</w:t>
      </w:r>
    </w:p>
    <w:p>
      <w:pPr>
        <w:pStyle w:val="TextBody"/>
        <w:bidi w:val="0"/>
        <w:spacing w:lineRule="auto" w:line="288" w:before="200" w:after="283"/>
        <w:jc w:val="both"/>
        <w:rPr/>
      </w:pPr>
      <w:r>
        <w:rPr>
          <w:rFonts w:ascii="Times New Roman;sans-serif" w:hAnsi="Times New Roman;sans-serif"/>
          <w:b/>
          <w:color w:val="000000"/>
          <w:sz w:val="20"/>
        </w:rPr>
        <w:t>Stock Repurchase Program</w:t>
      </w:r>
      <w:r>
        <w:rPr>
          <w:color w:val="000000"/>
        </w:rPr>
        <w:t xml:space="preserve"> – </w:t>
      </w:r>
      <w:r>
        <w:rPr>
          <w:rFonts w:ascii="Times New Roman;sans-serif" w:hAnsi="Times New Roman;sans-serif"/>
          <w:b w:val="false"/>
          <w:color w:val="000000"/>
          <w:sz w:val="20"/>
        </w:rPr>
        <w:t xml:space="preserve">On August 18, 2022, the Company announced that its Board of Directors (the “Board”) had authorized, effective August 16, 2022, a common stock repurchase program to purchase up to 644,241 shares of the Company’s common stock in the aggregate. The repurchase program authorized the repurchase by the Company of its common stock in open market transactions, including pursuant to a trading plan in accordance with Rule 10b-18 promulgated under the Securities Exchange Act of 1934, as amended (the “Exchange Act”), or privately negotiated transactions. The authorization permitted management to repurchase shares of the Company’s common stock from time to time at management’s discretion. Repurchases could also be made pursuant to a trading plan under Rule 10b5-1 under the Exchange Act, which would permit shares to be repurchased when the Company might otherwise be precluded from doing so because of self-imposed trading blackout periods or other regulatory restrictions. The actual means and timing of any shares purchased under the program depended on a variety of factors, including the market price of the Company’s common stock, general market and economic conditions, and applicable legal and regulatory requirements. The repurchase program did not obligate the Company to purchase any particular number of shares. As of December 31, 2023, the Company has repurchased a total of 644,241 shares for $5.9 million and retired them at cost thereby completing the Company's share repurchase program. </w:t>
      </w:r>
    </w:p>
    <w:p>
      <w:pPr>
        <w:pStyle w:val="TextBody"/>
        <w:bidi w:val="0"/>
        <w:spacing w:lineRule="auto" w:line="288" w:before="200" w:after="283"/>
        <w:jc w:val="both"/>
        <w:rPr/>
      </w:pPr>
      <w:r>
        <w:rPr>
          <w:rFonts w:ascii="Times New Roman;sans-serif" w:hAnsi="Times New Roman;sans-serif"/>
          <w:b/>
          <w:color w:val="000000"/>
          <w:sz w:val="20"/>
        </w:rPr>
        <w:t>Revenue from Contracts with Customers</w:t>
      </w:r>
      <w:r>
        <w:rPr>
          <w:color w:val="000000"/>
        </w:rPr>
        <w:t xml:space="preserve"> – </w:t>
      </w:r>
      <w:r>
        <w:rPr>
          <w:rFonts w:ascii="Times New Roman;sans-serif" w:hAnsi="Times New Roman;sans-serif"/>
          <w:b w:val="false"/>
          <w:color w:val="000000"/>
          <w:sz w:val="20"/>
        </w:rPr>
        <w:t xml:space="preserve">The Company applies the provisions of ASC 606, Revenue from Contracts with Customers (“ASC 606”). The core principle of this standard is that a company should recognize revenue to depict the transfer of promised goods or services to customers in an amount that reflects the consideration to which the company expects to be entitled in exchange for those goods or services. Services that the Company reports as part of non-interest income are subject to ASC 606 and include fees from its deposit customers for transaction-based activities, account maintenance charges and overdraft services. Transaction-based fees, such as ACH and wire transfer fees, overdraft, return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43840"/>
                <wp:effectExtent l="0" t="0" r="0" b="0"/>
                <wp:wrapNone/>
                <wp:docPr id="87" name="Frame87"/>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87</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 stop payment charges, are recognized at the time such transactions are executed and the services have been fulfilled by the Company. The fees are typically withdrawn from the customer’s deposit account balance. The Company also receives fees from third-parties in its Strategic Programs for setting up systems and procedures to efficiently originate loans in a convenient, compliant and safe manner. Because the third-party simultaneously receives and benefits from the services, revenue is recognized evenly over the term of the loan program. Program Fees received in connection with the Company’s Strategic Programs are recorded at the time services are provided.</w:t>
      </w:r>
    </w:p>
    <w:p>
      <w:pPr>
        <w:pStyle w:val="TextBody"/>
        <w:bidi w:val="0"/>
        <w:spacing w:lineRule="auto" w:line="288" w:before="200" w:after="283"/>
        <w:jc w:val="both"/>
        <w:rPr/>
      </w:pPr>
      <w:r>
        <w:rPr>
          <w:rFonts w:ascii="Times New Roman;sans-serif" w:hAnsi="Times New Roman;sans-serif"/>
          <w:b/>
          <w:color w:val="000000"/>
          <w:sz w:val="20"/>
        </w:rPr>
        <w:t>Stock-based compensation</w:t>
      </w:r>
      <w:r>
        <w:rPr>
          <w:color w:val="000000"/>
        </w:rPr>
        <w:t xml:space="preserve"> – </w:t>
      </w:r>
      <w:r>
        <w:rPr>
          <w:rFonts w:ascii="Times New Roman;sans-serif" w:hAnsi="Times New Roman;sans-serif"/>
          <w:b w:val="false"/>
          <w:color w:val="000000"/>
          <w:sz w:val="20"/>
        </w:rPr>
        <w:t>The Company accounts for all stock-based awards to employees and non-employees, including grants of stock options and restricted stock awards, based on their respective grant date fair values. The Company estimates the fair value of stock option grants using the Black-Scholes option pricing model. Restricted stock awards are valued based on the fair value of the Company’s common stock on the date of grant. The assumptions used in calculating the fair value of stock-based awards represent management’s best estimates and involve inherent uncertainties and the application of management’s judgment and include consideration of historical experience. Expected volatility is based on the Company's data for the expected option term.The risk free interest rate is based on the U.S. Treasury yield curve in effect at the time of grant for periods corresponding with the expected life of the option. The Company expenses stock-based compensation related to stock options and restricted stock over the requisite service period. The Company accounts for forfeitures of stock–based awards as they occur. Stock-based compensation expense pertaining to employees is included in salaries and employee benefits on the income statement. Stock-based compensation expense related to directors and consultants is included in other operating expenses on the income statement.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weighted average assumptions used in determining the Black-Scholes option pricing model for options granted during 2023 and 2022:</w:t>
      </w:r>
    </w:p>
    <w:tbl>
      <w:tblPr>
        <w:tblW w:w="4609" w:type="dxa"/>
        <w:jc w:val="left"/>
        <w:tblInd w:w="0" w:type="dxa"/>
        <w:tblLayout w:type="fixed"/>
        <w:tblCellMar>
          <w:top w:w="28" w:type="dxa"/>
          <w:left w:w="28" w:type="dxa"/>
          <w:bottom w:w="28" w:type="dxa"/>
          <w:right w:w="28" w:type="dxa"/>
        </w:tblCellMar>
      </w:tblPr>
      <w:tblGrid>
        <w:gridCol w:w="772"/>
        <w:gridCol w:w="676"/>
        <w:gridCol w:w="682"/>
        <w:gridCol w:w="255"/>
        <w:gridCol w:w="256"/>
        <w:gridCol w:w="292"/>
        <w:gridCol w:w="109"/>
        <w:gridCol w:w="109"/>
        <w:gridCol w:w="109"/>
        <w:gridCol w:w="405"/>
        <w:gridCol w:w="406"/>
        <w:gridCol w:w="538"/>
      </w:tblGrid>
      <w:tr>
        <w:trPr/>
        <w:tc>
          <w:tcPr>
            <w:tcW w:w="7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5.5 - 6.5</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2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45.8% - 46.7%</w:t>
            </w:r>
          </w:p>
        </w:tc>
      </w:tr>
      <w:tr>
        <w:trPr/>
        <w:tc>
          <w:tcPr>
            <w:tcW w:w="21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bl>
    <w:p>
      <w:pPr>
        <w:pStyle w:val="TextBody"/>
        <w:bidi w:val="0"/>
        <w:spacing w:lineRule="auto" w:line="288" w:before="200" w:after="283"/>
        <w:jc w:val="both"/>
        <w:rPr/>
      </w:pPr>
      <w:r>
        <w:rPr>
          <w:rFonts w:ascii="Times New Roman;sans-serif" w:hAnsi="Times New Roman;sans-serif"/>
          <w:b/>
          <w:color w:val="000000"/>
          <w:sz w:val="20"/>
        </w:rPr>
        <w:t xml:space="preserve">Earnings per share (“EPS”) – </w:t>
      </w:r>
      <w:r>
        <w:rPr>
          <w:rFonts w:ascii="Times New Roman;sans-serif" w:hAnsi="Times New Roman;sans-serif"/>
          <w:b w:val="false"/>
          <w:color w:val="000000"/>
          <w:sz w:val="20"/>
        </w:rPr>
        <w:t>Basic EPS is computed by dividing net earnings allocated to common shareholders by the weighted average number of common shares outstanding. Diluted EPS is computed by dividing net earnings allocated to common shareholders by the weighted average number of common shares outstanding adjusted to include the effect of potentially dilutive common shares. Potentially dilutive common shares include incremental common shares issuable upon exercise of outstanding stock options and non-vested restricted common shares, that are not considered participating securities, using the treasury stock method.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two-class method is used to determine earnings per share based on participation rights of participating securities in any undistributed earnings. Each unvested restricted share granted by the Company to its employees that includes rights to participate in distributed earnings is considered a participating security and the Company uses the two-class method to calculate net income available to the Company’s common shareholders per common share – basic and diluted.</w:t>
      </w:r>
    </w:p>
    <w:p>
      <w:pPr>
        <w:pStyle w:val="TextBody"/>
        <w:bidi w:val="0"/>
        <w:spacing w:lineRule="auto" w:line="288" w:before="200" w:after="283"/>
        <w:jc w:val="both"/>
        <w:rPr/>
      </w:pPr>
      <w:r>
        <w:rPr>
          <w:rFonts w:ascii="Times New Roman;sans-serif" w:hAnsi="Times New Roman;sans-serif"/>
          <w:b/>
          <w:color w:val="000000"/>
          <w:sz w:val="20"/>
        </w:rPr>
        <w:t xml:space="preserve">Off-balance sheet instruments – </w:t>
      </w:r>
      <w:r>
        <w:rPr>
          <w:rFonts w:ascii="Times New Roman;sans-serif" w:hAnsi="Times New Roman;sans-serif"/>
          <w:b w:val="false"/>
          <w:color w:val="000000"/>
          <w:sz w:val="20"/>
        </w:rPr>
        <w:t>In the ordinary course of business, the Company has entered into off-balance sheet financial instrument arrangements consisting of commitments to extend credit. Such financial instruments are recorded in the consolidated financial statements when they are funded. They involve, to varying degrees, elements of credit risk in excess of amounts recognized in the consolidated balance sheet. Losses would be experienced when the Company is contractually obligated to make a payment under these instruments and must seek repayment from the borrower, which may not be as financially sound in the current period as they were when the commitment was originally made. Commitments to extend credit are agreements to lend to a customer as long as there is no violation of any condition established in the contract. Commitments generally have fixed expiration dates or other termination clauses and may require payment of a fee. The Company enters into credit arrangements that generally provide for the termination of advances in the event of a covenant violation or other event of default.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many of the commitments are expected to expire without being drawn upon, the total commitment amounts do not necessarily represent future cash requirements. The Company evaluates each customer’s creditworthiness on a case-by-case basis. The amount of collateral obtained, if deemed necessary by the Company upon extension of credit, is based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43840"/>
                <wp:effectExtent l="0" t="0" r="0" b="0"/>
                <wp:wrapNone/>
                <wp:docPr id="88" name="Frame88"/>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88</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management’s credit evaluation of the party. The commitments are collateralized by the same types of assets used as loan collateral.</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a reserve on its unfunded loan commitments which is included within "other liabilities" on the Consolidated Balance Sheets. The estimate of credit loss incorporates assumptions for both the likelihood and amount of funding over the estimated life of the commitments, including adjustments for current conditions and reasonable and supportable forecasts. Management periodically reviews and updates its assumptions for estimated funding rates. </w:t>
      </w:r>
    </w:p>
    <w:p>
      <w:pPr>
        <w:pStyle w:val="TextBody"/>
        <w:bidi w:val="0"/>
        <w:spacing w:lineRule="auto" w:line="288" w:before="200" w:after="283"/>
        <w:jc w:val="both"/>
        <w:rPr/>
      </w:pPr>
      <w:r>
        <w:rPr>
          <w:rFonts w:ascii="Times New Roman;sans-serif" w:hAnsi="Times New Roman;sans-serif"/>
          <w:b/>
          <w:color w:val="000000"/>
          <w:sz w:val="20"/>
        </w:rPr>
        <w:t xml:space="preserve">Segment Reporting </w:t>
      </w:r>
      <w:r>
        <w:rPr>
          <w:color w:val="000000"/>
        </w:rPr>
        <w:t xml:space="preserve">– </w:t>
      </w:r>
      <w:r>
        <w:rPr>
          <w:rFonts w:ascii="Times New Roman;sans-serif" w:hAnsi="Times New Roman;sans-serif"/>
          <w:b w:val="false"/>
          <w:color w:val="000000"/>
          <w:sz w:val="20"/>
        </w:rPr>
        <w:t xml:space="preserve">Operating segments are components of a business where separate financial information is available and evaluated regularly by the chief operating decision makers ("CODMs") in deciding how to allocate resources and in assessing performance. ASC Topic 280, </w:t>
      </w:r>
      <w:r>
        <w:rPr>
          <w:rFonts w:ascii="Times New Roman;sans-serif" w:hAnsi="Times New Roman;sans-serif"/>
          <w:b w:val="false"/>
          <w:i/>
          <w:color w:val="000000"/>
          <w:sz w:val="20"/>
        </w:rPr>
        <w:t>Segment Reporting</w:t>
      </w:r>
      <w:r>
        <w:rPr>
          <w:rFonts w:ascii="Times New Roman;sans-serif" w:hAnsi="Times New Roman;sans-serif"/>
          <w:b w:val="false"/>
          <w:color w:val="000000"/>
          <w:sz w:val="20"/>
        </w:rPr>
        <w:t xml:space="preserve">, requires information to be reported about a company's operating segments using a "management approach", meaning it is based on the way management organizes segments internally to make operating decisions and assess performance. Based on this guidance, the Company has one reportable operating segment, the Bank. </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Recently adopted accounting pronouncements</w:t>
      </w:r>
    </w:p>
    <w:p>
      <w:pPr>
        <w:pStyle w:val="TextBody"/>
        <w:bidi w:val="0"/>
        <w:spacing w:lineRule="auto" w:line="288" w:before="200" w:after="283"/>
        <w:jc w:val="both"/>
        <w:rPr/>
      </w:pPr>
      <w:r>
        <w:rPr>
          <w:rFonts w:ascii="Times New Roman;sans-serif" w:hAnsi="Times New Roman;sans-serif"/>
          <w:b w:val="false"/>
          <w:color w:val="000000"/>
          <w:sz w:val="20"/>
        </w:rPr>
        <w:t xml:space="preserve">On January 1, 2023, the Company adopted ASU 2016-13, </w:t>
      </w:r>
      <w:r>
        <w:rPr>
          <w:rFonts w:ascii="Times New Roman;sans-serif" w:hAnsi="Times New Roman;sans-serif"/>
          <w:b w:val="false"/>
          <w:i/>
          <w:color w:val="000000"/>
          <w:sz w:val="20"/>
        </w:rPr>
        <w:t>Topic 326</w:t>
      </w:r>
      <w:r>
        <w:rPr>
          <w:color w:val="000000"/>
        </w:rPr>
        <w:t xml:space="preserve"> </w:t>
      </w:r>
      <w:r>
        <w:rPr>
          <w:rFonts w:ascii="Times New Roman;sans-serif" w:hAnsi="Times New Roman;sans-serif"/>
          <w:b w:val="false"/>
          <w:color w:val="000000"/>
          <w:sz w:val="20"/>
        </w:rPr>
        <w:t xml:space="preserve">which replaced the incurred loss methodology with CECL for financial instruments measured at amortized cost and other commitments to extend credit. CECL requires the immediate recognition of estimated credit losses expected to occur over the estimated remaining life of the asset. The forward-looking concept of CECL requires loss estimates to consider historical experience, current conditions and reasonable and supportable economic forecasts of future events and circumstances. </w:t>
      </w:r>
    </w:p>
    <w:p>
      <w:pPr>
        <w:pStyle w:val="TextBody"/>
        <w:bidi w:val="0"/>
        <w:spacing w:lineRule="auto" w:line="288" w:before="200" w:after="283"/>
        <w:jc w:val="both"/>
        <w:rPr/>
      </w:pPr>
      <w:r>
        <w:rPr>
          <w:rFonts w:ascii="Times New Roman;sans-serif" w:hAnsi="Times New Roman;sans-serif"/>
          <w:b w:val="false"/>
          <w:color w:val="000000"/>
          <w:sz w:val="20"/>
        </w:rPr>
        <w:t xml:space="preserve">The Company adopted ASC 326 using the modified retrospective method for all financial assets measured at amortized cost and off-balance-sheet credit exposure. Results for the reporting periods beginning after January 1, 2023 are presented under ASC 326. The adoption resulted in an increase in our allowance for credit losses on loans of $0.3 million, a </w:t>
      </w:r>
      <w:r>
        <w:rPr>
          <w:rFonts w:ascii="Times New Roman;sans-serif" w:hAnsi="Times New Roman;sans-serif"/>
          <w:b w:val="false"/>
          <w:i/>
          <w:color w:val="000000"/>
          <w:sz w:val="20"/>
        </w:rPr>
        <w:t>de minimis</w:t>
      </w:r>
      <w:r>
        <w:rPr>
          <w:color w:val="000000"/>
        </w:rPr>
        <w:t xml:space="preserve"> </w:t>
      </w:r>
      <w:r>
        <w:rPr>
          <w:rFonts w:ascii="Times New Roman;sans-serif" w:hAnsi="Times New Roman;sans-serif"/>
          <w:b w:val="false"/>
          <w:color w:val="000000"/>
          <w:sz w:val="20"/>
        </w:rPr>
        <w:t xml:space="preserve">increase to our allowance for unfunded commitments, and a net-of-tax cumulative effect adjustment of $0.2 million to decrease the beginning balance of retained earnings.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finalized the adoption of ASC 326 as of January 1, 2023 as detailed in the following table:</w:t>
      </w:r>
    </w:p>
    <w:tbl>
      <w:tblPr>
        <w:tblW w:w="10205" w:type="dxa"/>
        <w:jc w:val="left"/>
        <w:tblInd w:w="0" w:type="dxa"/>
        <w:tblLayout w:type="fixed"/>
        <w:tblCellMar>
          <w:top w:w="28" w:type="dxa"/>
          <w:left w:w="28" w:type="dxa"/>
          <w:bottom w:w="28" w:type="dxa"/>
          <w:right w:w="28" w:type="dxa"/>
        </w:tblCellMar>
      </w:tblPr>
      <w:tblGrid>
        <w:gridCol w:w="994"/>
        <w:gridCol w:w="850"/>
        <w:gridCol w:w="843"/>
        <w:gridCol w:w="427"/>
        <w:gridCol w:w="1463"/>
        <w:gridCol w:w="220"/>
        <w:gridCol w:w="109"/>
        <w:gridCol w:w="109"/>
        <w:gridCol w:w="109"/>
        <w:gridCol w:w="661"/>
        <w:gridCol w:w="1465"/>
        <w:gridCol w:w="346"/>
        <w:gridCol w:w="109"/>
        <w:gridCol w:w="109"/>
        <w:gridCol w:w="109"/>
        <w:gridCol w:w="442"/>
        <w:gridCol w:w="1512"/>
        <w:gridCol w:w="328"/>
      </w:tblGrid>
      <w:tr>
        <w:trPr/>
        <w:tc>
          <w:tcPr>
            <w:tcW w:w="99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2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12/31/2023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1/1/2024</w:t>
            </w:r>
          </w:p>
        </w:tc>
      </w:tr>
      <w:tr>
        <w:trPr/>
        <w:tc>
          <w:tcPr>
            <w:tcW w:w="26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1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Pre-ASU 2016-13 adoption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Impact of ASU 2016-13 adoption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After ASU 2016-13 Adoption</w:t>
            </w:r>
          </w:p>
        </w:tc>
      </w:tr>
      <w:tr>
        <w:trPr/>
        <w:tc>
          <w:tcPr>
            <w:tcW w:w="2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1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2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1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1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1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1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32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1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7,832 </w:t>
            </w:r>
          </w:p>
        </w:tc>
        <w:tc>
          <w:tcPr>
            <w:tcW w:w="32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allowance for loan losses</w:t>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12,242 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Unfunded lending commitments</w:t>
            </w:r>
          </w:p>
        </w:tc>
        <w:tc>
          <w:tcPr>
            <w:tcW w:w="18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32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allowance for credit losses</w:t>
            </w:r>
          </w:p>
        </w:tc>
        <w:tc>
          <w:tcPr>
            <w:tcW w:w="4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12,268 </w:t>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val="false"/>
          <w:color w:val="000000"/>
          <w:sz w:val="20"/>
        </w:rPr>
        <w:t xml:space="preserve">On January 1, 2023, the Company adopted ASU 2022-02, </w:t>
      </w:r>
      <w:r>
        <w:rPr>
          <w:rFonts w:ascii="Times New Roman;sans-serif" w:hAnsi="Times New Roman;sans-serif"/>
          <w:b w:val="false"/>
          <w:i/>
          <w:color w:val="000000"/>
          <w:sz w:val="20"/>
        </w:rPr>
        <w:t xml:space="preserve">Financial Instruments - Credit Losses (Topic 326): Troubled Debt Restructurings and Vintage Disclosures </w:t>
      </w:r>
      <w:r>
        <w:rPr>
          <w:rFonts w:ascii="Times New Roman;sans-serif" w:hAnsi="Times New Roman;sans-serif"/>
          <w:b w:val="false"/>
          <w:color w:val="000000"/>
          <w:sz w:val="20"/>
        </w:rPr>
        <w:t xml:space="preserve">which eliminated the accounting guidance for troubled debt restructurings by creditors while enhancing disclosure requirements for certain loan refinancings and restructurings by creditors when a borrower is experiencing financial difficulty. The amendments in the ASU also require an entity disclose current-period gross writeoffs by year of origination for financing receivables and net investments in leases within the scope of Subtopic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43840"/>
                <wp:effectExtent l="0" t="0" r="0" b="0"/>
                <wp:wrapNone/>
                <wp:docPr id="89" name="Frame89"/>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89</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326-20. The Company applied the amendments in this ASU prospectively. The adoption of ASU 2022-02 did not have a material impact on the consolidated financial statements.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2023, the FASB issued ASU 2023-09, Improvements to Income Tax Disclosures, which requires consistent categories and greater disaggregation of information in the rate reconciliation and income taxes paid disaggregated by jurisdiction. The amendments are intended to address investors’ requests for income tax disclosures that provide more information to help them better understand an entity’s exposure to potential changes in tax laws and the ensuing risks and opportunities and to assess income tax information that affects cash flow forecasts and capital allocation decisions. The guidance also eliminates certain existing requirements related to uncertain tax positions and unrecognized deferred tax. The guidance is effective for annual periods beginning after December 15, 2024. The Company is evaluating the effect that ASU 2023-09 will have on its consolidated financial statements and related disclosures.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2023, the FASB issued ASU 2023-07, Segment Reporting (Topic 280): Improvements to Reportable Segment Disclosures. The amendments improve reportable segment disclosure requirements, primarily through enhanced disclosures about significant segment expenses. In addition, the amendments enhance interim disclosure requirements, clarify circumstances in which an entity can disclose multiple segment measures of profit or loss, provide new segment disclosure requirements for entities with a single reportable segment, and contain other disclosure requirements. The purpose of the amendments is to enable investors to better understand an entity’s overall performance” and assess “potential future cash flows. The ASU applies to all public entities that are required to report segment information in accordance with ASC 280. The amendments in ASU 2023-07 are effective for all public entities for fiscal years beginning after December 15, 2023 and interim periods within fiscal years beginning after December 15, 2024. The Company is evaluating the effect that ASU 2023-06 will have on its consolidated financial statements and related disclosures.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October 9, 2023, the FASB issued ASU 2023-06, “Disclosure Improvements: Codification Amendments in Response to the SEC’s Disclosure Update and Simplification of Initiative.” ASU 2023-06 amends the disclosure or presentation requirements related to various subtopics in the FASB Accounting Standards Codification (the “Codification”). The ASU was issued in response to the SEC’s August 2018 final rule that updated and simplified disclosure requirements that the SEC believed were “redundant, duplicative, overlapping, outdated, or superseded.” The new guidance is intended to align U.S. GAAP requirements with those of the SEC and to facilitate the application of U.S. GAAP for all entities. ASU 2023-06 applies to all reporting entities within the scope of the amended subtopics. Note that some of the amendments introduced by the ASU are technical corrections or clarifications of the FASB’s current disclosure or presentation requirements. The effective date for each amendment of ASU 2023-06 will be the date on which the SEC’s removal of that related disclosure requirement from Regulation S-X or Regulation S-K becomes effective, with early adoption prohibited. The Company will apply the amendments in ASU 2023-06 prospectively after the effective dates. The Company is evaluating the effect that ASU 2023-06 will have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2 – Investments</w:t>
      </w:r>
    </w:p>
    <w:p>
      <w:pPr>
        <w:pStyle w:val="TextBody"/>
        <w:bidi w:val="0"/>
        <w:spacing w:lineRule="auto" w:line="288" w:before="20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Investment securities held-to-maturity, at cost</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held-to-maturity ("HTM") investment portfolio consists of Agency mortgage-backed securities and Agency collateralized mortgage obligations. The Company reports HTM securities on the Company's Consolidated Balance Sheets at carrying value which is amortized cost. The amortized cost, allowance for credit losses, unrealized gains and losses, and estimated fair values of the Company’s held-to-maturity securities at December 31, 2023 and December 31, 2022, are summarized as follows:</w:t>
      </w:r>
    </w:p>
    <w:tbl>
      <w:tblPr>
        <w:tblW w:w="10205" w:type="dxa"/>
        <w:jc w:val="left"/>
        <w:tblInd w:w="0" w:type="dxa"/>
        <w:tblLayout w:type="fixed"/>
        <w:tblCellMar>
          <w:top w:w="28" w:type="dxa"/>
          <w:left w:w="28" w:type="dxa"/>
          <w:bottom w:w="28" w:type="dxa"/>
          <w:right w:w="28" w:type="dxa"/>
        </w:tblCellMar>
      </w:tblPr>
      <w:tblGrid>
        <w:gridCol w:w="955"/>
        <w:gridCol w:w="839"/>
        <w:gridCol w:w="843"/>
        <w:gridCol w:w="211"/>
        <w:gridCol w:w="721"/>
        <w:gridCol w:w="109"/>
        <w:gridCol w:w="109"/>
        <w:gridCol w:w="109"/>
        <w:gridCol w:w="109"/>
        <w:gridCol w:w="597"/>
        <w:gridCol w:w="1150"/>
        <w:gridCol w:w="309"/>
        <w:gridCol w:w="109"/>
        <w:gridCol w:w="109"/>
        <w:gridCol w:w="109"/>
        <w:gridCol w:w="301"/>
        <w:gridCol w:w="579"/>
        <w:gridCol w:w="156"/>
        <w:gridCol w:w="109"/>
        <w:gridCol w:w="109"/>
        <w:gridCol w:w="109"/>
        <w:gridCol w:w="229"/>
        <w:gridCol w:w="689"/>
        <w:gridCol w:w="120"/>
        <w:gridCol w:w="109"/>
        <w:gridCol w:w="109"/>
        <w:gridCol w:w="109"/>
        <w:gridCol w:w="211"/>
        <w:gridCol w:w="721"/>
        <w:gridCol w:w="157"/>
      </w:tblGrid>
      <w:tr>
        <w:trPr/>
        <w:tc>
          <w:tcPr>
            <w:tcW w:w="95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8"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6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 xml:space="preserve">Loss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mortgage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securities held-to-maturity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43840"/>
                <wp:effectExtent l="0" t="0" r="0" b="0"/>
                <wp:wrapNone/>
                <wp:docPr id="90" name="Frame90"/>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90</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tbl>
      <w:tblPr>
        <w:tblW w:w="8244" w:type="dxa"/>
        <w:jc w:val="left"/>
        <w:tblInd w:w="0" w:type="dxa"/>
        <w:tblLayout w:type="fixed"/>
        <w:tblCellMar>
          <w:top w:w="28" w:type="dxa"/>
          <w:left w:w="28" w:type="dxa"/>
          <w:bottom w:w="28" w:type="dxa"/>
          <w:right w:w="28" w:type="dxa"/>
        </w:tblCellMar>
      </w:tblPr>
      <w:tblGrid>
        <w:gridCol w:w="1108"/>
        <w:gridCol w:w="974"/>
        <w:gridCol w:w="978"/>
        <w:gridCol w:w="211"/>
        <w:gridCol w:w="721"/>
        <w:gridCol w:w="109"/>
        <w:gridCol w:w="109"/>
        <w:gridCol w:w="109"/>
        <w:gridCol w:w="109"/>
        <w:gridCol w:w="379"/>
        <w:gridCol w:w="460"/>
        <w:gridCol w:w="197"/>
        <w:gridCol w:w="109"/>
        <w:gridCol w:w="109"/>
        <w:gridCol w:w="109"/>
        <w:gridCol w:w="229"/>
        <w:gridCol w:w="691"/>
        <w:gridCol w:w="120"/>
        <w:gridCol w:w="109"/>
        <w:gridCol w:w="109"/>
        <w:gridCol w:w="109"/>
        <w:gridCol w:w="211"/>
        <w:gridCol w:w="721"/>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 xml:space="preserve">Loss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mortgage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securities held-to-maturity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Credit Quality Indicators &amp; Allowance for Credit Losses - HTM</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January 1, 2023, the Company adopted ASU 2016-13, which replaced the legacy GAAP other-than-temporary impairment ("OTTI") model with a credit loss model. ASU 2016-13 requires an allowance on lifetime expected credit losses on HTM debt securities but retains the concept from the OTTI model that credit losses are recognized once securities become impaired. For HTM securities, the Company evaluates the credit risk of its securities on at least a quarterly basis. The Company estimates expected credit losses on HTM debt securities on a collective basis by major security type. Accrued interest receivable on HTM debt securities is excluded from the estimate of credit losses. At December 31, 2023 and at adoption of CECL on January 1, 2023, there was no ACL related to HTM securities due to the composition of the portfolio which is generally considered to have minimal credit risk given the government guarantee associated with these agencies. </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had nineteen securities, consisting of nine collateralized mortgage obligations and ten mortgage-backed securities, in an unrealized loss position at December 31, 2023 and seventeen securities, consisting of eight collateralized mortgage obligations and nine mortgage-backed securities, in an unrealized loss position at December 31, 2022, as summarized in the following tables:</w:t>
      </w:r>
    </w:p>
    <w:tbl>
      <w:tblPr>
        <w:tblW w:w="10205" w:type="dxa"/>
        <w:jc w:val="left"/>
        <w:tblInd w:w="0" w:type="dxa"/>
        <w:tblLayout w:type="fixed"/>
        <w:tblCellMar>
          <w:top w:w="28" w:type="dxa"/>
          <w:left w:w="28" w:type="dxa"/>
          <w:bottom w:w="28" w:type="dxa"/>
          <w:right w:w="28" w:type="dxa"/>
        </w:tblCellMar>
      </w:tblPr>
      <w:tblGrid>
        <w:gridCol w:w="866"/>
        <w:gridCol w:w="761"/>
        <w:gridCol w:w="764"/>
        <w:gridCol w:w="211"/>
        <w:gridCol w:w="616"/>
        <w:gridCol w:w="109"/>
        <w:gridCol w:w="109"/>
        <w:gridCol w:w="109"/>
        <w:gridCol w:w="109"/>
        <w:gridCol w:w="314"/>
        <w:gridCol w:w="559"/>
        <w:gridCol w:w="163"/>
        <w:gridCol w:w="109"/>
        <w:gridCol w:w="109"/>
        <w:gridCol w:w="109"/>
        <w:gridCol w:w="211"/>
        <w:gridCol w:w="721"/>
        <w:gridCol w:w="109"/>
        <w:gridCol w:w="109"/>
        <w:gridCol w:w="109"/>
        <w:gridCol w:w="109"/>
        <w:gridCol w:w="229"/>
        <w:gridCol w:w="689"/>
        <w:gridCol w:w="120"/>
        <w:gridCol w:w="109"/>
        <w:gridCol w:w="109"/>
        <w:gridCol w:w="109"/>
        <w:gridCol w:w="211"/>
        <w:gridCol w:w="721"/>
        <w:gridCol w:w="109"/>
        <w:gridCol w:w="109"/>
        <w:gridCol w:w="109"/>
        <w:gridCol w:w="109"/>
        <w:gridCol w:w="229"/>
        <w:gridCol w:w="687"/>
        <w:gridCol w:w="171"/>
      </w:tblGrid>
      <w:tr>
        <w:trPr/>
        <w:tc>
          <w:tcPr>
            <w:tcW w:w="866"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Less than 12 months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Total </w:t>
            </w:r>
          </w:p>
        </w:tc>
      </w:tr>
      <w:tr>
        <w:trPr/>
        <w:tc>
          <w:tcPr>
            <w:tcW w:w="23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 xml:space="preserve">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 xml:space="preserve">Losses </w:t>
            </w:r>
          </w:p>
        </w:tc>
      </w:tr>
      <w:tr>
        <w:trPr/>
        <w:tc>
          <w:tcPr>
            <w:tcW w:w="2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mortgage obligations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securities held-to-maturity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70"/>
        <w:gridCol w:w="765"/>
        <w:gridCol w:w="768"/>
        <w:gridCol w:w="221"/>
        <w:gridCol w:w="646"/>
        <w:gridCol w:w="114"/>
        <w:gridCol w:w="109"/>
        <w:gridCol w:w="109"/>
        <w:gridCol w:w="109"/>
        <w:gridCol w:w="272"/>
        <w:gridCol w:w="622"/>
        <w:gridCol w:w="142"/>
        <w:gridCol w:w="109"/>
        <w:gridCol w:w="109"/>
        <w:gridCol w:w="109"/>
        <w:gridCol w:w="221"/>
        <w:gridCol w:w="646"/>
        <w:gridCol w:w="114"/>
        <w:gridCol w:w="109"/>
        <w:gridCol w:w="109"/>
        <w:gridCol w:w="109"/>
        <w:gridCol w:w="229"/>
        <w:gridCol w:w="689"/>
        <w:gridCol w:w="120"/>
        <w:gridCol w:w="109"/>
        <w:gridCol w:w="109"/>
        <w:gridCol w:w="109"/>
        <w:gridCol w:w="211"/>
        <w:gridCol w:w="721"/>
        <w:gridCol w:w="109"/>
        <w:gridCol w:w="109"/>
        <w:gridCol w:w="109"/>
        <w:gridCol w:w="109"/>
        <w:gridCol w:w="229"/>
        <w:gridCol w:w="687"/>
        <w:gridCol w:w="174"/>
      </w:tblGrid>
      <w:tr>
        <w:trPr/>
        <w:tc>
          <w:tcPr>
            <w:tcW w:w="87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Total </w:t>
            </w:r>
          </w:p>
        </w:tc>
      </w:tr>
      <w:tr>
        <w:trPr/>
        <w:tc>
          <w:tcPr>
            <w:tcW w:w="24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 xml:space="preserve">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 xml:space="preserve">Losses </w:t>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Mortgage-backed securities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Collateralized mortgage obligations</w:t>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securities held-to-maturity</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6,671 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43840"/>
                <wp:effectExtent l="0" t="0" r="0" b="0"/>
                <wp:wrapNone/>
                <wp:docPr id="91" name="Frame91"/>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91</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amortized cost and estimated market value of debt securities at December 31, 2023 and December 31, 2022, by contractual maturity are shown below. Actual maturities may differ from contractual maturities because borrowers may have the right to call or prepay obligations with or without call or prepayment penalties.</w:t>
      </w:r>
    </w:p>
    <w:tbl>
      <w:tblPr>
        <w:tblW w:w="8325" w:type="dxa"/>
        <w:jc w:val="left"/>
        <w:tblInd w:w="0" w:type="dxa"/>
        <w:tblLayout w:type="fixed"/>
        <w:tblCellMar>
          <w:top w:w="28" w:type="dxa"/>
          <w:left w:w="28" w:type="dxa"/>
          <w:bottom w:w="28" w:type="dxa"/>
          <w:right w:w="28" w:type="dxa"/>
        </w:tblCellMar>
      </w:tblPr>
      <w:tblGrid>
        <w:gridCol w:w="1135"/>
        <w:gridCol w:w="997"/>
        <w:gridCol w:w="100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13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held-to-maturity</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year through five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five years through ten years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ten years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Securities held-to-maturity</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12,728 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December 31, 2023, held-to-maturity securities in the amount of $13.8 million were pledged as collateral for credit lines held by the Bank at the Federal Reserve Bank of San Francisco. There were no sales or transfers of investment securities and no realized gains or losses on these securities during the years ended December 31, 2023 or 2022.</w:t>
      </w:r>
    </w:p>
    <w:p>
      <w:pPr>
        <w:pStyle w:val="TextBody"/>
        <w:bidi w:val="0"/>
        <w:spacing w:lineRule="auto" w:line="288" w:before="20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FHLB stock</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Bank is a member of the FHLB system. Members are required to own FHLB stock of at least the greater of 0.06% of FHLB membership asset value or 4.50% of outstanding FHLB advances. At December 31, 2023 and December 31, 2022, the Bank owned $0.2 million and $0.4 million, respectively, of FHLB stock, which is carried at cost. The Company evaluated the carrying value of its FHLB stock investment at December 31, 2023 and determined that it was not impaired. This evaluation considered the long-term nature of the investment, the current financial and liquidity position of the FHLB, repurchase activity of excess stock by the FHLB at its carrying value, the return on the investment from recurring and special dividends, and the Company’s intent and ability to hold this investment for a period of time sufficient to recover its recorded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43840"/>
                <wp:effectExtent l="0" t="0" r="0" b="0"/>
                <wp:wrapNone/>
                <wp:docPr id="92" name="Frame92"/>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92</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3 – Loans Held for Investment and Allowance for Credit Losses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Loans held for investment outstanding by general ledger classification as of December 31, 2023 and December 31, 2022, consisted of the following:</w:t>
      </w:r>
    </w:p>
    <w:tbl>
      <w:tblPr>
        <w:tblW w:w="10205" w:type="dxa"/>
        <w:jc w:val="left"/>
        <w:tblInd w:w="0" w:type="dxa"/>
        <w:tblLayout w:type="fixed"/>
        <w:tblCellMar>
          <w:top w:w="28" w:type="dxa"/>
          <w:left w:w="28" w:type="dxa"/>
          <w:bottom w:w="28" w:type="dxa"/>
          <w:right w:w="28" w:type="dxa"/>
        </w:tblCellMar>
      </w:tblPr>
      <w:tblGrid>
        <w:gridCol w:w="1776"/>
        <w:gridCol w:w="1448"/>
        <w:gridCol w:w="1453"/>
        <w:gridCol w:w="442"/>
        <w:gridCol w:w="1733"/>
        <w:gridCol w:w="226"/>
        <w:gridCol w:w="211"/>
        <w:gridCol w:w="211"/>
        <w:gridCol w:w="211"/>
        <w:gridCol w:w="440"/>
        <w:gridCol w:w="1728"/>
        <w:gridCol w:w="326"/>
      </w:tblGrid>
      <w:tr>
        <w:trPr/>
        <w:tc>
          <w:tcPr>
            <w:tcW w:w="1776"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4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6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SBA</w:t>
            </w:r>
            <w:r>
              <w:rPr>
                <w:rFonts w:ascii="Times New Roman;sans-serif" w:hAnsi="Times New Roman;sans-serif"/>
                <w:b w:val="false"/>
                <w:color w:val="000000"/>
                <w:sz w:val="13"/>
              </w:rPr>
              <w:t>(1)</w:t>
            </w:r>
          </w:p>
        </w:tc>
        <w:tc>
          <w:tcPr>
            <w:tcW w:w="4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3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239,922 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145,172 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2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9,252 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21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2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37,815 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w:t>
            </w:r>
          </w:p>
        </w:tc>
        <w:tc>
          <w:tcPr>
            <w:tcW w:w="21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24,259 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2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Owner occupied</w:t>
            </w:r>
          </w:p>
        </w:tc>
        <w:tc>
          <w:tcPr>
            <w:tcW w:w="21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8,733 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Non-owner occupied</w:t>
            </w:r>
          </w:p>
        </w:tc>
        <w:tc>
          <w:tcPr>
            <w:tcW w:w="2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21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 held for investment</w:t>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372,215 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236,601 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loan fees, net</w:t>
            </w:r>
          </w:p>
        </w:tc>
        <w:tc>
          <w:tcPr>
            <w:tcW w:w="21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Allowance for credit losses</w:t>
            </w:r>
            <w:r>
              <w:rPr>
                <w:rFonts w:ascii="Times New Roman;sans-serif" w:hAnsi="Times New Roman;sans-serif"/>
                <w:b w:val="false"/>
                <w:color w:val="000000"/>
                <w:sz w:val="13"/>
              </w:rPr>
              <w:t>(2)</w:t>
            </w:r>
          </w:p>
        </w:tc>
        <w:tc>
          <w:tcPr>
            <w:tcW w:w="2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loans</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358,560 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224,217 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 Included in the SBA loans held for investment above are $131.7 million and $49.5 million of loans guaranteed by the SBA as of December 31, 2023 and December 31, 2022, respectively.</w:t>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 The Company adopted ASU 2016-13 as of January 1, 2023. The 2022 amounts presented are calculated under the prior accounting standard.</w:t>
            </w:r>
          </w:p>
        </w:tc>
      </w:tr>
    </w:tbl>
    <w:p>
      <w:pPr>
        <w:pStyle w:val="TextBody"/>
        <w:bidi w:val="0"/>
        <w:spacing w:lineRule="auto" w:line="288" w:before="200" w:after="283"/>
        <w:jc w:val="both"/>
        <w:rPr/>
      </w:pPr>
      <w:r>
        <w:rPr>
          <w:rFonts w:ascii="Times New Roman;sans-serif" w:hAnsi="Times New Roman;sans-serif"/>
          <w:b/>
          <w:color w:val="000000"/>
          <w:sz w:val="20"/>
          <w:shd w:fill="FFFFFF" w:val="clear"/>
        </w:rPr>
        <w:t xml:space="preserve">Strategic Program Loans </w:t>
      </w:r>
      <w:r>
        <w:rPr>
          <w:color w:val="000000"/>
          <w:shd w:fill="FFFFFF" w:val="clear"/>
        </w:rPr>
        <w:t xml:space="preserve">– </w:t>
      </w:r>
      <w:r>
        <w:rPr>
          <w:rFonts w:ascii="Times New Roman;sans-serif" w:hAnsi="Times New Roman;sans-serif"/>
          <w:b w:val="false"/>
          <w:color w:val="000000"/>
          <w:sz w:val="20"/>
          <w:shd w:fill="FFFFFF" w:val="clear"/>
        </w:rPr>
        <w:t>In 2016, the Company began originating loans with various third-party loan origination platforms that use technology and other innovative systems to streamline the origination of unsecured consumer and secured or unsecured business loans to a wide array of borrowers within certain approved credit profiles. Loans issued by the Company through these programs generally follow and are limited to specific predetermined underwriting criteria. The Company earns monthly minimum program fees from these third parties. Based on the volume of loans originated by the Company related to each Strategic Program, an additional fee equal to a percentage of the loans generated under the Strategic Program may be collected. The program fee is included within non-interest income on the Consolidated Statements of Income.</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generally retains the loans and/or receivables for a number of business days after origination before selling the loans and/or receivables to the Strategic Program platform or another investor. Interest income is recognized by the Company while holding the loans. These loans are classified as held-for-sale on the balance sheet.</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may also hold a portion of the loans or receivable and sell the remainder directly to the Strategic Programs or other investors. The Company generally services the loans originated through the Strategic Programs in consideration of servicing fees equal to a percentage of the loans generated under the Strategic Programs. In turn, the Strategic Program service providers, subject to the Company’s approval and oversight, serve as sub-servicer and perform typical primary servicing duties including loan collections, modifications, charging-off, reporting and monitoring.</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Each Strategic Program establishes a “reserve” deposit account with the Company. The agreements generally require that the reserve account deposit balance does not fall below an agreed upon dollar or percentage threshold related to the total loans currently outstanding as held for sale by the Company for the specific Strategic Program. If necessary, the Company has the right to withdraw amounts from the reserve account to fulfill loan purchaser obligations created under the program agreements. Total deposits held in reserve by Strategic Programs at the Company at December 31, 2023 and December 31, 2022, was $29.8 million and $16.6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43840"/>
                <wp:effectExtent l="0" t="0" r="0" b="0"/>
                <wp:wrapNone/>
                <wp:docPr id="93" name="Frame93"/>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93</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Strategic Program loans retained and held-for-sale as of December 31, 2023 and December 31, 2022, are summarized as follows:</w:t>
      </w:r>
    </w:p>
    <w:tbl>
      <w:tblPr>
        <w:tblW w:w="5996" w:type="dxa"/>
        <w:jc w:val="left"/>
        <w:tblInd w:w="0" w:type="dxa"/>
        <w:tblLayout w:type="fixed"/>
        <w:tblCellMar>
          <w:top w:w="28" w:type="dxa"/>
          <w:left w:w="28" w:type="dxa"/>
          <w:bottom w:w="28" w:type="dxa"/>
          <w:right w:w="28" w:type="dxa"/>
        </w:tblCellMar>
      </w:tblPr>
      <w:tblGrid>
        <w:gridCol w:w="1124"/>
        <w:gridCol w:w="988"/>
        <w:gridCol w:w="992"/>
        <w:gridCol w:w="255"/>
        <w:gridCol w:w="873"/>
        <w:gridCol w:w="132"/>
        <w:gridCol w:w="109"/>
        <w:gridCol w:w="109"/>
        <w:gridCol w:w="109"/>
        <w:gridCol w:w="253"/>
        <w:gridCol w:w="867"/>
        <w:gridCol w:w="185"/>
      </w:tblGrid>
      <w:tr>
        <w:trPr/>
        <w:tc>
          <w:tcPr>
            <w:tcW w:w="11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1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loans held-for-sale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47,514 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Strategic Program loans</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66,922 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47,848 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Allowance for Credit Losses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determining the estimate for the allowance, the Bank segmented and aggregated the loan portfolio based on the Federal Deposit Insurance Corporation ("FDIC") Consolidated Reports of Condition and Income ("Call Report") codes. The following pool segments identified as of December 31, 2023 are based on the CECL methodology:</w:t>
      </w:r>
    </w:p>
    <w:tbl>
      <w:tblPr>
        <w:tblW w:w="4280" w:type="dxa"/>
        <w:jc w:val="left"/>
        <w:tblInd w:w="0" w:type="dxa"/>
        <w:tblLayout w:type="fixed"/>
        <w:tblCellMar>
          <w:top w:w="28" w:type="dxa"/>
          <w:left w:w="28" w:type="dxa"/>
          <w:bottom w:w="28" w:type="dxa"/>
          <w:right w:w="28" w:type="dxa"/>
        </w:tblCellMar>
      </w:tblPr>
      <w:tblGrid>
        <w:gridCol w:w="1117"/>
        <w:gridCol w:w="983"/>
        <w:gridCol w:w="989"/>
        <w:gridCol w:w="211"/>
        <w:gridCol w:w="826"/>
        <w:gridCol w:w="154"/>
      </w:tblGrid>
      <w:tr>
        <w:trPr/>
        <w:tc>
          <w:tcPr>
            <w:tcW w:w="111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Construction and land development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Owner occupied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Non-owner occupied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Consumer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portfolio classes identified as of December 31, 2022 are based on the incurred loss methodology and are segmented by general ledger classification as detailed below.</w:t>
      </w:r>
    </w:p>
    <w:tbl>
      <w:tblPr>
        <w:tblW w:w="4011" w:type="dxa"/>
        <w:jc w:val="left"/>
        <w:tblInd w:w="0" w:type="dxa"/>
        <w:tblLayout w:type="fixed"/>
        <w:tblCellMar>
          <w:top w:w="28" w:type="dxa"/>
          <w:left w:w="28" w:type="dxa"/>
          <w:bottom w:w="28" w:type="dxa"/>
          <w:right w:w="28" w:type="dxa"/>
        </w:tblCellMar>
      </w:tblPr>
      <w:tblGrid>
        <w:gridCol w:w="1020"/>
        <w:gridCol w:w="898"/>
        <w:gridCol w:w="902"/>
        <w:gridCol w:w="211"/>
        <w:gridCol w:w="826"/>
        <w:gridCol w:w="154"/>
      </w:tblGrid>
      <w:tr>
        <w:trPr/>
        <w:tc>
          <w:tcPr>
            <w:tcW w:w="102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236,601 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43840"/>
                <wp:effectExtent l="0" t="0" r="0" b="0"/>
                <wp:wrapNone/>
                <wp:docPr id="94" name="Frame94"/>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94</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Activity in the ACL by common characteristic loan pools based on the CECL methodology was as follows:</w:t>
      </w:r>
    </w:p>
    <w:tbl>
      <w:tblPr>
        <w:tblW w:w="10205" w:type="dxa"/>
        <w:jc w:val="left"/>
        <w:tblInd w:w="0" w:type="dxa"/>
        <w:tblLayout w:type="fixed"/>
        <w:tblCellMar>
          <w:top w:w="28" w:type="dxa"/>
          <w:left w:w="28" w:type="dxa"/>
          <w:bottom w:w="28" w:type="dxa"/>
          <w:right w:w="28" w:type="dxa"/>
        </w:tblCellMar>
      </w:tblPr>
      <w:tblGrid>
        <w:gridCol w:w="722"/>
        <w:gridCol w:w="449"/>
        <w:gridCol w:w="406"/>
        <w:gridCol w:w="231"/>
        <w:gridCol w:w="790"/>
        <w:gridCol w:w="119"/>
        <w:gridCol w:w="109"/>
        <w:gridCol w:w="109"/>
        <w:gridCol w:w="109"/>
        <w:gridCol w:w="309"/>
        <w:gridCol w:w="684"/>
        <w:gridCol w:w="161"/>
        <w:gridCol w:w="109"/>
        <w:gridCol w:w="109"/>
        <w:gridCol w:w="109"/>
        <w:gridCol w:w="277"/>
        <w:gridCol w:w="948"/>
        <w:gridCol w:w="143"/>
        <w:gridCol w:w="109"/>
        <w:gridCol w:w="109"/>
        <w:gridCol w:w="109"/>
        <w:gridCol w:w="227"/>
        <w:gridCol w:w="795"/>
        <w:gridCol w:w="119"/>
        <w:gridCol w:w="109"/>
        <w:gridCol w:w="109"/>
        <w:gridCol w:w="109"/>
        <w:gridCol w:w="233"/>
        <w:gridCol w:w="681"/>
        <w:gridCol w:w="122"/>
        <w:gridCol w:w="109"/>
        <w:gridCol w:w="109"/>
        <w:gridCol w:w="109"/>
        <w:gridCol w:w="222"/>
        <w:gridCol w:w="762"/>
        <w:gridCol w:w="170"/>
      </w:tblGrid>
      <w:tr>
        <w:trPr/>
        <w:tc>
          <w:tcPr>
            <w:tcW w:w="72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8"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 2023</w:t>
            </w:r>
          </w:p>
        </w:tc>
      </w:tr>
      <w:tr>
        <w:trPr/>
        <w:tc>
          <w:tcPr>
            <w:tcW w:w="15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Impact of ASU 2016-13 adoption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Provision (Reversal) of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Recoveries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Ending Balance</w:t>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Owner occupied</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Non-owner occupied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allowance for loan losses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12,888 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Unfunded lending commitments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allowance for credit losses</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11,638 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(12,425)</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13,027 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Activity in the allowance for loan losses by general ledger classification based on the incurred loss methodology was as follows:</w:t>
      </w:r>
    </w:p>
    <w:tbl>
      <w:tblPr>
        <w:tblW w:w="10205" w:type="dxa"/>
        <w:jc w:val="left"/>
        <w:tblInd w:w="0" w:type="dxa"/>
        <w:tblLayout w:type="fixed"/>
        <w:tblCellMar>
          <w:top w:w="28" w:type="dxa"/>
          <w:left w:w="28" w:type="dxa"/>
          <w:bottom w:w="28" w:type="dxa"/>
          <w:right w:w="28" w:type="dxa"/>
        </w:tblCellMar>
      </w:tblPr>
      <w:tblGrid>
        <w:gridCol w:w="836"/>
        <w:gridCol w:w="669"/>
        <w:gridCol w:w="672"/>
        <w:gridCol w:w="321"/>
        <w:gridCol w:w="938"/>
        <w:gridCol w:w="166"/>
        <w:gridCol w:w="109"/>
        <w:gridCol w:w="109"/>
        <w:gridCol w:w="109"/>
        <w:gridCol w:w="359"/>
        <w:gridCol w:w="1229"/>
        <w:gridCol w:w="185"/>
        <w:gridCol w:w="109"/>
        <w:gridCol w:w="109"/>
        <w:gridCol w:w="109"/>
        <w:gridCol w:w="227"/>
        <w:gridCol w:w="795"/>
        <w:gridCol w:w="119"/>
        <w:gridCol w:w="109"/>
        <w:gridCol w:w="109"/>
        <w:gridCol w:w="109"/>
        <w:gridCol w:w="233"/>
        <w:gridCol w:w="681"/>
        <w:gridCol w:w="122"/>
        <w:gridCol w:w="109"/>
        <w:gridCol w:w="109"/>
        <w:gridCol w:w="109"/>
        <w:gridCol w:w="260"/>
        <w:gridCol w:w="890"/>
        <w:gridCol w:w="195"/>
      </w:tblGrid>
      <w:tr>
        <w:trPr/>
        <w:tc>
          <w:tcPr>
            <w:tcW w:w="83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8"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 2022</w:t>
            </w:r>
          </w:p>
        </w:tc>
      </w:tr>
      <w:tr>
        <w:trPr/>
        <w:tc>
          <w:tcPr>
            <w:tcW w:w="21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Beginning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Provision of Loan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Charge-Offs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Recoveries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Ending Balance</w:t>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4,294 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9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9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allowance for loan losses</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9,855 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13,519 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(12,406)</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43840"/>
                <wp:effectExtent l="0" t="0" r="0" b="0"/>
                <wp:wrapNone/>
                <wp:docPr id="95" name="Frame95"/>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95</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pPr>
      <w:r>
        <w:rPr>
          <w:rFonts w:ascii="Times New Roman;sans-serif" w:hAnsi="Times New Roman;sans-serif"/>
          <w:b w:val="false"/>
          <w:color w:val="000000"/>
          <w:sz w:val="20"/>
        </w:rPr>
        <w:t xml:space="preserve">The following table presents the loan balances by portfolio class, based on impairment method, and the corresponding balances in the allowance as of </w:t>
      </w:r>
      <w:r>
        <w:rPr>
          <w:rFonts w:ascii="Times New Roman;sans-serif" w:hAnsi="Times New Roman;sans-serif"/>
          <w:b w:val="false"/>
          <w:color w:val="000000"/>
          <w:sz w:val="20"/>
          <w:shd w:fill="FFFFFF" w:val="clear"/>
        </w:rPr>
        <w:t>December 31, 2022</w:t>
      </w:r>
      <w:r>
        <w:rPr>
          <w:rFonts w:ascii="Times New Roman;sans-serif" w:hAnsi="Times New Roman;sans-serif"/>
          <w:b w:val="false"/>
          <w:color w:val="000000"/>
          <w:sz w:val="20"/>
        </w:rPr>
        <w:t xml:space="preserve">. For the year ended </w:t>
      </w:r>
      <w:r>
        <w:rPr>
          <w:rFonts w:ascii="Times New Roman;sans-serif" w:hAnsi="Times New Roman;sans-serif"/>
          <w:b w:val="false"/>
          <w:color w:val="000000"/>
          <w:sz w:val="20"/>
          <w:shd w:fill="FFFFFF" w:val="clear"/>
        </w:rPr>
        <w:t>December 31, 2022</w:t>
      </w:r>
      <w:r>
        <w:rPr>
          <w:rFonts w:ascii="Times New Roman;sans-serif" w:hAnsi="Times New Roman;sans-serif"/>
          <w:b w:val="false"/>
          <w:color w:val="000000"/>
          <w:sz w:val="20"/>
        </w:rPr>
        <w:t>, the allowance was calculated based on the incurred loss methodology.</w:t>
      </w:r>
    </w:p>
    <w:tbl>
      <w:tblPr>
        <w:tblW w:w="10205" w:type="dxa"/>
        <w:jc w:val="left"/>
        <w:tblInd w:w="0" w:type="dxa"/>
        <w:tblLayout w:type="fixed"/>
        <w:tblCellMar>
          <w:top w:w="28" w:type="dxa"/>
          <w:left w:w="28" w:type="dxa"/>
          <w:bottom w:w="28" w:type="dxa"/>
          <w:right w:w="28" w:type="dxa"/>
        </w:tblCellMar>
      </w:tblPr>
      <w:tblGrid>
        <w:gridCol w:w="596"/>
        <w:gridCol w:w="372"/>
        <w:gridCol w:w="374"/>
        <w:gridCol w:w="364"/>
        <w:gridCol w:w="703"/>
        <w:gridCol w:w="190"/>
        <w:gridCol w:w="109"/>
        <w:gridCol w:w="109"/>
        <w:gridCol w:w="109"/>
        <w:gridCol w:w="248"/>
        <w:gridCol w:w="850"/>
        <w:gridCol w:w="129"/>
        <w:gridCol w:w="109"/>
        <w:gridCol w:w="109"/>
        <w:gridCol w:w="109"/>
        <w:gridCol w:w="211"/>
        <w:gridCol w:w="721"/>
        <w:gridCol w:w="109"/>
        <w:gridCol w:w="109"/>
        <w:gridCol w:w="109"/>
        <w:gridCol w:w="109"/>
        <w:gridCol w:w="337"/>
        <w:gridCol w:w="746"/>
        <w:gridCol w:w="175"/>
        <w:gridCol w:w="109"/>
        <w:gridCol w:w="109"/>
        <w:gridCol w:w="109"/>
        <w:gridCol w:w="229"/>
        <w:gridCol w:w="898"/>
        <w:gridCol w:w="118"/>
        <w:gridCol w:w="109"/>
        <w:gridCol w:w="109"/>
        <w:gridCol w:w="109"/>
        <w:gridCol w:w="211"/>
        <w:gridCol w:w="826"/>
        <w:gridCol w:w="163"/>
      </w:tblGrid>
      <w:tr>
        <w:trPr/>
        <w:tc>
          <w:tcPr>
            <w:tcW w:w="59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Allowance for Loan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Portfolio Loan Balances</w:t>
            </w:r>
          </w:p>
        </w:tc>
      </w:tr>
      <w:tr>
        <w:trPr/>
        <w:tc>
          <w:tcPr>
            <w:tcW w:w="1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Individually Evaluated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Collectively Evaluated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Individually Evaluated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Collectively Evaluated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144,722 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145,172 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12,063 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loans</w:t>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236,151 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236,601 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val="false"/>
          <w:color w:val="000000"/>
          <w:sz w:val="20"/>
        </w:rPr>
        <w:t xml:space="preserve">The following table presents, under previously applicable GAAP, loans individually evaluated for impairment as of </w:t>
      </w:r>
      <w:r>
        <w:rPr>
          <w:rFonts w:ascii="Times New Roman;sans-serif" w:hAnsi="Times New Roman;sans-serif"/>
          <w:b w:val="false"/>
          <w:color w:val="000000"/>
          <w:sz w:val="20"/>
          <w:shd w:fill="FFFFFF" w:val="clear"/>
        </w:rPr>
        <w:t>December 31, 2022</w:t>
      </w:r>
      <w:r>
        <w:rPr>
          <w:rFonts w:ascii="Times New Roman;sans-serif" w:hAnsi="Times New Roman;sans-serif"/>
          <w:b w:val="false"/>
          <w:color w:val="000000"/>
          <w:sz w:val="20"/>
        </w:rPr>
        <w:t>:</w:t>
      </w:r>
    </w:p>
    <w:tbl>
      <w:tblPr>
        <w:tblW w:w="9398" w:type="dxa"/>
        <w:jc w:val="left"/>
        <w:tblInd w:w="0" w:type="dxa"/>
        <w:tblLayout w:type="fixed"/>
        <w:tblCellMar>
          <w:top w:w="28" w:type="dxa"/>
          <w:left w:w="28" w:type="dxa"/>
          <w:bottom w:w="28" w:type="dxa"/>
          <w:right w:w="28" w:type="dxa"/>
        </w:tblCellMar>
      </w:tblPr>
      <w:tblGrid>
        <w:gridCol w:w="1086"/>
        <w:gridCol w:w="955"/>
        <w:gridCol w:w="959"/>
        <w:gridCol w:w="278"/>
        <w:gridCol w:w="614"/>
        <w:gridCol w:w="144"/>
        <w:gridCol w:w="109"/>
        <w:gridCol w:w="109"/>
        <w:gridCol w:w="109"/>
        <w:gridCol w:w="241"/>
        <w:gridCol w:w="534"/>
        <w:gridCol w:w="126"/>
        <w:gridCol w:w="109"/>
        <w:gridCol w:w="109"/>
        <w:gridCol w:w="109"/>
        <w:gridCol w:w="288"/>
        <w:gridCol w:w="554"/>
        <w:gridCol w:w="149"/>
        <w:gridCol w:w="109"/>
        <w:gridCol w:w="109"/>
        <w:gridCol w:w="109"/>
        <w:gridCol w:w="278"/>
        <w:gridCol w:w="614"/>
        <w:gridCol w:w="144"/>
        <w:gridCol w:w="109"/>
        <w:gridCol w:w="109"/>
        <w:gridCol w:w="109"/>
        <w:gridCol w:w="327"/>
        <w:gridCol w:w="559"/>
        <w:gridCol w:w="240"/>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Recorded</w:t>
              <w:br/>
              <w:t>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Unpaid</w:t>
              <w:br/>
              <w:t>Principal</w:t>
              <w:b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Related</w:t>
              <w:br/>
              <w:t>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Average</w:t>
              <w:br/>
              <w:t>Recorded</w:t>
              <w:br/>
              <w:t>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Interest</w:t>
              <w:br/>
              <w:t>Income</w:t>
              <w:br/>
              <w:t>Recognized</w:t>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no related allowance recorded</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43840"/>
                <wp:effectExtent l="0" t="0" r="0" b="0"/>
                <wp:wrapNone/>
                <wp:docPr id="96" name="Frame96"/>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96</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Nonaccrual and past due loans are summarized below as of December 31, 2023 and December 31, 2022:</w:t>
      </w:r>
    </w:p>
    <w:tbl>
      <w:tblPr>
        <w:tblW w:w="10370" w:type="dxa"/>
        <w:jc w:val="left"/>
        <w:tblInd w:w="0" w:type="dxa"/>
        <w:tblLayout w:type="fixed"/>
        <w:tblCellMar>
          <w:top w:w="28" w:type="dxa"/>
          <w:left w:w="28" w:type="dxa"/>
          <w:bottom w:w="28" w:type="dxa"/>
          <w:right w:w="28" w:type="dxa"/>
        </w:tblCellMar>
      </w:tblPr>
      <w:tblGrid>
        <w:gridCol w:w="563"/>
        <w:gridCol w:w="311"/>
        <w:gridCol w:w="312"/>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11"/>
        <w:gridCol w:w="721"/>
        <w:gridCol w:w="109"/>
        <w:gridCol w:w="109"/>
        <w:gridCol w:w="109"/>
        <w:gridCol w:w="109"/>
        <w:gridCol w:w="318"/>
        <w:gridCol w:w="703"/>
        <w:gridCol w:w="165"/>
        <w:gridCol w:w="109"/>
        <w:gridCol w:w="109"/>
        <w:gridCol w:w="109"/>
        <w:gridCol w:w="211"/>
        <w:gridCol w:w="826"/>
        <w:gridCol w:w="109"/>
        <w:gridCol w:w="109"/>
        <w:gridCol w:w="109"/>
        <w:gridCol w:w="109"/>
        <w:gridCol w:w="211"/>
        <w:gridCol w:w="826"/>
        <w:gridCol w:w="154"/>
      </w:tblGrid>
      <w:tr>
        <w:trPr/>
        <w:tc>
          <w:tcPr>
            <w:tcW w:w="56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Loans Past Due and Still Accruing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30-89</w:t>
              <w:br/>
              <w:t>Days</w:t>
              <w:br/>
              <w:t>Past</w:t>
              <w:br/>
              <w:t>Due</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90 Days</w:t>
              <w:br/>
              <w:t>and Greater</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Non-</w:t>
            </w:r>
          </w:p>
          <w:p>
            <w:pPr>
              <w:pStyle w:val="TableContents"/>
              <w:bidi w:val="0"/>
              <w:spacing w:lineRule="auto" w:line="288" w:before="0" w:after="0"/>
              <w:jc w:val="center"/>
              <w:rPr/>
            </w:pPr>
            <w:r>
              <w:rPr>
                <w:rFonts w:ascii="Times New Roman;sans-serif" w:hAnsi="Times New Roman;sans-serif"/>
                <w:b/>
                <w:color w:val="000000"/>
                <w:sz w:val="20"/>
              </w:rPr>
              <w:t>Accrual Loans with no ACL</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Non-Accrual Loans with ACL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Current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 Loans</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 multifamily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70" w:type="dxa"/>
            <w:gridSpan w:val="42"/>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Included in the nonaccrual loan balances are $15.0 million of SBA 7(a) loan balances guaranteed by the SBA.</w:t>
            </w:r>
          </w:p>
        </w:tc>
      </w:tr>
    </w:tbl>
    <w:tbl>
      <w:tblPr>
        <w:tblW w:w="10205" w:type="dxa"/>
        <w:jc w:val="left"/>
        <w:tblInd w:w="0" w:type="dxa"/>
        <w:tblLayout w:type="fixed"/>
        <w:tblCellMar>
          <w:top w:w="28" w:type="dxa"/>
          <w:left w:w="28" w:type="dxa"/>
          <w:bottom w:w="28" w:type="dxa"/>
          <w:right w:w="28" w:type="dxa"/>
        </w:tblCellMar>
      </w:tblPr>
      <w:tblGrid>
        <w:gridCol w:w="657"/>
        <w:gridCol w:w="461"/>
        <w:gridCol w:w="462"/>
        <w:gridCol w:w="211"/>
        <w:gridCol w:w="826"/>
        <w:gridCol w:w="109"/>
        <w:gridCol w:w="109"/>
        <w:gridCol w:w="109"/>
        <w:gridCol w:w="109"/>
        <w:gridCol w:w="211"/>
        <w:gridCol w:w="616"/>
        <w:gridCol w:w="109"/>
        <w:gridCol w:w="109"/>
        <w:gridCol w:w="109"/>
        <w:gridCol w:w="109"/>
        <w:gridCol w:w="211"/>
        <w:gridCol w:w="466"/>
        <w:gridCol w:w="109"/>
        <w:gridCol w:w="109"/>
        <w:gridCol w:w="109"/>
        <w:gridCol w:w="109"/>
        <w:gridCol w:w="237"/>
        <w:gridCol w:w="525"/>
        <w:gridCol w:w="124"/>
        <w:gridCol w:w="109"/>
        <w:gridCol w:w="109"/>
        <w:gridCol w:w="109"/>
        <w:gridCol w:w="211"/>
        <w:gridCol w:w="616"/>
        <w:gridCol w:w="109"/>
        <w:gridCol w:w="109"/>
        <w:gridCol w:w="109"/>
        <w:gridCol w:w="109"/>
        <w:gridCol w:w="226"/>
        <w:gridCol w:w="436"/>
        <w:gridCol w:w="119"/>
        <w:gridCol w:w="109"/>
        <w:gridCol w:w="109"/>
        <w:gridCol w:w="109"/>
        <w:gridCol w:w="211"/>
        <w:gridCol w:w="826"/>
        <w:gridCol w:w="155"/>
      </w:tblGrid>
      <w:tr>
        <w:trPr/>
        <w:tc>
          <w:tcPr>
            <w:tcW w:w="65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30-59</w:t>
              <w:br/>
              <w:t>Days</w:t>
              <w:br/>
              <w:t>Due</w:t>
              <w:br/>
              <w:t>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60-89</w:t>
              <w:br/>
              <w:t>Days</w:t>
              <w:br/>
              <w:t>Due</w:t>
              <w:br/>
              <w:t>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90+ Days</w:t>
              <w:br/>
              <w:t>Past Due</w:t>
              <w:br/>
              <w:t>&amp;</w:t>
              <w:br/>
              <w:t>Still</w:t>
              <w:br/>
              <w:t>Accruing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Past</w:t>
              <w:br/>
              <w:t>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Non-</w:t>
              <w:br/>
              <w:t>Accrual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145,172 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236,601 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There was no interest income for the years ended December 31, 2023 and 2022, recognized on nonaccrual loans. The amount of accrued interest for the years ended December 31, 2023 and 2022, that was reversed against interest income on nonaccrual loans was approximately </w:t>
      </w:r>
      <w:r>
        <w:rPr>
          <w:rFonts w:ascii="Times New Roman;sans-serif" w:hAnsi="Times New Roman;sans-serif"/>
          <w:b w:val="false"/>
          <w:color w:val="000000"/>
          <w:sz w:val="20"/>
        </w:rPr>
        <w:t>$0.7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zero</w:t>
      </w:r>
      <w:r>
        <w:rPr>
          <w:rFonts w:ascii="Times New Roman;sans-serif" w:hAnsi="Times New Roman;sans-serif"/>
          <w:b w:val="false"/>
          <w:color w:val="000000"/>
          <w:sz w:val="20"/>
          <w:shd w:fill="FFFFFF" w:val="clear"/>
        </w:rPr>
        <w:t>, respectively.</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allowance for credit losses represents management’s estimate of lifetime credit losses inherent in loans as of the balance sheet date. The allowance for credit losses is estimated by management using relevant available information, from both internal and external sources, relating to past events, current conditions, and reasonable and supportable forecasts. The Bank measures expected credit losses for loans on a pooled basis when similar risk characteristics exist. Generally, collectively assessed loans are grouped by Call Report code and then risk grade grouping.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43840"/>
                <wp:effectExtent l="0" t="0" r="0" b="0"/>
                <wp:wrapNone/>
                <wp:docPr id="97" name="Frame97"/>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97</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to past due and nonaccrual status criteria, the Company also evaluates loans using a loan grading system. Internal loan grades are based on current financial information, historical payment experience, and credit documentation, among other factors. Performance-based grades are summarized below:</w:t>
      </w:r>
    </w:p>
    <w:p>
      <w:pPr>
        <w:pStyle w:val="TextBody"/>
        <w:bidi w:val="0"/>
        <w:spacing w:lineRule="auto" w:line="288" w:before="200" w:after="283"/>
        <w:jc w:val="both"/>
        <w:rPr/>
      </w:pPr>
      <w:r>
        <w:rPr>
          <w:rFonts w:ascii="Times New Roman;sans-serif" w:hAnsi="Times New Roman;sans-serif"/>
          <w:b w:val="false"/>
          <w:i/>
          <w:color w:val="000000"/>
          <w:sz w:val="20"/>
          <w:shd w:fill="FFFFFF" w:val="clear"/>
        </w:rPr>
        <w:t xml:space="preserve">Pass </w:t>
      </w:r>
      <w:r>
        <w:rPr>
          <w:color w:val="000000"/>
          <w:shd w:fill="FFFFFF" w:val="clear"/>
        </w:rPr>
        <w:t xml:space="preserve">– </w:t>
      </w:r>
      <w:r>
        <w:rPr>
          <w:rFonts w:ascii="Times New Roman;sans-serif" w:hAnsi="Times New Roman;sans-serif"/>
          <w:b w:val="false"/>
          <w:color w:val="000000"/>
          <w:sz w:val="20"/>
          <w:shd w:fill="FFFFFF" w:val="clear"/>
        </w:rPr>
        <w:t>A Pass asset is higher quality and does not fit any of the other categories</w:t>
      </w:r>
      <w:r>
        <w:rPr>
          <w:color w:val="000000"/>
          <w:shd w:fill="FFFFFF" w:val="clear"/>
        </w:rPr>
        <w:t xml:space="preserve"> </w:t>
      </w:r>
      <w:r>
        <w:rPr>
          <w:rFonts w:ascii="Times New Roman;sans-serif" w:hAnsi="Times New Roman;sans-serif"/>
          <w:b w:val="false"/>
          <w:color w:val="000000"/>
          <w:sz w:val="20"/>
          <w:shd w:fill="FFFFFF" w:val="clear"/>
        </w:rPr>
        <w:t>described below. The likelihood of loss is believed to be remote.</w:t>
      </w:r>
    </w:p>
    <w:p>
      <w:pPr>
        <w:pStyle w:val="TextBody"/>
        <w:bidi w:val="0"/>
        <w:spacing w:lineRule="auto" w:line="288" w:before="200" w:after="283"/>
        <w:jc w:val="both"/>
        <w:rPr/>
      </w:pPr>
      <w:r>
        <w:rPr>
          <w:rFonts w:ascii="Times New Roman;sans-serif" w:hAnsi="Times New Roman;sans-serif"/>
          <w:b w:val="false"/>
          <w:i/>
          <w:color w:val="000000"/>
          <w:sz w:val="20"/>
          <w:shd w:fill="FFFFFF" w:val="clear"/>
        </w:rPr>
        <w:t xml:space="preserve">Watch </w:t>
      </w:r>
      <w:r>
        <w:rPr>
          <w:color w:val="000000"/>
          <w:shd w:fill="FFFFFF" w:val="clear"/>
        </w:rPr>
        <w:t xml:space="preserve">– </w:t>
      </w:r>
      <w:r>
        <w:rPr>
          <w:rFonts w:ascii="Times New Roman;sans-serif" w:hAnsi="Times New Roman;sans-serif"/>
          <w:b w:val="false"/>
          <w:color w:val="000000"/>
          <w:sz w:val="20"/>
          <w:shd w:fill="FFFFFF" w:val="clear"/>
        </w:rPr>
        <w:t xml:space="preserve">A Watch asset may be a larger loan or one that places a heavier reliance on collateral due to the relative financial strength of the borrower. The assets may be maintenance intensive requiring closer monitoring. The obligor is believed to have an adequate primary source of repayment. </w:t>
      </w:r>
    </w:p>
    <w:p>
      <w:pPr>
        <w:pStyle w:val="TextBody"/>
        <w:bidi w:val="0"/>
        <w:spacing w:lineRule="auto" w:line="288" w:before="200" w:after="283"/>
        <w:jc w:val="both"/>
        <w:rPr/>
      </w:pPr>
      <w:r>
        <w:rPr>
          <w:rFonts w:ascii="Times New Roman;sans-serif" w:hAnsi="Times New Roman;sans-serif"/>
          <w:b w:val="false"/>
          <w:i/>
          <w:color w:val="000000"/>
          <w:sz w:val="20"/>
          <w:shd w:fill="FFFFFF" w:val="clear"/>
        </w:rPr>
        <w:t xml:space="preserve">Special Mention </w:t>
      </w:r>
      <w:r>
        <w:rPr>
          <w:color w:val="000000"/>
          <w:shd w:fill="FFFFFF" w:val="clear"/>
        </w:rPr>
        <w:t xml:space="preserve">– </w:t>
      </w:r>
      <w:r>
        <w:rPr>
          <w:rFonts w:ascii="Times New Roman;sans-serif" w:hAnsi="Times New Roman;sans-serif"/>
          <w:b w:val="false"/>
          <w:color w:val="000000"/>
          <w:sz w:val="20"/>
          <w:shd w:fill="FFFFFF" w:val="clear"/>
        </w:rPr>
        <w:t>A Special Mention asset has potential weaknesses that may be</w:t>
      </w:r>
      <w:r>
        <w:rPr>
          <w:color w:val="000000"/>
          <w:shd w:fill="FFFFFF" w:val="clear"/>
        </w:rPr>
        <w:t xml:space="preserve"> </w:t>
      </w:r>
      <w:r>
        <w:rPr>
          <w:rFonts w:ascii="Times New Roman;sans-serif" w:hAnsi="Times New Roman;sans-serif"/>
          <w:b w:val="false"/>
          <w:color w:val="000000"/>
          <w:sz w:val="20"/>
          <w:shd w:fill="FFFFFF" w:val="clear"/>
        </w:rPr>
        <w:t>temporary or, if left uncorrected, may result in a loss. While concerns exist, the Company believes that it is currently protected against a default and loss is considered unlikely and not imminent.</w:t>
      </w:r>
    </w:p>
    <w:p>
      <w:pPr>
        <w:pStyle w:val="TextBody"/>
        <w:bidi w:val="0"/>
        <w:spacing w:lineRule="auto" w:line="288" w:before="200" w:after="283"/>
        <w:jc w:val="both"/>
        <w:rPr/>
      </w:pPr>
      <w:r>
        <w:rPr>
          <w:rFonts w:ascii="Times New Roman;sans-serif" w:hAnsi="Times New Roman;sans-serif"/>
          <w:b w:val="false"/>
          <w:i/>
          <w:color w:val="000000"/>
          <w:sz w:val="20"/>
          <w:shd w:fill="FFFFFF" w:val="clear"/>
        </w:rPr>
        <w:t xml:space="preserve">Substandard </w:t>
      </w:r>
      <w:r>
        <w:rPr>
          <w:color w:val="000000"/>
          <w:shd w:fill="FFFFFF" w:val="clear"/>
        </w:rPr>
        <w:t xml:space="preserve">– </w:t>
      </w:r>
      <w:r>
        <w:rPr>
          <w:rFonts w:ascii="Times New Roman;sans-serif" w:hAnsi="Times New Roman;sans-serif"/>
          <w:b w:val="false"/>
          <w:color w:val="000000"/>
          <w:sz w:val="20"/>
          <w:shd w:fill="FFFFFF" w:val="clear"/>
        </w:rPr>
        <w:t>A Substandard asset is believed to be inadequately protected by the current</w:t>
      </w:r>
      <w:r>
        <w:rPr>
          <w:color w:val="000000"/>
          <w:shd w:fill="FFFFFF" w:val="clear"/>
        </w:rPr>
        <w:t xml:space="preserve"> </w:t>
      </w:r>
      <w:r>
        <w:rPr>
          <w:rFonts w:ascii="Times New Roman;sans-serif" w:hAnsi="Times New Roman;sans-serif"/>
          <w:b w:val="false"/>
          <w:color w:val="000000"/>
          <w:sz w:val="20"/>
          <w:shd w:fill="FFFFFF" w:val="clear"/>
        </w:rPr>
        <w:t>sound worth and paying capacity of the obligor or of the collateral pledged, if any. Assets so classified have identified weaknesses and are characterized by the possibility that the Company may sustain some loss if deficiencies are not corrected.</w:t>
      </w:r>
    </w:p>
    <w:p>
      <w:pPr>
        <w:pStyle w:val="TextBody"/>
        <w:bidi w:val="0"/>
        <w:spacing w:lineRule="auto" w:line="288" w:before="200" w:after="283"/>
        <w:jc w:val="both"/>
        <w:rPr/>
      </w:pPr>
      <w:r>
        <w:rPr>
          <w:rFonts w:ascii="Times New Roman;sans-serif" w:hAnsi="Times New Roman;sans-serif"/>
          <w:b w:val="false"/>
          <w:i/>
          <w:color w:val="000000"/>
          <w:sz w:val="20"/>
          <w:shd w:fill="FFFFFF" w:val="clear"/>
        </w:rPr>
        <w:t xml:space="preserve">Not Rated </w:t>
      </w:r>
      <w:r>
        <w:rPr>
          <w:color w:val="000000"/>
          <w:shd w:fill="FFFFFF" w:val="clear"/>
        </w:rPr>
        <w:t xml:space="preserve">– </w:t>
      </w:r>
      <w:r>
        <w:rPr>
          <w:rFonts w:ascii="Times New Roman;sans-serif" w:hAnsi="Times New Roman;sans-serif"/>
          <w:b w:val="false"/>
          <w:color w:val="000000"/>
          <w:sz w:val="20"/>
          <w:shd w:fill="FFFFFF" w:val="clear"/>
        </w:rPr>
        <w:t>For certain Strategic Program and consumer loans,</w:t>
      </w:r>
      <w:r>
        <w:rPr>
          <w:color w:val="000000"/>
          <w:shd w:fill="FFFFFF" w:val="clear"/>
        </w:rPr>
        <w:t xml:space="preserve"> </w:t>
      </w:r>
      <w:r>
        <w:rPr>
          <w:rFonts w:ascii="Times New Roman;sans-serif" w:hAnsi="Times New Roman;sans-serif"/>
          <w:b w:val="false"/>
          <w:color w:val="000000"/>
          <w:sz w:val="20"/>
          <w:shd w:fill="FFFFFF" w:val="clear"/>
        </w:rPr>
        <w:t>the Company does not evaluate and risk rate the loans in the same manner as other loans in the Company’s portfolio. The Not Rated loans are typically homogenous, smaller dollar balances approved using abridged underwriting methods that allow the Company to streamline the loan approval process and increase efficiency</w:t>
      </w:r>
      <w:r>
        <w:rPr>
          <w:rFonts w:ascii="Calibri;sans-serif" w:hAnsi="Calibri;sans-serif"/>
          <w:b w:val="false"/>
          <w:color w:val="000000"/>
          <w:sz w:val="22"/>
        </w:rPr>
        <w:t>.</w:t>
      </w:r>
      <w:r>
        <w:rPr>
          <w:color w:val="000000"/>
        </w:rPr>
        <w:t xml:space="preserve"> </w:t>
      </w:r>
      <w:r>
        <w:rPr>
          <w:rFonts w:ascii="Times New Roman;sans-serif" w:hAnsi="Times New Roman;sans-serif"/>
          <w:b w:val="false"/>
          <w:color w:val="000000"/>
          <w:sz w:val="20"/>
        </w:rPr>
        <w:t xml:space="preserve">Credit quality for Strategic Program loans is highly correlated with delinquency levels. </w:t>
      </w:r>
    </w:p>
    <w:p>
      <w:pPr>
        <w:pStyle w:val="TextBody"/>
        <w:bidi w:val="0"/>
        <w:spacing w:lineRule="auto" w:line="288" w:before="200" w:after="283"/>
        <w:jc w:val="both"/>
        <w:rPr/>
      </w:pPr>
      <w:r>
        <w:rPr>
          <w:rFonts w:ascii="Times New Roman;sans-serif" w:hAnsi="Times New Roman;sans-serif"/>
          <w:b w:val="false"/>
          <w:color w:val="000000"/>
          <w:sz w:val="20"/>
        </w:rPr>
        <w:t xml:space="preserve">The following table presents the ending balances of the Company's loan and lease portfolio including non-performing loans by class of receivable and originating year and considering certain credit quality indicators as of the date indicated along with gross chargeoffs for the year ended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955"/>
        <w:gridCol w:w="729"/>
        <w:gridCol w:w="731"/>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27"/>
        <w:gridCol w:w="389"/>
        <w:gridCol w:w="109"/>
        <w:gridCol w:w="109"/>
        <w:gridCol w:w="109"/>
        <w:gridCol w:w="109"/>
        <w:gridCol w:w="384"/>
        <w:gridCol w:w="739"/>
        <w:gridCol w:w="200"/>
        <w:gridCol w:w="109"/>
        <w:gridCol w:w="109"/>
        <w:gridCol w:w="109"/>
        <w:gridCol w:w="211"/>
        <w:gridCol w:w="721"/>
        <w:gridCol w:w="157"/>
      </w:tblGrid>
      <w:tr>
        <w:trPr/>
        <w:tc>
          <w:tcPr>
            <w:tcW w:w="95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Revolving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Construction and land development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 xml:space="preserve">Total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Residential real estate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Watch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Mention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Substandard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51,428 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Residential real estate multifamily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43840"/>
                <wp:effectExtent l="0" t="0" r="0" b="0"/>
                <wp:wrapNone/>
                <wp:docPr id="98" name="Frame98"/>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98</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tbl>
      <w:tblPr>
        <w:tblW w:w="10205" w:type="dxa"/>
        <w:jc w:val="left"/>
        <w:tblInd w:w="0" w:type="dxa"/>
        <w:tblLayout w:type="fixed"/>
        <w:tblCellMar>
          <w:top w:w="28" w:type="dxa"/>
          <w:left w:w="28" w:type="dxa"/>
          <w:bottom w:w="28" w:type="dxa"/>
          <w:right w:w="28" w:type="dxa"/>
        </w:tblCellMar>
      </w:tblPr>
      <w:tblGrid>
        <w:gridCol w:w="1366"/>
        <w:gridCol w:w="1183"/>
        <w:gridCol w:w="1204"/>
        <w:gridCol w:w="360"/>
        <w:gridCol w:w="361"/>
        <w:gridCol w:w="109"/>
        <w:gridCol w:w="109"/>
        <w:gridCol w:w="109"/>
        <w:gridCol w:w="109"/>
        <w:gridCol w:w="360"/>
        <w:gridCol w:w="361"/>
        <w:gridCol w:w="109"/>
        <w:gridCol w:w="109"/>
        <w:gridCol w:w="109"/>
        <w:gridCol w:w="109"/>
        <w:gridCol w:w="357"/>
        <w:gridCol w:w="364"/>
        <w:gridCol w:w="109"/>
        <w:gridCol w:w="109"/>
        <w:gridCol w:w="109"/>
        <w:gridCol w:w="109"/>
        <w:gridCol w:w="358"/>
        <w:gridCol w:w="363"/>
        <w:gridCol w:w="109"/>
        <w:gridCol w:w="109"/>
        <w:gridCol w:w="109"/>
        <w:gridCol w:w="109"/>
        <w:gridCol w:w="203"/>
        <w:gridCol w:w="203"/>
        <w:gridCol w:w="109"/>
        <w:gridCol w:w="109"/>
        <w:gridCol w:w="109"/>
        <w:gridCol w:w="109"/>
        <w:gridCol w:w="412"/>
        <w:gridCol w:w="414"/>
        <w:gridCol w:w="156"/>
      </w:tblGrid>
      <w:tr>
        <w:trPr/>
        <w:tc>
          <w:tcPr>
            <w:tcW w:w="136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Commercial real estate owner occupied </w:t>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Total</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Commercial real estate non-owner occupied</w:t>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Watch</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Mention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Substandard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Commercial and industrial</w:t>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Consumer </w:t>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gross writeoff</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Commercial leases</w:t>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38,110 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Current-period gross writeoffs</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Retained Strategic Program loans</w:t>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Pass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Watch</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43840"/>
                <wp:effectExtent l="0" t="0" r="0" b="0"/>
                <wp:wrapNone/>
                <wp:docPr id="99" name="Frame99"/>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99</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tbl>
      <w:tblPr>
        <w:tblW w:w="10065" w:type="dxa"/>
        <w:jc w:val="left"/>
        <w:tblInd w:w="0" w:type="dxa"/>
        <w:tblLayout w:type="fixed"/>
        <w:tblCellMar>
          <w:top w:w="28" w:type="dxa"/>
          <w:left w:w="28" w:type="dxa"/>
          <w:bottom w:w="28" w:type="dxa"/>
          <w:right w:w="28" w:type="dxa"/>
        </w:tblCellMar>
      </w:tblPr>
      <w:tblGrid>
        <w:gridCol w:w="1157"/>
        <w:gridCol w:w="1017"/>
        <w:gridCol w:w="1021"/>
        <w:gridCol w:w="412"/>
        <w:gridCol w:w="414"/>
        <w:gridCol w:w="109"/>
        <w:gridCol w:w="109"/>
        <w:gridCol w:w="109"/>
        <w:gridCol w:w="109"/>
        <w:gridCol w:w="412"/>
        <w:gridCol w:w="414"/>
        <w:gridCol w:w="109"/>
        <w:gridCol w:w="109"/>
        <w:gridCol w:w="109"/>
        <w:gridCol w:w="109"/>
        <w:gridCol w:w="359"/>
        <w:gridCol w:w="362"/>
        <w:gridCol w:w="109"/>
        <w:gridCol w:w="109"/>
        <w:gridCol w:w="109"/>
        <w:gridCol w:w="109"/>
        <w:gridCol w:w="360"/>
        <w:gridCol w:w="361"/>
        <w:gridCol w:w="109"/>
        <w:gridCol w:w="109"/>
        <w:gridCol w:w="109"/>
        <w:gridCol w:w="109"/>
        <w:gridCol w:w="308"/>
        <w:gridCol w:w="308"/>
        <w:gridCol w:w="109"/>
        <w:gridCol w:w="109"/>
        <w:gridCol w:w="109"/>
        <w:gridCol w:w="109"/>
        <w:gridCol w:w="411"/>
        <w:gridCol w:w="415"/>
        <w:gridCol w:w="154"/>
      </w:tblGrid>
      <w:tr>
        <w:trPr/>
        <w:tc>
          <w:tcPr>
            <w:tcW w:w="115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Special Mention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Substandard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Not Rated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Current-period gross writeoffs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portfolio loans receivable, gross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372,215 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current-period gross writeoffs</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ending balances of the Company's loan and lease portfolio including non-performing loans by class of receivable and considering certain credit quality indicators as of the date indicated:</w:t>
      </w:r>
    </w:p>
    <w:tbl>
      <w:tblPr>
        <w:tblW w:w="8237" w:type="dxa"/>
        <w:jc w:val="left"/>
        <w:tblInd w:w="0" w:type="dxa"/>
        <w:tblLayout w:type="fixed"/>
        <w:tblCellMar>
          <w:top w:w="28" w:type="dxa"/>
          <w:left w:w="28" w:type="dxa"/>
          <w:bottom w:w="28" w:type="dxa"/>
          <w:right w:w="28" w:type="dxa"/>
        </w:tblCellMar>
      </w:tblPr>
      <w:tblGrid>
        <w:gridCol w:w="1020"/>
        <w:gridCol w:w="898"/>
        <w:gridCol w:w="901"/>
        <w:gridCol w:w="211"/>
        <w:gridCol w:w="826"/>
        <w:gridCol w:w="109"/>
        <w:gridCol w:w="109"/>
        <w:gridCol w:w="109"/>
        <w:gridCol w:w="109"/>
        <w:gridCol w:w="217"/>
        <w:gridCol w:w="480"/>
        <w:gridCol w:w="114"/>
        <w:gridCol w:w="109"/>
        <w:gridCol w:w="109"/>
        <w:gridCol w:w="109"/>
        <w:gridCol w:w="346"/>
        <w:gridCol w:w="764"/>
        <w:gridCol w:w="179"/>
        <w:gridCol w:w="109"/>
        <w:gridCol w:w="109"/>
        <w:gridCol w:w="109"/>
        <w:gridCol w:w="211"/>
        <w:gridCol w:w="826"/>
        <w:gridCol w:w="154"/>
      </w:tblGrid>
      <w:tr>
        <w:trPr/>
        <w:tc>
          <w:tcPr>
            <w:tcW w:w="102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Pass</w:t>
              <w:br/>
              <w:t>Grade 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Special</w:t>
              <w:br/>
              <w:t>Mention</w:t>
              <w:br/>
              <w:t>Grade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Classified/</w:t>
              <w:br/>
              <w:t>Doubtful/Loss</w:t>
              <w:br/>
              <w:t>Grade 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non-real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Risk Graded</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Strategic Program loans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211,319 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11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7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January 1, 2023 loan modifications to borrowers experiencing financial difficulty are required to be disclosed by type of modification and by type of loan. Prior accounting guidance classified loans which were modified as troubled debt restructurings ("TDRs") only if the modification reflected a concession from the lender in the form of a below market interest rate or other concession in addition to borrower financial difficulty. Under the new guidance (ASU 2022-02), loans with modifications made after January 1, 2023, will be reported under the new loan modification guidance whether a concession is made or not. As of January 1, 2023, the Company has ceased to recognize or measure new TDRs but those existing at December 31, 2022 will remain until settled.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year ended December 31, 2023 there was one material loan modification reportable under the new guidance. This loan was current as of December 31, 2023.</w:t>
      </w:r>
    </w:p>
    <w:tbl>
      <w:tblPr>
        <w:tblW w:w="7239" w:type="dxa"/>
        <w:jc w:val="left"/>
        <w:tblInd w:w="0" w:type="dxa"/>
        <w:tblLayout w:type="fixed"/>
        <w:tblCellMar>
          <w:top w:w="28" w:type="dxa"/>
          <w:left w:w="28" w:type="dxa"/>
          <w:bottom w:w="28" w:type="dxa"/>
          <w:right w:w="28" w:type="dxa"/>
        </w:tblCellMar>
      </w:tblPr>
      <w:tblGrid>
        <w:gridCol w:w="690"/>
        <w:gridCol w:w="606"/>
        <w:gridCol w:w="609"/>
        <w:gridCol w:w="109"/>
        <w:gridCol w:w="109"/>
        <w:gridCol w:w="109"/>
        <w:gridCol w:w="864"/>
        <w:gridCol w:w="864"/>
        <w:gridCol w:w="867"/>
        <w:gridCol w:w="164"/>
        <w:gridCol w:w="164"/>
        <w:gridCol w:w="164"/>
        <w:gridCol w:w="487"/>
        <w:gridCol w:w="1078"/>
        <w:gridCol w:w="355"/>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Principal deferment (Months)</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 Balance</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months</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3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43840"/>
                <wp:effectExtent l="0" t="0" r="0" b="0"/>
                <wp:wrapNone/>
                <wp:docPr id="100" name="Frame100"/>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100</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pPr>
      <w:r>
        <w:rPr>
          <w:rFonts w:ascii="Times New Roman;sans-serif" w:hAnsi="Times New Roman;sans-serif"/>
          <w:b w:val="false"/>
          <w:color w:val="000000"/>
          <w:sz w:val="20"/>
        </w:rPr>
        <w:t>Loans modified and recorded as TDR’s at December 31, 2022, c</w:t>
      </w:r>
      <w:r>
        <w:rPr>
          <w:rFonts w:ascii="Times New Roman;sans-serif" w:hAnsi="Times New Roman;sans-serif"/>
          <w:b w:val="false"/>
          <w:color w:val="000000"/>
          <w:sz w:val="20"/>
          <w:shd w:fill="FFFFFF" w:val="clear"/>
        </w:rPr>
        <w:t>onsist of the following:</w:t>
      </w:r>
    </w:p>
    <w:tbl>
      <w:tblPr>
        <w:tblW w:w="6401" w:type="dxa"/>
        <w:jc w:val="left"/>
        <w:tblInd w:w="0" w:type="dxa"/>
        <w:tblLayout w:type="fixed"/>
        <w:tblCellMar>
          <w:top w:w="28" w:type="dxa"/>
          <w:left w:w="28" w:type="dxa"/>
          <w:bottom w:w="28" w:type="dxa"/>
          <w:right w:w="28" w:type="dxa"/>
        </w:tblCellMar>
      </w:tblPr>
      <w:tblGrid>
        <w:gridCol w:w="858"/>
        <w:gridCol w:w="754"/>
        <w:gridCol w:w="757"/>
        <w:gridCol w:w="310"/>
        <w:gridCol w:w="310"/>
        <w:gridCol w:w="311"/>
        <w:gridCol w:w="109"/>
        <w:gridCol w:w="109"/>
        <w:gridCol w:w="109"/>
        <w:gridCol w:w="322"/>
        <w:gridCol w:w="712"/>
        <w:gridCol w:w="167"/>
        <w:gridCol w:w="109"/>
        <w:gridCol w:w="109"/>
        <w:gridCol w:w="109"/>
        <w:gridCol w:w="316"/>
        <w:gridCol w:w="698"/>
        <w:gridCol w:w="232"/>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w:t>
              <w:br/>
              <w:t>of</w:t>
              <w:br/>
              <w:t>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Pre-</w:t>
              <w:br/>
              <w:t>Modification</w:t>
              <w:br/>
              <w:t>Outstanding</w:t>
              <w:br/>
              <w:t>Recorded</w:t>
              <w:br/>
              <w:t>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Post-</w:t>
              <w:br/>
              <w:t>Modification</w:t>
              <w:br/>
              <w:t>Outstanding</w:t>
              <w:br/>
              <w:t>Recorded</w:t>
              <w:br/>
              <w:t>Investment</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at December 31, 2022</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val="false"/>
          <w:color w:val="000000"/>
          <w:sz w:val="20"/>
        </w:rPr>
        <w:t xml:space="preserve">The </w:t>
      </w:r>
      <w:r>
        <w:rPr>
          <w:rFonts w:ascii="Times New Roman;sans-serif" w:hAnsi="Times New Roman;sans-serif"/>
          <w:b w:val="false"/>
          <w:color w:val="000000"/>
          <w:sz w:val="20"/>
          <w:shd w:fill="FFFFFF" w:val="clear"/>
        </w:rPr>
        <w:t>amount</w:t>
      </w:r>
      <w:r>
        <w:rPr>
          <w:color w:val="000000"/>
        </w:rPr>
        <w:t xml:space="preserve"> </w:t>
      </w:r>
      <w:r>
        <w:rPr>
          <w:rFonts w:ascii="Times New Roman;sans-serif" w:hAnsi="Times New Roman;sans-serif"/>
          <w:b w:val="false"/>
          <w:color w:val="000000"/>
          <w:sz w:val="20"/>
        </w:rPr>
        <w:t>of SBA loans as of December 31, 2022 includes $0.3 million of SBA 7(a) loan balances that are guaranteed by the SBA.</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At December 31, 2022, there were no commitments to lend additional funds to debtors whose loan terms have been modified in a TDR. There was one principal charge-off recorded related to TDRs during the year ended December 31, 2022 for a </w:t>
      </w:r>
      <w:r>
        <w:rPr>
          <w:rFonts w:ascii="Times New Roman;sans-serif" w:hAnsi="Times New Roman;sans-serif"/>
          <w:b w:val="false"/>
          <w:i/>
          <w:color w:val="000000"/>
          <w:sz w:val="20"/>
          <w:shd w:fill="FFFFFF" w:val="clear"/>
        </w:rPr>
        <w:t>de minimis</w:t>
      </w:r>
      <w:r>
        <w:rPr>
          <w:color w:val="000000"/>
          <w:shd w:fill="FFFFFF" w:val="clear"/>
        </w:rPr>
        <w:t xml:space="preserve"> </w:t>
      </w:r>
      <w:r>
        <w:rPr>
          <w:rFonts w:ascii="Times New Roman;sans-serif" w:hAnsi="Times New Roman;sans-serif"/>
          <w:b w:val="false"/>
          <w:color w:val="000000"/>
          <w:sz w:val="20"/>
          <w:shd w:fill="FFFFFF" w:val="clear"/>
        </w:rPr>
        <w:t xml:space="preserve">amount. </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During the year ended December 31, 2022, there were no loan modifications to TDRs. Separately, one restructured loan incurred a default within 12 months of the restructure date during the year ended December 31, 2022. This same loan was paid in full with interest on June 2, 2022. </w:t>
      </w: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Collateral-Dependent Financial Loans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collateral-dependent financial loan relies substantially on the operation or sale of the collateral for repayment. In evaluating the overall risk associated with a loan, the Company considers (1) character, overall financial condition and resources, and payment record of the borrower; (2) the prospects for support from any financially responsible guarantors; and (3) the nature and degree of protection provided by the cash flow and value of any underlying collateral. The loan may become collateral-dependent when foreclosure is probable or the borrower is experiencing financial difficulty and its sources of repayment become inadequate over time. At such time, the Company develops an expectation that repayment will be provided substantially through the operation or sale of the collateral.</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tables present the allowance for credit losses and the amortized cost basis of collateral-dependent loans by class of loans as of the dates indicated:</w:t>
      </w:r>
    </w:p>
    <w:tbl>
      <w:tblPr>
        <w:tblW w:w="10205" w:type="dxa"/>
        <w:jc w:val="left"/>
        <w:tblInd w:w="0" w:type="dxa"/>
        <w:tblLayout w:type="fixed"/>
        <w:tblCellMar>
          <w:top w:w="28" w:type="dxa"/>
          <w:left w:w="28" w:type="dxa"/>
          <w:bottom w:w="28" w:type="dxa"/>
          <w:right w:w="28" w:type="dxa"/>
        </w:tblCellMar>
      </w:tblPr>
      <w:tblGrid>
        <w:gridCol w:w="1088"/>
        <w:gridCol w:w="951"/>
        <w:gridCol w:w="955"/>
        <w:gridCol w:w="707"/>
        <w:gridCol w:w="1362"/>
        <w:gridCol w:w="366"/>
        <w:gridCol w:w="109"/>
        <w:gridCol w:w="109"/>
        <w:gridCol w:w="109"/>
        <w:gridCol w:w="215"/>
        <w:gridCol w:w="737"/>
        <w:gridCol w:w="110"/>
        <w:gridCol w:w="109"/>
        <w:gridCol w:w="109"/>
        <w:gridCol w:w="109"/>
        <w:gridCol w:w="439"/>
        <w:gridCol w:w="973"/>
        <w:gridCol w:w="230"/>
        <w:gridCol w:w="109"/>
        <w:gridCol w:w="109"/>
        <w:gridCol w:w="109"/>
        <w:gridCol w:w="211"/>
        <w:gridCol w:w="721"/>
        <w:gridCol w:w="159"/>
      </w:tblGrid>
      <w:tr>
        <w:trPr/>
        <w:tc>
          <w:tcPr>
            <w:tcW w:w="1088"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2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Collateral Type</w:t>
            </w:r>
          </w:p>
        </w:tc>
      </w:tr>
      <w:tr>
        <w:trPr/>
        <w:tc>
          <w:tcPr>
            <w:tcW w:w="29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2023</w:t>
            </w:r>
          </w:p>
        </w:tc>
        <w:tc>
          <w:tcPr>
            <w:tcW w:w="2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Personal Property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and land development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real estate</w:t>
            </w:r>
          </w:p>
        </w:tc>
        <w:tc>
          <w:tcPr>
            <w:tcW w:w="2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2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 occupied</w:t>
            </w:r>
          </w:p>
        </w:tc>
        <w:tc>
          <w:tcPr>
            <w:tcW w:w="2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Non-owner occupied</w:t>
            </w:r>
          </w:p>
        </w:tc>
        <w:tc>
          <w:tcPr>
            <w:tcW w:w="2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and industrial</w:t>
            </w:r>
          </w:p>
        </w:tc>
        <w:tc>
          <w:tcPr>
            <w:tcW w:w="2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26,205 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26,487 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amount of collateral-dependent SBA loans as of December 31, 2023 include $15.0 million of SBA 7(a) loan balances that are guaranteed by the SBA.</w:t>
      </w:r>
    </w:p>
    <w:tbl>
      <w:tblPr>
        <w:tblW w:w="6896" w:type="dxa"/>
        <w:jc w:val="left"/>
        <w:tblInd w:w="0" w:type="dxa"/>
        <w:tblLayout w:type="fixed"/>
        <w:tblCellMar>
          <w:top w:w="28" w:type="dxa"/>
          <w:left w:w="28" w:type="dxa"/>
          <w:bottom w:w="28" w:type="dxa"/>
          <w:right w:w="28" w:type="dxa"/>
        </w:tblCellMar>
      </w:tblPr>
      <w:tblGrid>
        <w:gridCol w:w="798"/>
        <w:gridCol w:w="702"/>
        <w:gridCol w:w="705"/>
        <w:gridCol w:w="109"/>
        <w:gridCol w:w="109"/>
        <w:gridCol w:w="109"/>
        <w:gridCol w:w="240"/>
        <w:gridCol w:w="701"/>
        <w:gridCol w:w="124"/>
        <w:gridCol w:w="109"/>
        <w:gridCol w:w="109"/>
        <w:gridCol w:w="109"/>
        <w:gridCol w:w="483"/>
        <w:gridCol w:w="931"/>
        <w:gridCol w:w="250"/>
        <w:gridCol w:w="109"/>
        <w:gridCol w:w="109"/>
        <w:gridCol w:w="109"/>
        <w:gridCol w:w="211"/>
        <w:gridCol w:w="616"/>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Collateral Type</w:t>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 of 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Personal Property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real estate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43840"/>
                <wp:effectExtent l="0" t="0" r="0" b="0"/>
                <wp:wrapNone/>
                <wp:docPr id="101" name="Frame101"/>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amount of collateral-dependent SBA loans as of December 31, 2022 include $1.1 million of SBA 7(a) loan balances that are guaranteed by the SBA.</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4 – Premises and Equipment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Premises and equipment at December 31, 2023 and 2022, consist of the following:</w:t>
      </w:r>
    </w:p>
    <w:tbl>
      <w:tblPr>
        <w:tblW w:w="5753" w:type="dxa"/>
        <w:jc w:val="left"/>
        <w:tblInd w:w="0" w:type="dxa"/>
        <w:tblLayout w:type="fixed"/>
        <w:tblCellMar>
          <w:top w:w="28" w:type="dxa"/>
          <w:left w:w="28" w:type="dxa"/>
          <w:bottom w:w="28" w:type="dxa"/>
          <w:right w:w="28" w:type="dxa"/>
        </w:tblCellMar>
      </w:tblPr>
      <w:tblGrid>
        <w:gridCol w:w="1193"/>
        <w:gridCol w:w="1049"/>
        <w:gridCol w:w="1057"/>
        <w:gridCol w:w="211"/>
        <w:gridCol w:w="721"/>
        <w:gridCol w:w="109"/>
        <w:gridCol w:w="109"/>
        <w:gridCol w:w="109"/>
        <w:gridCol w:w="109"/>
        <w:gridCol w:w="211"/>
        <w:gridCol w:w="721"/>
        <w:gridCol w:w="154"/>
      </w:tblGrid>
      <w:tr>
        <w:trPr/>
        <w:tc>
          <w:tcPr>
            <w:tcW w:w="1193"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operating lease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Furniture, fixtures, and equipment </w:t>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premises and equipment</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Premises and equipment, net</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Commercial Operating Leases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book value of the operating leases as of December 31, 2023 and December 31, 2022 was $8.2 million and $2.7 million. Rental income from operating leases for the years ended December 31, 2023 and 2022 was $1.3 million and $0.2 million, respectively. Depreciation expense for the related premises and equipment was $1.0 million and $0.2 million for the years ended December 31, 2023 and 2022, respectively.</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Lease Liabilities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its facilities under noncancelable operating leases. Rent expense for the years ended December 31, 2023 and 2022 was $0.9 million and $1.1 million, respectively. Future minimum annual undiscounted rental payments for these operating leases are as follows ($ in thousands):</w:t>
      </w:r>
    </w:p>
    <w:tbl>
      <w:tblPr>
        <w:tblW w:w="3665" w:type="dxa"/>
        <w:jc w:val="left"/>
        <w:tblInd w:w="0" w:type="dxa"/>
        <w:tblLayout w:type="fixed"/>
        <w:tblCellMar>
          <w:top w:w="28" w:type="dxa"/>
          <w:left w:w="28" w:type="dxa"/>
          <w:bottom w:w="28" w:type="dxa"/>
          <w:right w:w="28" w:type="dxa"/>
        </w:tblCellMar>
      </w:tblPr>
      <w:tblGrid>
        <w:gridCol w:w="972"/>
        <w:gridCol w:w="853"/>
        <w:gridCol w:w="859"/>
        <w:gridCol w:w="211"/>
        <w:gridCol w:w="616"/>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present value discount</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entered into one lease during the year ended December 31, 2022 to provide additional space while the Murray office construction was completed. ASC 842 does not apply due to the short-term period of this lease and immateriality. The tables below present information regarding the Company’s lease assets and liabilities. </w:t>
      </w:r>
    </w:p>
    <w:tbl>
      <w:tblPr>
        <w:tblW w:w="8126" w:type="dxa"/>
        <w:jc w:val="left"/>
        <w:tblInd w:w="0" w:type="dxa"/>
        <w:tblLayout w:type="fixed"/>
        <w:tblCellMar>
          <w:top w:w="28" w:type="dxa"/>
          <w:left w:w="28" w:type="dxa"/>
          <w:bottom w:w="28" w:type="dxa"/>
          <w:right w:w="28" w:type="dxa"/>
        </w:tblCellMar>
      </w:tblPr>
      <w:tblGrid>
        <w:gridCol w:w="2038"/>
        <w:gridCol w:w="1790"/>
        <w:gridCol w:w="1797"/>
        <w:gridCol w:w="232"/>
        <w:gridCol w:w="196"/>
        <w:gridCol w:w="488"/>
        <w:gridCol w:w="196"/>
        <w:gridCol w:w="196"/>
        <w:gridCol w:w="196"/>
        <w:gridCol w:w="232"/>
        <w:gridCol w:w="196"/>
        <w:gridCol w:w="569"/>
      </w:tblGrid>
      <w:tr>
        <w:trPr/>
        <w:tc>
          <w:tcPr>
            <w:tcW w:w="2038"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 operating leases (in years)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5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r>
      <w:tr>
        <w:trPr/>
        <w:tc>
          <w:tcPr>
            <w:tcW w:w="56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operating leases</w:t>
            </w:r>
          </w:p>
        </w:tc>
        <w:tc>
          <w:tcPr>
            <w:tcW w:w="4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8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56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243840"/>
                <wp:effectExtent l="0" t="0" r="0" b="0"/>
                <wp:wrapNone/>
                <wp:docPr id="102" name="Frame102"/>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102</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 were as follows (in thousands):</w:t>
      </w:r>
    </w:p>
    <w:tbl>
      <w:tblPr>
        <w:tblW w:w="8240" w:type="dxa"/>
        <w:jc w:val="left"/>
        <w:tblInd w:w="0" w:type="dxa"/>
        <w:tblLayout w:type="fixed"/>
        <w:tblCellMar>
          <w:top w:w="28" w:type="dxa"/>
          <w:left w:w="28" w:type="dxa"/>
          <w:bottom w:w="28" w:type="dxa"/>
          <w:right w:w="28" w:type="dxa"/>
        </w:tblCellMar>
      </w:tblPr>
      <w:tblGrid>
        <w:gridCol w:w="2104"/>
        <w:gridCol w:w="1851"/>
        <w:gridCol w:w="1864"/>
        <w:gridCol w:w="109"/>
        <w:gridCol w:w="109"/>
        <w:gridCol w:w="109"/>
        <w:gridCol w:w="211"/>
        <w:gridCol w:w="466"/>
        <w:gridCol w:w="109"/>
        <w:gridCol w:w="109"/>
        <w:gridCol w:w="109"/>
        <w:gridCol w:w="109"/>
        <w:gridCol w:w="211"/>
        <w:gridCol w:w="616"/>
        <w:gridCol w:w="154"/>
      </w:tblGrid>
      <w:tr>
        <w:trPr/>
        <w:tc>
          <w:tcPr>
            <w:tcW w:w="2104"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w:t>
              <w:br/>
              <w:t>December 31,</w:t>
            </w:r>
          </w:p>
        </w:tc>
      </w:tr>
      <w:tr>
        <w:trPr/>
        <w:tc>
          <w:tcPr>
            <w:tcW w:w="5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were as follows (in thousands):</w:t>
      </w:r>
    </w:p>
    <w:tbl>
      <w:tblPr>
        <w:tblW w:w="4911" w:type="dxa"/>
        <w:jc w:val="left"/>
        <w:tblInd w:w="0" w:type="dxa"/>
        <w:tblLayout w:type="fixed"/>
        <w:tblCellMar>
          <w:top w:w="28" w:type="dxa"/>
          <w:left w:w="28" w:type="dxa"/>
          <w:bottom w:w="28" w:type="dxa"/>
          <w:right w:w="28" w:type="dxa"/>
        </w:tblCellMar>
      </w:tblPr>
      <w:tblGrid>
        <w:gridCol w:w="902"/>
        <w:gridCol w:w="792"/>
        <w:gridCol w:w="796"/>
        <w:gridCol w:w="109"/>
        <w:gridCol w:w="109"/>
        <w:gridCol w:w="109"/>
        <w:gridCol w:w="211"/>
        <w:gridCol w:w="466"/>
        <w:gridCol w:w="109"/>
        <w:gridCol w:w="109"/>
        <w:gridCol w:w="109"/>
        <w:gridCol w:w="109"/>
        <w:gridCol w:w="211"/>
        <w:gridCol w:w="616"/>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w:t>
              <w:br/>
              <w:t>December 31,</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rent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5 – Deposits</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Major classes of deposits are as follows:</w:t>
      </w:r>
    </w:p>
    <w:tbl>
      <w:tblPr>
        <w:tblW w:w="4989" w:type="dxa"/>
        <w:jc w:val="left"/>
        <w:tblInd w:w="0" w:type="dxa"/>
        <w:tblLayout w:type="fixed"/>
        <w:tblCellMar>
          <w:top w:w="28" w:type="dxa"/>
          <w:left w:w="28" w:type="dxa"/>
          <w:bottom w:w="28" w:type="dxa"/>
          <w:right w:w="28" w:type="dxa"/>
        </w:tblCellMar>
      </w:tblPr>
      <w:tblGrid>
        <w:gridCol w:w="842"/>
        <w:gridCol w:w="740"/>
        <w:gridCol w:w="743"/>
        <w:gridCol w:w="211"/>
        <w:gridCol w:w="826"/>
        <w:gridCol w:w="109"/>
        <w:gridCol w:w="109"/>
        <w:gridCol w:w="109"/>
        <w:gridCol w:w="109"/>
        <w:gridCol w:w="211"/>
        <w:gridCol w:w="826"/>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Demand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amount that exceed the $250 thousand insurance limit of time deposits at December 31, 2023 and 2022 were $2.0 million and $1.7 million, respectively.</w:t>
      </w:r>
    </w:p>
    <w:p>
      <w:pPr>
        <w:pStyle w:val="TextBody"/>
        <w:bidi w:val="0"/>
        <w:spacing w:lineRule="auto" w:line="288" w:before="200" w:after="283"/>
        <w:jc w:val="left"/>
        <w:rPr/>
      </w:pPr>
      <w:r>
        <w:rPr>
          <w:rFonts w:ascii="Times New Roman;sans-serif" w:hAnsi="Times New Roman;sans-serif"/>
          <w:b w:val="false"/>
          <w:color w:val="000000"/>
          <w:sz w:val="20"/>
          <w:shd w:fill="FFFFFF" w:val="clear"/>
        </w:rPr>
        <w:t xml:space="preserve">At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the scheduled maturities of time deposits are as follows ($ in thousands):</w:t>
      </w:r>
    </w:p>
    <w:tbl>
      <w:tblPr>
        <w:tblW w:w="3875" w:type="dxa"/>
        <w:jc w:val="left"/>
        <w:tblInd w:w="0" w:type="dxa"/>
        <w:tblLayout w:type="fixed"/>
        <w:tblCellMar>
          <w:top w:w="28" w:type="dxa"/>
          <w:left w:w="28" w:type="dxa"/>
          <w:bottom w:w="28" w:type="dxa"/>
          <w:right w:w="28" w:type="dxa"/>
        </w:tblCellMar>
      </w:tblPr>
      <w:tblGrid>
        <w:gridCol w:w="972"/>
        <w:gridCol w:w="853"/>
        <w:gridCol w:w="859"/>
        <w:gridCol w:w="211"/>
        <w:gridCol w:w="826"/>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243840"/>
                <wp:effectExtent l="0" t="0" r="0" b="0"/>
                <wp:wrapNone/>
                <wp:docPr id="103" name="Frame103"/>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103</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Note 6 – SBA Servicing Asset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sells portions of SBA loans and retains rights to service the loans. Loans serviced for others are not included in the accompanying balance sheet. The unpaid principal balances of SBA loans serviced for others was $253.2 million and $318.6 million at December 31, 2023 and 2022, respectively.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SBA servicing asset activity for the periods indicated:</w:t>
      </w:r>
    </w:p>
    <w:tbl>
      <w:tblPr>
        <w:tblW w:w="6426" w:type="dxa"/>
        <w:jc w:val="left"/>
        <w:tblInd w:w="0" w:type="dxa"/>
        <w:tblLayout w:type="fixed"/>
        <w:tblCellMar>
          <w:top w:w="28" w:type="dxa"/>
          <w:left w:w="28" w:type="dxa"/>
          <w:bottom w:w="28" w:type="dxa"/>
          <w:right w:w="28" w:type="dxa"/>
        </w:tblCellMar>
      </w:tblPr>
      <w:tblGrid>
        <w:gridCol w:w="1396"/>
        <w:gridCol w:w="1227"/>
        <w:gridCol w:w="1232"/>
        <w:gridCol w:w="109"/>
        <w:gridCol w:w="109"/>
        <w:gridCol w:w="109"/>
        <w:gridCol w:w="211"/>
        <w:gridCol w:w="616"/>
        <w:gridCol w:w="109"/>
        <w:gridCol w:w="109"/>
        <w:gridCol w:w="109"/>
        <w:gridCol w:w="109"/>
        <w:gridCol w:w="211"/>
        <w:gridCol w:w="616"/>
        <w:gridCol w:w="154"/>
      </w:tblGrid>
      <w:tr>
        <w:trPr/>
        <w:tc>
          <w:tcPr>
            <w:tcW w:w="139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w:t>
              <w:br/>
              <w:t>December 31,</w:t>
            </w:r>
          </w:p>
        </w:tc>
      </w:tr>
      <w:tr>
        <w:trPr/>
        <w:tc>
          <w:tcPr>
            <w:tcW w:w="38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servicing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Recovery (impairment) of SBA servicing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servicing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market value of the SBA servicing asset as of December 31, 2023 and December 31, 2022, was $4.2 million and $5.2 million, respectively. Recovery or impairment adjustments to servicing rights are mainly due to market-based assumptions associated with discounted cash flows, loan prepayment speeds, and changes in interest rates. A significant change in prepayments of the loans in the servicing portfolio could result in significant changes in the valuation adjustments, thus creating potential volatility in the carrying amount of servicing rights.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assumed a weighted average prepayment rate of 18.2%, weighted average term of 3.72 years, and a weighted average discount rate of 15.4% at December 31, 2023.</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assumed a weighted average prepayment rate of 14.2%, weighted average term of 4.45 years, and a weighted average discount rate of 18.8% at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7 – Capital Requirements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Bank is subject to various regulatory capital requirements administered by federal and State of Utah banking agencies (the regulators). Failure to meet minimum capital requirements can initiate certain mandatory, and possibly additional discretionary, actions by regulators that, if undertaken, could have a direct material effect on the Bank’s financial statements. Under capital adequacy guidelines and the regulatory framework for prompt corrective action, the Bank must meet specific capital guidelines that involve quantitative measures of the Bank’s assets, liabilities, and certain off -balance-sheet items as calculated under regulatory accounting practices. The Bank’s capital amounts and classification are also subject to qualitative judgments by the regulators about components, risk -weighting, and other factors. Prompt corrective action provisions are not applicable to the bank holding company.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Beginning January 1, 2020, the Bank qualified and elected to use the community bank leverage ratio (CBLR) framework for quantitative measures which requires the Bank to maintain minimum amounts and ratios of Tier 1 capital to average total consolidated assets. Management believes, as of December 31, 2023 and December 31, 2022, that the Bank meets all capital adequacy requirements to which it is subject.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December 31, 2022, the most recent notification from the FDIC categorized the Bank as well-capitalized under the regulatory framework for prompt corrective action (there are no conditions or events since that notification that management believes have changed the Bank’s category). The following table sets forth the actual capital amounts and ratios for the Bank and the minimum ratio and amount of capital required to be categorized as well-capitalized and adequately capitalized as of the dates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243840"/>
                <wp:effectExtent l="0" t="0" r="0" b="0"/>
                <wp:wrapNone/>
                <wp:docPr id="104" name="Frame104"/>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104</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Bank’s actual capital amounts and ratios are presented in the following table:</w:t>
      </w:r>
    </w:p>
    <w:tbl>
      <w:tblPr>
        <w:tblW w:w="7503" w:type="dxa"/>
        <w:jc w:val="left"/>
        <w:tblInd w:w="0" w:type="dxa"/>
        <w:tblLayout w:type="fixed"/>
        <w:tblCellMar>
          <w:top w:w="28" w:type="dxa"/>
          <w:left w:w="28" w:type="dxa"/>
          <w:bottom w:w="28" w:type="dxa"/>
          <w:right w:w="28" w:type="dxa"/>
        </w:tblCellMar>
      </w:tblPr>
      <w:tblGrid>
        <w:gridCol w:w="972"/>
        <w:gridCol w:w="855"/>
        <w:gridCol w:w="858"/>
        <w:gridCol w:w="211"/>
        <w:gridCol w:w="826"/>
        <w:gridCol w:w="109"/>
        <w:gridCol w:w="109"/>
        <w:gridCol w:w="109"/>
        <w:gridCol w:w="109"/>
        <w:gridCol w:w="255"/>
        <w:gridCol w:w="256"/>
        <w:gridCol w:w="341"/>
        <w:gridCol w:w="109"/>
        <w:gridCol w:w="109"/>
        <w:gridCol w:w="109"/>
        <w:gridCol w:w="211"/>
        <w:gridCol w:w="721"/>
        <w:gridCol w:w="109"/>
        <w:gridCol w:w="109"/>
        <w:gridCol w:w="109"/>
        <w:gridCol w:w="109"/>
        <w:gridCol w:w="203"/>
        <w:gridCol w:w="203"/>
        <w:gridCol w:w="392"/>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Actual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Well-Capitalized</w:t>
              <w:br/>
              <w:t xml:space="preserve">Requirement </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Ratio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Ratio </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Leverage ratio (CBLR election)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3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3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Leverage ratio (CBLR election)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3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39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Federal Reserve Board Regulations require maintenance of certain minimum reserve balances based on certain average deposits. The Bank had no reserve requirements as of December 31, 2023 and December 31, 2022.</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Reserve’s policy statement and supervisory guidance on the payment of cash dividends by a Bank Holding Company (“BHC”), such as FinWise Bancorp, expresses the view that a BHC should generally pay cash dividends on common stock only to the extent that (1) the BHC’s net income available over the past year is sufficient to cover the cash dividend, (2) the rate of earnings retention is consistent with the organization’s expected future needs and financial condition, and (3) the minimum regulatory capital adequacy ratios are met. Should an insured depository institution controlled by a bank holding company be “significantly undercapitalized” under the applicable federal bank capital ratios, or if the bank subsidiary is “undercapitalized” and has failed to submit an acceptable capital restoration plan or has materially failed to implement such a plan, federal banking regulators (in the case of the Bank, the FDIC) may choose to require prior Federal Reserve approval for any capital distribution by the BHC.</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since FinWise Bancorp is a legal entity separate and distinct from the Bank and does not conduct stand-alone operations, an ability to pay dividends depends on the ability of the Bank to pay dividends to FinWise Bancorp and the FDIC and the Utah Department of Financial Institutions (“UDFI”) may, under certain circumstances, prohibit the payment of dividends to FinWise Bancorp from the Bank. Utah corporate law also requires that dividends can only be paid out of funds legally available.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not paid any cash dividends on its common stock since inception and it currently has no plans to pay cash dividends in the foreseeable future. However, the Company’s Board of Directors may declare a cash or stock dividend out of retained earnings provided the regulatory minimum capital ratios are met. The Company plans to maintain capital ratios that meet the well-capitalized standards per the regulations and, therefore, would limit dividends to amounts that are appropriate to maintain those well-capitalized regulatory capital ratios.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8 – Commitments and Contingent Liabilities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Federal Home Loan Bank Secured Line of Credit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December 31, 2022, the Bank’s available line of credit with the FHLB to borrow in overnight funds was $30.5 million and $2.6 million, respectively. All borrowings are short-term and the interest rate is equal to the correspondent bank’s daily federal funds purchase rate. As of December 31, 2023 and December 31, 2022, no amounts were outstanding under the line of credit. Loans totaling $46.9 million and $4.0 million were pledged to secure the FHLB line of credit as of December 31, 2023 and December 31, 2022, respectively.</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Lines of Credit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and December 31, 2022, the Bank had the ability to access $11.4 million and $10.6 million from the Federal Reserve Bank’s Discount Window on a collateralized basis. At December 31, 2023, the Bank had the ability to access $0.8 million from the Federal Reserve Bank’s Bank Term Funding Program on a collateralized basis. Through Zions Bank, the Bank had an available unsecured line available of $5.0 million and $1.0 million at December 31, 2023 and December 31, 2022. The Bank had an available line of credit with Bankers’ Bank of the West to borrow up to $1.1 million in overnight funds at December 31, 2023 and December 31, 2022. The Bank had no outstanding balances on such unsecured or secured lines of credit as of December 31, 2023 and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243840"/>
                <wp:effectExtent l="0" t="0" r="0" b="0"/>
                <wp:wrapNone/>
                <wp:docPr id="105" name="Frame105"/>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105</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Paycheck Protection Program Liquidity Facility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20, 2020, the Bank was approved by the Federal Reserve to access its SBA Paycheck Protection Program Liquidity Facility (“PPPLF”) through the discount window. The PPPLF enables the Company to fund Paycheck Protection Program ("PPP") loans without taking on additional liquidity or funding risks because the Company is able to pledge PPP loans as collateral to secure extensions of credit under the PPPLF on a non-recourse basis. Borrowings under the PPPLF have a fixed-rate of 0.35%, with a term that matches the underlying loans. The Bank pledged $0.2 million of PPP loans as eligible collateral under the PPPLF borrowing arrangement at December 31, 2023. The Bank pledged $0.3 million of PPP loans as eligible collateral under the PPPLF borrowing arrangement at December 31, 2022. The average outstanding borrowings were $0.3 million during the year ended December 31, 2023 and $0.6 million during the year ended December 31, 2022.</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Commitments to Extend Credit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Bank has entered into commitments to extend credit to customers which have not yet been exercised. These financial instruments include commitments to extend credit in the form of loans. Those instruments involve to varying degrees, elements of credit and interest rate risk in excess of the amount recognized in the balance sheets.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2023 and December 31, 2022, financial instruments with off-balance-sheet risk were as follows:</w:t>
      </w:r>
    </w:p>
    <w:tbl>
      <w:tblPr>
        <w:tblW w:w="5892" w:type="dxa"/>
        <w:jc w:val="left"/>
        <w:tblInd w:w="0" w:type="dxa"/>
        <w:tblLayout w:type="fixed"/>
        <w:tblCellMar>
          <w:top w:w="28" w:type="dxa"/>
          <w:left w:w="28" w:type="dxa"/>
          <w:bottom w:w="28" w:type="dxa"/>
          <w:right w:w="28" w:type="dxa"/>
        </w:tblCellMar>
      </w:tblPr>
      <w:tblGrid>
        <w:gridCol w:w="1086"/>
        <w:gridCol w:w="955"/>
        <w:gridCol w:w="959"/>
        <w:gridCol w:w="255"/>
        <w:gridCol w:w="873"/>
        <w:gridCol w:w="132"/>
        <w:gridCol w:w="109"/>
        <w:gridCol w:w="109"/>
        <w:gridCol w:w="109"/>
        <w:gridCol w:w="253"/>
        <w:gridCol w:w="867"/>
        <w:gridCol w:w="185"/>
      </w:tblGrid>
      <w:tr>
        <w:trPr/>
        <w:tc>
          <w:tcPr>
            <w:tcW w:w="108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2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open-end lines of credit</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real estate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unused commitments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19,775 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19,822 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Allowance for Credit Losses on Unfunded Commitments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expected credit losses over the contractual period in which the Company is exposed to credit risk via a contractual obligation to extend credit, unless that obligation is unconditionally cancelable by the Company. The allowance for credit losses on unfunded commitments is included in other liabilities on the consolidated balance sheets and is adjusted through a charge to provision for credit loss expense on the consolidated statements of income. The allowance for credit losses on unfunded commitments estimate includes consideration of the likelihood that funding will occur and an estimate of expected credit losses on commitments expected to be funded over its estimated life. The allowance for credit losses on unfunded commitments was $0.1 million as of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9 – Investment in Business Funding Group, LLC</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31, 2019, the Company purchased from certain members of BFG a 10% membership interest in exchange for an aggregate of 950,784 shares of par value $0.001 Common Stock of the Company. The exchange was accounted for at fair value based on the fair value of the Company’s shares of approximately $3.5 million.</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10% membership interests of BFG are comprised of Class A Voting Units representing 4.7% of the aggregate membership interests of BFG and Class B Non-Voting Units representing 5.3% of the aggregate membership interests of BFG. The other existing members of BFG jointly own the remaining 90% of the outstanding membership interests, on a fully-diluted basis – all of which membership interests are Class A Voting Units. Based on the Company’s accounting policy with respect to investments in limited liability companies, the Company concluded that its level of ownership was indicative of significant influence and, as a result, the investment would be accounted for using the equity method. However, the Company elected the fair value option for its investment due to cost-benefit considerations. The Company received distributions from BFG in the amounts of $0.7 million and $0.5 million for the year ended December 31, 2023 and 2022, respectively. These distributions were recorded in the Consolidated Income Statement as non-interest income.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31, 2020, the Company entered into an agreement with BFG whereby the Company has the right of first refusal to purchase additional interests in BFG from any selling members. Additionally, the Company was granted an option to purchase all, but not less than all, of the interests in BFG from the remaining members for an earnings multiple between 10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243840"/>
                <wp:effectExtent l="0" t="0" r="0" b="0"/>
                <wp:wrapNone/>
                <wp:docPr id="106" name="Frame106"/>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106</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times and 15 times net profit based on the fiscal year ended immediately prior to the exercise of the option. The option period begins on January 1, 2021 and expires on January 1, 2028. In consideration of granting the first right of refusal and the option, BFG members received 270,000 warrants in the aggregate. The warrants have an exercise price of $6.67 per share and the warrants expire on March 31, 2028. The warrants are free-standing equity instruments and, as a result, are classified within equity at the fair value on the issuance date. The fair value of the warrants was determined by our board of directors with input from management, relying in part upon valuation reports prepared by a third-party valuation firm using a Black-Scholes option pricing model adjusted for a lack of marketability since the Company’s stock was not publicly traded at that time. The resulting fair value of the warrants was $0.19 per share.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July 25, 2023, the Company entered into a Membership Purchase Agreement, as amended (the "Purchase Agreement") with BFG and four members of BFG ("Sellers"). Pursuant to the Purchase Agreement, the Company acquired an additional 10% non-voting ownership interest in BFG (the "Transaction"). On February 5, 2024, the Transaction was consummated and the Company issued in the aggregate 339,176 shares of Common Stock of the Company, par value $0.001 per share, in a private placement to the Sellers in exchange for their 10% aggregate non-voting ownership interest in BFG. When combined with the Company’s existing 5.3% non-voting ownership interest in BFG and, the Company's existing 4.7% voting ownership interest, the Company has a 20% ownership interest in BFG, comprising a 4.7% voting ownership interest and a 15.3% non-voting ownership interest.</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further discussion on the Company’s investment in BFG, see Note 13 Related Parties and Note 19 Subsequent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10 – Stock-Based Compensation</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Stock option plans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utilizes stock-based compensation plans, as well as discretionary grants, for employees, directors and consultants to attract and retain the best available personnel for positions of substantial responsibility, to provide additional incentives and to promote the success of the Company’s business.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2019 Stock Option Plan (“2019 Plan”) was adopted on June 20, 2019 following approval by the Company’s Board of Directors and shareholders. The 2019 Plan provides for the issuance of non-statutory stock options and restricted stock to employees, directors and consultants. The 2019 Plan also provides for the issuance of incentive stock options only to employees. The 2019 Plan, as amended, authorizes the issuance of 1,280,000 common shares. The 2019 Plan will terminate as to future awards 10 years from the later of the effective date or the earlier of the most recent Board or stockholder approval of an increase in the number of shares reserved for issuance under the 2019 Plan. At December 31, 2023, 333,853 shares are available for future issuance.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2016 Stock Option Plan (“2016 Plan”) was adopted on April 20, 2017 following approval by the Company’s Board of Directors and shareholders. The 2016 Plan provides for the issuance of non-statutory stock options and restricted stock to employees, directors and consultants. The 2016 Plan also provides for the issuance of incentive stock options only to employees. The 2016 Plan authorizes the issuance of 299,628 common shares. The 2016 Plan will terminate as to future awards 10 years from the later of the effective date or the earlier of the most recent Board or stockholder approval of an increase in the number of shares reserved for issuance under the 2016 Plan. At December 31, 2023, 2,189 shares under 2016 Plan are available for future issuance.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stock-based incentive awards for both the 2019 Plan and the 2016 Plan (collectively, the “Plans”) are granted at an exercise price not less than the fair market value of the shares on the date of grant in the case of options or based on the fair market value of the stock at the grant date, in the case of restricted stock. Vesting of the options vary by employee or director and can have a term no more than 10 years, with the options generally having vesting periods ranging from 1 to 5 years. No shares had been granted under the 2016 Plan prior to 2018.</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both Plans, if an award expires or becomes un-exercisable without having been exercised in full, or is surrendered pursuant to an exchange program, the unpurchased shares that were subject thereto shall become available for future grant or sale under the Plans. However, shares that have actually been issued under the Plans, upon exercise of an award, shall not be returned to the Plans and shall not become available for future distribution under the Plans, except that if unvested shares of restricted stock are repurchased by the Company at their original purchase price, such shares shall become available for future grant under the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243840"/>
                <wp:effectExtent l="0" t="0" r="0" b="0"/>
                <wp:wrapNone/>
                <wp:docPr id="107" name="Frame107"/>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107</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stock option activity for the years ended December 31, 2023 and 2022:</w:t>
      </w:r>
    </w:p>
    <w:tbl>
      <w:tblPr>
        <w:tblW w:w="9613" w:type="dxa"/>
        <w:jc w:val="left"/>
        <w:tblInd w:w="0" w:type="dxa"/>
        <w:tblLayout w:type="fixed"/>
        <w:tblCellMar>
          <w:top w:w="28" w:type="dxa"/>
          <w:left w:w="28" w:type="dxa"/>
          <w:bottom w:w="28" w:type="dxa"/>
          <w:right w:w="28" w:type="dxa"/>
        </w:tblCellMar>
      </w:tblPr>
      <w:tblGrid>
        <w:gridCol w:w="1614"/>
        <w:gridCol w:w="1417"/>
        <w:gridCol w:w="1424"/>
        <w:gridCol w:w="263"/>
        <w:gridCol w:w="263"/>
        <w:gridCol w:w="268"/>
        <w:gridCol w:w="109"/>
        <w:gridCol w:w="109"/>
        <w:gridCol w:w="109"/>
        <w:gridCol w:w="232"/>
        <w:gridCol w:w="563"/>
        <w:gridCol w:w="121"/>
        <w:gridCol w:w="109"/>
        <w:gridCol w:w="109"/>
        <w:gridCol w:w="109"/>
        <w:gridCol w:w="375"/>
        <w:gridCol w:w="375"/>
        <w:gridCol w:w="376"/>
        <w:gridCol w:w="109"/>
        <w:gridCol w:w="109"/>
        <w:gridCol w:w="109"/>
        <w:gridCol w:w="211"/>
        <w:gridCol w:w="976"/>
        <w:gridCol w:w="154"/>
      </w:tblGrid>
      <w:tr>
        <w:trPr/>
        <w:tc>
          <w:tcPr>
            <w:tcW w:w="1614"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Stock</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Contractual</w:t>
              <w:br/>
              <w:t>Life (in</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Aggregate</w:t>
              <w:br/>
              <w:t>Intrinsic</w:t>
              <w:br/>
              <w:t>Value</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2021</w:t>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862,488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8,088,660 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forfeited</w:t>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3,871,667 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forfeited</w:t>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981,488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8,429,619 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vested and exercisable at December 31, 2023</w:t>
            </w:r>
          </w:p>
        </w:tc>
        <w:tc>
          <w:tcPr>
            <w:tcW w:w="794" w:type="dxa"/>
            <w:gridSpan w:val="3"/>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716,175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3"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21"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6,847,964 </w:t>
            </w:r>
          </w:p>
        </w:tc>
        <w:tc>
          <w:tcPr>
            <w:tcW w:w="154" w:type="dxa"/>
            <w:tcBorders>
              <w:top w:val="doub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val="false"/>
          <w:color w:val="000000"/>
          <w:sz w:val="20"/>
        </w:rPr>
        <w:t xml:space="preserve">The weighted average grant-date fair value of options per share granted during the years ended December 31, 2023 and 2022 was $4.11 and $6.26, respectively. The aggregate intrinsic value of options exercised during the years ended December 31, 2023 and 2022 was $0.1 million and $0.4 million, respectively. During the years ended December 31, 2023, and 2022 the Company received </w:t>
      </w:r>
      <w:r>
        <w:rPr>
          <w:rFonts w:ascii="Times New Roman;sans-serif" w:hAnsi="Times New Roman;sans-serif"/>
          <w:b w:val="false"/>
          <w:i/>
          <w:color w:val="000000"/>
          <w:sz w:val="20"/>
        </w:rPr>
        <w:t>de minimis</w:t>
      </w:r>
      <w:r>
        <w:rPr>
          <w:color w:val="000000"/>
        </w:rPr>
        <w:t xml:space="preserve"> </w:t>
      </w:r>
      <w:r>
        <w:rPr>
          <w:rFonts w:ascii="Times New Roman;sans-serif" w:hAnsi="Times New Roman;sans-serif"/>
          <w:b w:val="false"/>
          <w:color w:val="000000"/>
          <w:sz w:val="20"/>
        </w:rPr>
        <w:t xml:space="preserve">and $0.3 million, respectively, in proceeds from the exercise of stock options and recognized a </w:t>
      </w:r>
      <w:r>
        <w:rPr>
          <w:rFonts w:ascii="Times New Roman;sans-serif" w:hAnsi="Times New Roman;sans-serif"/>
          <w:b w:val="false"/>
          <w:i/>
          <w:color w:val="000000"/>
          <w:sz w:val="20"/>
        </w:rPr>
        <w:t>de minimis</w:t>
      </w:r>
      <w:r>
        <w:rPr>
          <w:color w:val="000000"/>
        </w:rPr>
        <w:t xml:space="preserve"> </w:t>
      </w:r>
      <w:r>
        <w:rPr>
          <w:rFonts w:ascii="Times New Roman;sans-serif" w:hAnsi="Times New Roman;sans-serif"/>
          <w:b w:val="false"/>
          <w:color w:val="000000"/>
          <w:sz w:val="20"/>
        </w:rPr>
        <w:t>tax benefit from the exercise of stock options for both years. Upon exercise of the stock options, the Company will issue new authorized shares.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Restricted Stock</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from time-to-time grants shares of restricted stock to key employees or directors. These awards typically hold service requirements over various vesting periods. The value of the stock awarded is established as the fair market value of the stock at the time of the grant. The Company recognizes expense, equal to the total value of such awards, ratably over the vesting period of the stock grants. All restricted stock agreements are conditioned upon continued employment. Termination of employment prior to a vesting date, as described below, would terminate any interest in non-vested shares.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Non-vested restricted stock for the years ended December 31, 2023, and 2022 is summarized in the following table:</w:t>
      </w:r>
    </w:p>
    <w:tbl>
      <w:tblPr>
        <w:tblW w:w="7390" w:type="dxa"/>
        <w:jc w:val="left"/>
        <w:tblInd w:w="0" w:type="dxa"/>
        <w:tblLayout w:type="fixed"/>
        <w:tblCellMar>
          <w:top w:w="28" w:type="dxa"/>
          <w:left w:w="28" w:type="dxa"/>
          <w:bottom w:w="28" w:type="dxa"/>
          <w:right w:w="28" w:type="dxa"/>
        </w:tblCellMar>
      </w:tblPr>
      <w:tblGrid>
        <w:gridCol w:w="1059"/>
        <w:gridCol w:w="930"/>
        <w:gridCol w:w="936"/>
        <w:gridCol w:w="509"/>
        <w:gridCol w:w="509"/>
        <w:gridCol w:w="511"/>
        <w:gridCol w:w="109"/>
        <w:gridCol w:w="109"/>
        <w:gridCol w:w="109"/>
        <w:gridCol w:w="561"/>
        <w:gridCol w:w="1639"/>
        <w:gridCol w:w="409"/>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 Average Grant Price</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December 31, 2021</w:t>
            </w:r>
          </w:p>
        </w:tc>
        <w:tc>
          <w:tcPr>
            <w:tcW w:w="15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52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December 31, 2022</w:t>
            </w:r>
          </w:p>
        </w:tc>
        <w:tc>
          <w:tcPr>
            <w:tcW w:w="15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52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w:t>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as of December 31, 2023</w:t>
            </w:r>
          </w:p>
        </w:tc>
        <w:tc>
          <w:tcPr>
            <w:tcW w:w="1529"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10.05 </w:t>
            </w:r>
          </w:p>
        </w:tc>
        <w:tc>
          <w:tcPr>
            <w:tcW w:w="4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243840"/>
                <wp:effectExtent l="0" t="0" r="0" b="0"/>
                <wp:wrapNone/>
                <wp:docPr id="108" name="Frame108"/>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108</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pre-tax and after-tax stock-based compensation expense recognized:</w:t>
      </w:r>
    </w:p>
    <w:tbl>
      <w:tblPr>
        <w:tblW w:w="3906" w:type="dxa"/>
        <w:jc w:val="left"/>
        <w:tblInd w:w="0" w:type="dxa"/>
        <w:tblLayout w:type="fixed"/>
        <w:tblCellMar>
          <w:top w:w="28" w:type="dxa"/>
          <w:left w:w="28" w:type="dxa"/>
          <w:bottom w:w="28" w:type="dxa"/>
          <w:right w:w="28" w:type="dxa"/>
        </w:tblCellMar>
      </w:tblPr>
      <w:tblGrid>
        <w:gridCol w:w="538"/>
        <w:gridCol w:w="472"/>
        <w:gridCol w:w="475"/>
        <w:gridCol w:w="109"/>
        <w:gridCol w:w="109"/>
        <w:gridCol w:w="109"/>
        <w:gridCol w:w="211"/>
        <w:gridCol w:w="616"/>
        <w:gridCol w:w="109"/>
        <w:gridCol w:w="109"/>
        <w:gridCol w:w="109"/>
        <w:gridCol w:w="109"/>
        <w:gridCol w:w="211"/>
        <w:gridCol w:w="466"/>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w:t>
              <w:br/>
              <w:t>December 31,</w:t>
            </w:r>
          </w:p>
        </w:tc>
      </w:tr>
      <w:tr>
        <w:trPr/>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Pre-tax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After-tax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unrecognized stock-based compensation expense related to stock options and restricted stock of approximately $0.5 million and $1.0 million, respectively, which is expected to be recognized over the remaining weighted average vesting period of 1.5 years and 1.5 years,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11 – Fair Value of Financial Instruments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and discloses certain assets and liabilities at fair value. Fair value is defined as the price that would be received to sell an asset or paid to transfer a liability in an orderly transaction between market participants at the measurement date (that is, not a forced liquidation or distressed sale). GAAP establishes a consistent framework for measuring fair value and disclosure requirements about fair value measurements. Among other things, the standard requires us to maximize the use of observable inputs and minimize the use of unobservable inputs when measuring fair value. Observable inputs reflect market data obtained from independent sources, while unobservable inputs reflect the Company’s estimates for market assumptions. These two types of inputs create the following fair value hierarchy.</w:t>
      </w:r>
    </w:p>
    <w:p>
      <w:pPr>
        <w:pStyle w:val="TextBody"/>
        <w:bidi w:val="0"/>
        <w:spacing w:lineRule="auto" w:line="288" w:before="200" w:after="283"/>
        <w:jc w:val="both"/>
        <w:rPr/>
      </w:pPr>
      <w:r>
        <w:rPr>
          <w:rFonts w:ascii="Times New Roman;sans-serif" w:hAnsi="Times New Roman;sans-serif"/>
          <w:b/>
          <w:color w:val="000000"/>
          <w:sz w:val="20"/>
        </w:rPr>
        <w:t xml:space="preserve">Level 1 </w:t>
      </w:r>
      <w:r>
        <w:rPr>
          <w:color w:val="000000"/>
        </w:rPr>
        <w:t xml:space="preserve">– </w:t>
      </w:r>
      <w:r>
        <w:rPr>
          <w:rFonts w:ascii="Times New Roman;sans-serif" w:hAnsi="Times New Roman;sans-serif"/>
          <w:b w:val="false"/>
          <w:color w:val="000000"/>
          <w:sz w:val="20"/>
        </w:rPr>
        <w:t>Quoted prices in active markets for identical instruments. An active market is a market in which transactions occur with sufficient frequency and volume to provide pricing information on an ongoing basis. A quoted price in an active market provides the most reliable evidence of fair value and shall be used to measure fair value whenever available.</w:t>
      </w:r>
    </w:p>
    <w:p>
      <w:pPr>
        <w:pStyle w:val="TextBody"/>
        <w:bidi w:val="0"/>
        <w:spacing w:lineRule="auto" w:line="288" w:before="200" w:after="283"/>
        <w:jc w:val="both"/>
        <w:rPr/>
      </w:pPr>
      <w:r>
        <w:rPr>
          <w:rFonts w:ascii="Times New Roman;sans-serif" w:hAnsi="Times New Roman;sans-serif"/>
          <w:b/>
          <w:color w:val="000000"/>
          <w:sz w:val="20"/>
        </w:rPr>
        <w:t xml:space="preserve">Level 2 </w:t>
      </w:r>
      <w:r>
        <w:rPr>
          <w:color w:val="000000"/>
        </w:rPr>
        <w:t xml:space="preserve">– </w:t>
      </w:r>
      <w:r>
        <w:rPr>
          <w:rFonts w:ascii="Times New Roman;sans-serif" w:hAnsi="Times New Roman;sans-serif"/>
          <w:b w:val="false"/>
          <w:color w:val="000000"/>
          <w:sz w:val="20"/>
        </w:rPr>
        <w:t>Observable inputs other than Level 1 including quoted prices in active markets for similar instruments, quoted prices in less active markets for identical or similar instruments, or other observable inputs that can be corroborated by observable market data.</w:t>
      </w:r>
    </w:p>
    <w:p>
      <w:pPr>
        <w:pStyle w:val="TextBody"/>
        <w:bidi w:val="0"/>
        <w:spacing w:lineRule="auto" w:line="288" w:before="200" w:after="283"/>
        <w:jc w:val="both"/>
        <w:rPr/>
      </w:pPr>
      <w:r>
        <w:rPr>
          <w:rFonts w:ascii="Times New Roman;sans-serif" w:hAnsi="Times New Roman;sans-serif"/>
          <w:b/>
          <w:color w:val="000000"/>
          <w:sz w:val="20"/>
        </w:rPr>
        <w:t xml:space="preserve">Level 3 </w:t>
      </w:r>
      <w:r>
        <w:rPr>
          <w:color w:val="000000"/>
        </w:rPr>
        <w:t xml:space="preserve">– </w:t>
      </w:r>
      <w:r>
        <w:rPr>
          <w:rFonts w:ascii="Times New Roman;sans-serif" w:hAnsi="Times New Roman;sans-serif"/>
          <w:b w:val="false"/>
          <w:color w:val="000000"/>
          <w:sz w:val="20"/>
        </w:rPr>
        <w:t>Unobservable inputs supported by little or no market activity for financial instruments whose value is determined using pricing models, discounted cash flow methodologies, or similar techniques, as well as instruments for which the determination of fair value requires significant management judgment or estimation also includes observable inputs from nonbinding single dealer quotes not corroborated by observable market data. In developing Level 3 measurements, management incorporates whatever market data might be available and uses discounted cash flow models where appropriate. These calculations include projections of future cash flows, including appropriate default and loss assumptions, and market-based discount rates.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amounts of financial instruments have been determined by the Company using available market information and appropriate valuation methodologies. However, considerable judgment is required to interpret data to develop the estimates of fair value. Accordingly, the estimates presented herein are not necessarily indicative of the amounts the Company could realize at a future date. The use of different market assumptions and/or estimation methodologies may have a material effect on the estimated fair value amounts. In addition, reasonable comparability between financial institutions may not be likely due to the wide range of permitted valuation techniques and numerous estimates that must be made given the absence of active secondary markets for many of the financial instruments. This lack of uniform valuation methodologies also introduces a greater degree of subjectivity to these estimated fair values. Transfers between levels of the fair value hierarchy are deemed to occur at the end of the reporting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243840"/>
                <wp:effectExtent l="0" t="0" r="0" b="0"/>
                <wp:wrapNone/>
                <wp:docPr id="109" name="Frame109"/>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109</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methods were used to estimate the fair value of each class of financial instruments:</w:t>
      </w:r>
    </w:p>
    <w:p>
      <w:pPr>
        <w:pStyle w:val="TextBody"/>
        <w:bidi w:val="0"/>
        <w:spacing w:lineRule="auto" w:line="288" w:before="200" w:after="283"/>
        <w:jc w:val="both"/>
        <w:rPr/>
      </w:pPr>
      <w:r>
        <w:rPr>
          <w:rFonts w:ascii="Times New Roman;sans-serif" w:hAnsi="Times New Roman;sans-serif"/>
          <w:b/>
          <w:color w:val="000000"/>
          <w:sz w:val="20"/>
        </w:rPr>
        <w:t>Cash and cash equivalents</w:t>
      </w:r>
      <w:r>
        <w:rPr>
          <w:rFonts w:ascii="Times New Roman;sans-serif" w:hAnsi="Times New Roman;sans-serif"/>
          <w:b w:val="false"/>
          <w:color w:val="000000"/>
          <w:sz w:val="20"/>
        </w:rPr>
        <w:t>: The carrying amount of these items is a reasonable estimate of their fair value.</w:t>
      </w:r>
    </w:p>
    <w:p>
      <w:pPr>
        <w:pStyle w:val="TextBody"/>
        <w:bidi w:val="0"/>
        <w:spacing w:lineRule="auto" w:line="288" w:before="200" w:after="283"/>
        <w:jc w:val="both"/>
        <w:rPr/>
      </w:pPr>
      <w:r>
        <w:rPr>
          <w:rFonts w:ascii="Times New Roman;sans-serif" w:hAnsi="Times New Roman;sans-serif"/>
          <w:b/>
          <w:color w:val="000000"/>
          <w:sz w:val="20"/>
        </w:rPr>
        <w:t>Investment securities held-to-maturity</w:t>
      </w:r>
      <w:r>
        <w:rPr>
          <w:rFonts w:ascii="Times New Roman;sans-serif" w:hAnsi="Times New Roman;sans-serif"/>
          <w:b w:val="false"/>
          <w:color w:val="000000"/>
          <w:sz w:val="20"/>
        </w:rPr>
        <w:t>: The estimated fair values of investment securities are priced using current active market quotes, if available, which are considered Level 1 measurements. For most of the portfolio, matrix pricing based on the securities’ relationship to other benchmark quoted prices is used to establish the fair value. These measurements are considered Level 2.</w:t>
      </w:r>
    </w:p>
    <w:p>
      <w:pPr>
        <w:pStyle w:val="TextBody"/>
        <w:bidi w:val="0"/>
        <w:spacing w:lineRule="auto" w:line="288" w:before="200" w:after="283"/>
        <w:jc w:val="both"/>
        <w:rPr/>
      </w:pPr>
      <w:r>
        <w:rPr>
          <w:rFonts w:ascii="Times New Roman;sans-serif" w:hAnsi="Times New Roman;sans-serif"/>
          <w:b/>
          <w:color w:val="000000"/>
          <w:sz w:val="20"/>
        </w:rPr>
        <w:t>Investment in Federal Home Loan Bank stock</w:t>
      </w:r>
      <w:r>
        <w:rPr>
          <w:rFonts w:ascii="Times New Roman;sans-serif" w:hAnsi="Times New Roman;sans-serif"/>
          <w:b w:val="false"/>
          <w:color w:val="000000"/>
          <w:sz w:val="20"/>
        </w:rPr>
        <w:t>: The fair value is based upon the redemption value of the stock, which equates to the carrying value.</w:t>
      </w:r>
    </w:p>
    <w:p>
      <w:pPr>
        <w:pStyle w:val="TextBody"/>
        <w:bidi w:val="0"/>
        <w:spacing w:lineRule="auto" w:line="288" w:before="200" w:after="283"/>
        <w:jc w:val="both"/>
        <w:rPr/>
      </w:pPr>
      <w:r>
        <w:rPr>
          <w:rFonts w:ascii="Times New Roman;sans-serif" w:hAnsi="Times New Roman;sans-serif"/>
          <w:b/>
          <w:color w:val="000000"/>
          <w:sz w:val="20"/>
        </w:rPr>
        <w:t>Strategic Program loans held-for-sale</w:t>
      </w:r>
      <w:r>
        <w:rPr>
          <w:rFonts w:ascii="Times New Roman;sans-serif" w:hAnsi="Times New Roman;sans-serif"/>
          <w:b w:val="false"/>
          <w:color w:val="000000"/>
          <w:sz w:val="20"/>
        </w:rPr>
        <w:t>: The carrying amount of each item is a reasonable estimate of their fair value as loans classified as held-for-sale are generally maintained on balance sheet for a period of a few days.</w:t>
      </w:r>
    </w:p>
    <w:p>
      <w:pPr>
        <w:pStyle w:val="TextBody"/>
        <w:bidi w:val="0"/>
        <w:spacing w:lineRule="auto" w:line="288" w:before="200" w:after="283"/>
        <w:jc w:val="both"/>
        <w:rPr/>
      </w:pPr>
      <w:r>
        <w:rPr>
          <w:rFonts w:ascii="Times New Roman;sans-serif" w:hAnsi="Times New Roman;sans-serif"/>
          <w:b/>
          <w:color w:val="000000"/>
          <w:sz w:val="20"/>
        </w:rPr>
        <w:t>Loans receivable</w:t>
      </w:r>
      <w:r>
        <w:rPr>
          <w:rFonts w:ascii="Times New Roman;sans-serif" w:hAnsi="Times New Roman;sans-serif"/>
          <w:b w:val="false"/>
          <w:color w:val="000000"/>
          <w:sz w:val="20"/>
        </w:rPr>
        <w:t>: The fair value is estimated by discounting the future cash flows and estimated prepayments using the current rates at which similar loans would be made to borrowers with similar credit ratings and for the same remaining term. Some loan types’ fair value approximated carrying value because of their floating rate or expected maturity characteristics.</w:t>
      </w:r>
    </w:p>
    <w:p>
      <w:pPr>
        <w:pStyle w:val="TextBody"/>
        <w:bidi w:val="0"/>
        <w:spacing w:lineRule="auto" w:line="288" w:before="200" w:after="283"/>
        <w:jc w:val="both"/>
        <w:rPr/>
      </w:pPr>
      <w:r>
        <w:rPr>
          <w:rFonts w:ascii="Times New Roman;sans-serif" w:hAnsi="Times New Roman;sans-serif"/>
          <w:b/>
          <w:color w:val="000000"/>
          <w:sz w:val="20"/>
        </w:rPr>
        <w:t>SBA servicing asset</w:t>
      </w:r>
      <w:r>
        <w:rPr>
          <w:rFonts w:ascii="Times New Roman;sans-serif" w:hAnsi="Times New Roman;sans-serif"/>
          <w:b w:val="false"/>
          <w:color w:val="000000"/>
          <w:sz w:val="20"/>
        </w:rPr>
        <w:t>: The fair value of servicing assets is based on, in part, third-party valuations that project estimated future cash inflows that include servicing fees and outflows that include market rates for costs of servicing. The present value of the future cash flows are calculated utilizing market-based discount rates. The market-based discount rates represent risk spreads based on secondary market transactions utilizing calculated prepayment curves. Because observable loan transactions are used to determine the risk spreads, the Company considers the measurement to be Level 2.</w:t>
      </w:r>
    </w:p>
    <w:p>
      <w:pPr>
        <w:pStyle w:val="TextBody"/>
        <w:bidi w:val="0"/>
        <w:spacing w:lineRule="auto" w:line="288" w:before="200" w:after="283"/>
        <w:jc w:val="both"/>
        <w:rPr/>
      </w:pPr>
      <w:r>
        <w:rPr>
          <w:rFonts w:ascii="Times New Roman;sans-serif" w:hAnsi="Times New Roman;sans-serif"/>
          <w:b/>
          <w:color w:val="000000"/>
          <w:sz w:val="20"/>
        </w:rPr>
        <w:t>Investment in BFG</w:t>
      </w:r>
      <w:r>
        <w:rPr>
          <w:rFonts w:ascii="Times New Roman;sans-serif" w:hAnsi="Times New Roman;sans-serif"/>
          <w:b w:val="false"/>
          <w:color w:val="000000"/>
          <w:sz w:val="20"/>
        </w:rPr>
        <w:t>: The Company’s valuation technique utilized the average of the discounted cash flow method and the Guideline Public Company method. The valuation was also adjusted using a Guideline Transaction method based on the potential transaction announced on July 25, 2023 and the share price on December 31, 2023. A 20% lack of marketability discount was applied to the valuation as well as a 4.50% discount to non-voting shares to arrive at fair value as of December 31, 2023 and December 31, 2022. The calculation of fair value utilized significant unobservable inputs, including projected cash flows, growth rates, and discount rates. The fair value of the investment in BFG was $4.2 million and $4.8 million as of December 31, 2023 and December 31, 2022, respectively. The following table summarizes investment in BFG activity for the periods indicated:</w:t>
      </w:r>
    </w:p>
    <w:tbl>
      <w:tblPr>
        <w:tblW w:w="4643" w:type="dxa"/>
        <w:jc w:val="left"/>
        <w:tblInd w:w="0" w:type="dxa"/>
        <w:tblLayout w:type="fixed"/>
        <w:tblCellMar>
          <w:top w:w="28" w:type="dxa"/>
          <w:left w:w="28" w:type="dxa"/>
          <w:bottom w:w="28" w:type="dxa"/>
          <w:right w:w="28" w:type="dxa"/>
        </w:tblCellMar>
      </w:tblPr>
      <w:tblGrid>
        <w:gridCol w:w="869"/>
        <w:gridCol w:w="763"/>
        <w:gridCol w:w="767"/>
        <w:gridCol w:w="211"/>
        <w:gridCol w:w="616"/>
        <w:gridCol w:w="109"/>
        <w:gridCol w:w="109"/>
        <w:gridCol w:w="109"/>
        <w:gridCol w:w="109"/>
        <w:gridCol w:w="211"/>
        <w:gridCol w:w="616"/>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w:t>
              <w:br/>
              <w:t>December 31,</w:t>
            </w:r>
          </w:p>
        </w:tc>
      </w:tr>
      <w:tr>
        <w:trPr/>
        <w:tc>
          <w:tcPr>
            <w:tcW w:w="2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BFG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BFG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color w:val="000000"/>
          <w:sz w:val="20"/>
        </w:rPr>
        <w:t>Deposits</w:t>
      </w:r>
      <w:r>
        <w:rPr>
          <w:rFonts w:ascii="Times New Roman;sans-serif" w:hAnsi="Times New Roman;sans-serif"/>
          <w:b w:val="false"/>
          <w:color w:val="000000"/>
          <w:sz w:val="20"/>
        </w:rPr>
        <w:t>: The carrying amount of deposits with no stated maturity, such as savings and checking accounts, is a reasonable estimate of their fair value. The market value of certificates of deposit is based upon the discounted value of contractual cash flows. The discount rate is determined using the rates currently offered on comparable instruments.</w:t>
      </w:r>
    </w:p>
    <w:p>
      <w:pPr>
        <w:pStyle w:val="TextBody"/>
        <w:bidi w:val="0"/>
        <w:spacing w:lineRule="auto" w:line="288" w:before="200" w:after="283"/>
        <w:jc w:val="both"/>
        <w:rPr/>
      </w:pPr>
      <w:r>
        <w:rPr>
          <w:rFonts w:ascii="Times New Roman;sans-serif" w:hAnsi="Times New Roman;sans-serif"/>
          <w:b/>
          <w:color w:val="000000"/>
          <w:sz w:val="20"/>
        </w:rPr>
        <w:t>Accrued interest receivable and payable</w:t>
      </w:r>
      <w:r>
        <w:rPr>
          <w:rFonts w:ascii="Times New Roman;sans-serif" w:hAnsi="Times New Roman;sans-serif"/>
          <w:b w:val="false"/>
          <w:color w:val="000000"/>
          <w:sz w:val="20"/>
        </w:rPr>
        <w:t>: The fair value of accrued interest receivable and payable approximates their carrying amount.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243840"/>
                <wp:effectExtent l="0" t="0" r="0" b="0"/>
                <wp:wrapNone/>
                <wp:docPr id="110" name="Frame110"/>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110</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pPr>
      <w:r>
        <w:rPr>
          <w:rFonts w:ascii="Times New Roman;sans-serif" w:hAnsi="Times New Roman;sans-serif"/>
          <w:b/>
          <w:color w:val="000000"/>
          <w:sz w:val="20"/>
        </w:rPr>
        <w:t>PPP Liquidity Facility</w:t>
      </w:r>
      <w:r>
        <w:rPr>
          <w:rFonts w:ascii="Times New Roman;sans-serif" w:hAnsi="Times New Roman;sans-serif"/>
          <w:b w:val="false"/>
          <w:color w:val="000000"/>
          <w:sz w:val="20"/>
        </w:rPr>
        <w:t>: The fair value of PPPLF is estimated using a discounted cash flow based on the remaining contractual term and current borrowing rates for similar terms.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carrying amount and fair value of the Company's financial instruments:</w:t>
      </w:r>
    </w:p>
    <w:tbl>
      <w:tblPr>
        <w:tblW w:w="9733" w:type="dxa"/>
        <w:jc w:val="left"/>
        <w:tblInd w:w="0" w:type="dxa"/>
        <w:tblLayout w:type="fixed"/>
        <w:tblCellMar>
          <w:top w:w="28" w:type="dxa"/>
          <w:left w:w="28" w:type="dxa"/>
          <w:bottom w:w="28" w:type="dxa"/>
          <w:right w:w="28" w:type="dxa"/>
        </w:tblCellMar>
      </w:tblPr>
      <w:tblGrid>
        <w:gridCol w:w="1162"/>
        <w:gridCol w:w="1022"/>
        <w:gridCol w:w="1026"/>
        <w:gridCol w:w="195"/>
        <w:gridCol w:w="195"/>
        <w:gridCol w:w="196"/>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162"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Estimated</w:t>
              <w:br/>
              <w:t>Fair Value</w:t>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w:t>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held-to-maturity</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FHLB stock</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 for investment</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held-for-sale</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receivable</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servicing asset</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BFG</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liabilities:</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deposits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payable</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PPP Liquidity Facility</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Assets measured at fair value on a nonrecurring basis are summarized as follows:</w:t>
      </w:r>
    </w:p>
    <w:tbl>
      <w:tblPr>
        <w:tblW w:w="8038" w:type="dxa"/>
        <w:jc w:val="left"/>
        <w:tblInd w:w="0" w:type="dxa"/>
        <w:tblLayout w:type="fixed"/>
        <w:tblCellMar>
          <w:top w:w="28" w:type="dxa"/>
          <w:left w:w="28" w:type="dxa"/>
          <w:bottom w:w="28" w:type="dxa"/>
          <w:right w:w="28" w:type="dxa"/>
        </w:tblCellMar>
      </w:tblPr>
      <w:tblGrid>
        <w:gridCol w:w="1135"/>
        <w:gridCol w:w="998"/>
        <w:gridCol w:w="1002"/>
        <w:gridCol w:w="109"/>
        <w:gridCol w:w="109"/>
        <w:gridCol w:w="109"/>
        <w:gridCol w:w="211"/>
        <w:gridCol w:w="721"/>
        <w:gridCol w:w="109"/>
        <w:gridCol w:w="109"/>
        <w:gridCol w:w="109"/>
        <w:gridCol w:w="109"/>
        <w:gridCol w:w="213"/>
        <w:gridCol w:w="411"/>
        <w:gridCol w:w="110"/>
        <w:gridCol w:w="109"/>
        <w:gridCol w:w="109"/>
        <w:gridCol w:w="109"/>
        <w:gridCol w:w="213"/>
        <w:gridCol w:w="411"/>
        <w:gridCol w:w="110"/>
        <w:gridCol w:w="109"/>
        <w:gridCol w:w="109"/>
        <w:gridCol w:w="109"/>
        <w:gridCol w:w="211"/>
        <w:gridCol w:w="721"/>
        <w:gridCol w:w="154"/>
      </w:tblGrid>
      <w:tr>
        <w:trPr/>
        <w:tc>
          <w:tcPr>
            <w:tcW w:w="113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Measurements Using</w:t>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Description of Financial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3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Nonrecurring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Individually evaluated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Nonrecurring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Individually evaluated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color w:val="000000"/>
          <w:sz w:val="20"/>
        </w:rPr>
        <w:t xml:space="preserve">Individually evaluated loans </w:t>
      </w:r>
      <w:r>
        <w:rPr>
          <w:color w:val="000000"/>
        </w:rPr>
        <w:t xml:space="preserve">– </w:t>
      </w:r>
      <w:r>
        <w:rPr>
          <w:rFonts w:ascii="Times New Roman;sans-serif" w:hAnsi="Times New Roman;sans-serif"/>
          <w:b w:val="false"/>
          <w:color w:val="000000"/>
          <w:sz w:val="20"/>
        </w:rPr>
        <w:t>The loan amount above represents loans individually evaluated that have been adjusted to fair value. When collateral dependent loans are individually evaluated, they are measured using the current fair value of the collateral securing these loans, less selling costs. The fair value of real estate collateral is determined using collateral valuations or a discounted cash flow analysis using inputs such as discount rates, sale prices of similar assets, and term of expected disposition. Some appraised values are adjusted based on management’s review and analysis, which may include historical knowledge, changes in market conditions, estimated selling and other anticipated costs, and/or expertise and knowledge. The loss represents charge-offs on loans for adjustments made based on the fair value of the collateral.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243840"/>
                <wp:effectExtent l="0" t="0" r="0" b="0"/>
                <wp:wrapNone/>
                <wp:docPr id="111" name="Frame111"/>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111</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pPr>
      <w:r>
        <w:rPr>
          <w:rFonts w:ascii="Times New Roman;sans-serif" w:hAnsi="Times New Roman;sans-serif"/>
          <w:b/>
          <w:color w:val="000000"/>
          <w:sz w:val="20"/>
        </w:rPr>
        <w:t xml:space="preserve">Quantitative information for Level 3 fair value measurements </w:t>
      </w:r>
      <w:r>
        <w:rPr>
          <w:color w:val="000000"/>
        </w:rPr>
        <w:t xml:space="preserve">– </w:t>
      </w:r>
      <w:r>
        <w:rPr>
          <w:rFonts w:ascii="Times New Roman;sans-serif" w:hAnsi="Times New Roman;sans-serif"/>
          <w:b w:val="false"/>
          <w:color w:val="000000"/>
          <w:sz w:val="20"/>
        </w:rPr>
        <w:t>The range and weighted average of the significant unobservable inputs used to fair value Level 3 nonrecurring assets as of December 31, 2023 and as of December 31, 2022, along with the valuation techniques used, are shown in the following table:</w:t>
      </w:r>
    </w:p>
    <w:tbl>
      <w:tblPr>
        <w:tblW w:w="8430" w:type="dxa"/>
        <w:jc w:val="left"/>
        <w:tblInd w:w="0" w:type="dxa"/>
        <w:tblLayout w:type="fixed"/>
        <w:tblCellMar>
          <w:top w:w="28" w:type="dxa"/>
          <w:left w:w="28" w:type="dxa"/>
          <w:bottom w:w="28" w:type="dxa"/>
          <w:right w:w="28" w:type="dxa"/>
        </w:tblCellMar>
      </w:tblPr>
      <w:tblGrid>
        <w:gridCol w:w="891"/>
        <w:gridCol w:w="783"/>
        <w:gridCol w:w="786"/>
        <w:gridCol w:w="211"/>
        <w:gridCol w:w="721"/>
        <w:gridCol w:w="109"/>
        <w:gridCol w:w="109"/>
        <w:gridCol w:w="109"/>
        <w:gridCol w:w="109"/>
        <w:gridCol w:w="349"/>
        <w:gridCol w:w="349"/>
        <w:gridCol w:w="353"/>
        <w:gridCol w:w="444"/>
        <w:gridCol w:w="444"/>
        <w:gridCol w:w="446"/>
        <w:gridCol w:w="109"/>
        <w:gridCol w:w="109"/>
        <w:gridCol w:w="109"/>
        <w:gridCol w:w="385"/>
        <w:gridCol w:w="385"/>
        <w:gridCol w:w="1120"/>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Valuation</w:t>
              <w:br/>
              <w:t>Technique</w:t>
            </w:r>
          </w:p>
        </w:tc>
        <w:tc>
          <w:tcPr>
            <w:tcW w:w="13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Unobservable</w:t>
              <w:br/>
              <w:t>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Range</w:t>
              <w:br/>
              <w:t xml:space="preserve">(Weighted Average) </w:t>
            </w:r>
          </w:p>
        </w:tc>
      </w:tr>
      <w:tr>
        <w:trPr/>
        <w:tc>
          <w:tcPr>
            <w:tcW w:w="2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Individually evaluated loans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Market</w:t>
              <w:br/>
              <w:t>comparable</w:t>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Adjustment to</w:t>
              <w:br/>
              <w:t>appraisal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1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Individually evaluated loans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Market</w:t>
              <w:br/>
              <w:t>comparable</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Adjustment to</w:t>
              <w:br/>
              <w:t>appraisal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0.20 </w:t>
            </w:r>
          </w:p>
        </w:tc>
        <w:tc>
          <w:tcPr>
            <w:tcW w:w="11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range and weighted average of the significant unobservable inputs used to fair value the investment in BFG Level 3 recurring asset as of December 31, 2023 and as of December 31, 2022 are shown in the following table:</w:t>
      </w:r>
    </w:p>
    <w:tbl>
      <w:tblPr>
        <w:tblW w:w="6432" w:type="dxa"/>
        <w:jc w:val="left"/>
        <w:tblInd w:w="0" w:type="dxa"/>
        <w:tblLayout w:type="fixed"/>
        <w:tblCellMar>
          <w:top w:w="28" w:type="dxa"/>
          <w:left w:w="28" w:type="dxa"/>
          <w:bottom w:w="28" w:type="dxa"/>
          <w:right w:w="28" w:type="dxa"/>
        </w:tblCellMar>
      </w:tblPr>
      <w:tblGrid>
        <w:gridCol w:w="891"/>
        <w:gridCol w:w="783"/>
        <w:gridCol w:w="786"/>
        <w:gridCol w:w="400"/>
        <w:gridCol w:w="400"/>
        <w:gridCol w:w="1000"/>
        <w:gridCol w:w="109"/>
        <w:gridCol w:w="109"/>
        <w:gridCol w:w="109"/>
        <w:gridCol w:w="376"/>
        <w:gridCol w:w="376"/>
        <w:gridCol w:w="1093"/>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8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br/>
              <w:t>Range</w:t>
              <w:br/>
              <w:t>(Weighted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br/>
              <w:t>Range</w:t>
              <w:br/>
              <w:t>(Weighted Average)</w:t>
            </w:r>
          </w:p>
        </w:tc>
      </w:tr>
      <w:tr>
        <w:trPr/>
        <w:tc>
          <w:tcPr>
            <w:tcW w:w="24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Discounted Cash Flows</w:t>
            </w:r>
          </w:p>
        </w:tc>
        <w:tc>
          <w:tcPr>
            <w:tcW w:w="1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growth rate</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growth rate</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09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Guideline Public Company</w:t>
            </w:r>
          </w:p>
        </w:tc>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Multiples of enterprise value</w:t>
            </w:r>
          </w:p>
        </w:tc>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3.5x to 5.5x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3.0x to 5.0x </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mentioned above, the valuation as of December 31, 2023 was also adjusted using a Guideline Transaction method based on the potential transaction announced on July 25, 2023 and the share price on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12 – Income Taxes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components of income tax expense consist of the following:</w:t>
      </w:r>
    </w:p>
    <w:tbl>
      <w:tblPr>
        <w:tblW w:w="4975" w:type="dxa"/>
        <w:jc w:val="left"/>
        <w:tblInd w:w="0" w:type="dxa"/>
        <w:tblLayout w:type="fixed"/>
        <w:tblCellMar>
          <w:top w:w="28" w:type="dxa"/>
          <w:left w:w="28" w:type="dxa"/>
          <w:bottom w:w="28" w:type="dxa"/>
          <w:right w:w="28" w:type="dxa"/>
        </w:tblCellMar>
      </w:tblPr>
      <w:tblGrid>
        <w:gridCol w:w="684"/>
        <w:gridCol w:w="601"/>
        <w:gridCol w:w="604"/>
        <w:gridCol w:w="277"/>
        <w:gridCol w:w="810"/>
        <w:gridCol w:w="143"/>
        <w:gridCol w:w="143"/>
        <w:gridCol w:w="143"/>
        <w:gridCol w:w="143"/>
        <w:gridCol w:w="277"/>
        <w:gridCol w:w="948"/>
        <w:gridCol w:w="202"/>
      </w:tblGrid>
      <w:tr>
        <w:trPr/>
        <w:tc>
          <w:tcPr>
            <w:tcW w:w="68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w:t>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Current tax expense</w:t>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expense</w:t>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6,353 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10,916 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243840"/>
                <wp:effectExtent l="0" t="0" r="0" b="0"/>
                <wp:wrapNone/>
                <wp:docPr id="112" name="Frame112"/>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112</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The components of net deferred income tax assets and liabilities on the balance sheet at </w:t>
      </w:r>
      <w:r>
        <w:rPr>
          <w:rFonts w:ascii="Times New Roman;sans-serif" w:hAnsi="Times New Roman;sans-serif"/>
          <w:b w:val="false"/>
          <w:color w:val="000000"/>
          <w:sz w:val="20"/>
        </w:rPr>
        <w:t>December 31, 2023</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2022</w:t>
      </w:r>
      <w:r>
        <w:rPr>
          <w:rFonts w:ascii="Times New Roman;sans-serif" w:hAnsi="Times New Roman;sans-serif"/>
          <w:b w:val="false"/>
          <w:color w:val="000000"/>
          <w:sz w:val="20"/>
          <w:shd w:fill="FFFFFF" w:val="clear"/>
        </w:rPr>
        <w:t>, are as follows:</w:t>
      </w:r>
    </w:p>
    <w:tbl>
      <w:tblPr>
        <w:tblW w:w="4794" w:type="dxa"/>
        <w:jc w:val="left"/>
        <w:tblInd w:w="0" w:type="dxa"/>
        <w:tblLayout w:type="fixed"/>
        <w:tblCellMar>
          <w:top w:w="28" w:type="dxa"/>
          <w:left w:w="28" w:type="dxa"/>
          <w:bottom w:w="28" w:type="dxa"/>
          <w:right w:w="28" w:type="dxa"/>
        </w:tblCellMar>
      </w:tblPr>
      <w:tblGrid>
        <w:gridCol w:w="924"/>
        <w:gridCol w:w="812"/>
        <w:gridCol w:w="814"/>
        <w:gridCol w:w="211"/>
        <w:gridCol w:w="616"/>
        <w:gridCol w:w="109"/>
        <w:gridCol w:w="109"/>
        <w:gridCol w:w="109"/>
        <w:gridCol w:w="109"/>
        <w:gridCol w:w="211"/>
        <w:gridCol w:w="616"/>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assets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loan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bonuses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Nonqualified stock options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book value of fixed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liabilities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taxes,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The income tax expense recorded differs from the expected income tax expense and the reconciliation of these differences is as follows at </w:t>
      </w:r>
      <w:r>
        <w:rPr>
          <w:rFonts w:ascii="Times New Roman;sans-serif" w:hAnsi="Times New Roman;sans-serif"/>
          <w:b w:val="false"/>
          <w:color w:val="000000"/>
          <w:sz w:val="20"/>
        </w:rPr>
        <w:t>December 31, 2023</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2022</w:t>
      </w:r>
      <w:r>
        <w:rPr>
          <w:rFonts w:ascii="Times New Roman;sans-serif" w:hAnsi="Times New Roman;sans-serif"/>
          <w:b w:val="false"/>
          <w:color w:val="000000"/>
          <w:sz w:val="20"/>
          <w:shd w:fill="FFFFFF" w:val="clear"/>
        </w:rPr>
        <w:t>:</w:t>
      </w:r>
    </w:p>
    <w:tbl>
      <w:tblPr>
        <w:tblW w:w="6836" w:type="dxa"/>
        <w:jc w:val="left"/>
        <w:tblInd w:w="0" w:type="dxa"/>
        <w:tblLayout w:type="fixed"/>
        <w:tblCellMar>
          <w:top w:w="28" w:type="dxa"/>
          <w:left w:w="28" w:type="dxa"/>
          <w:bottom w:w="28" w:type="dxa"/>
          <w:right w:w="28" w:type="dxa"/>
        </w:tblCellMar>
      </w:tblPr>
      <w:tblGrid>
        <w:gridCol w:w="1358"/>
        <w:gridCol w:w="1193"/>
        <w:gridCol w:w="1199"/>
        <w:gridCol w:w="277"/>
        <w:gridCol w:w="810"/>
        <w:gridCol w:w="143"/>
        <w:gridCol w:w="143"/>
        <w:gridCol w:w="143"/>
        <w:gridCol w:w="143"/>
        <w:gridCol w:w="277"/>
        <w:gridCol w:w="948"/>
        <w:gridCol w:w="202"/>
      </w:tblGrid>
      <w:tr>
        <w:trPr/>
        <w:tc>
          <w:tcPr>
            <w:tcW w:w="135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w:t>
            </w:r>
          </w:p>
        </w:tc>
      </w:tr>
      <w:tr>
        <w:trPr/>
        <w:tc>
          <w:tcPr>
            <w:tcW w:w="37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income tax expense at statutory rates</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7,567 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permanent differences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 expense, net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6,353 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10,916 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The Company recognizes interest accrued and penalties related to unrecognized tax benefits in tax expense. During the years ended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xml:space="preserve">, and </w:t>
      </w:r>
      <w:r>
        <w:rPr>
          <w:rFonts w:ascii="Times New Roman;sans-serif" w:hAnsi="Times New Roman;sans-serif"/>
          <w:b w:val="false"/>
          <w:color w:val="000000"/>
          <w:sz w:val="20"/>
        </w:rPr>
        <w:t>2022</w:t>
      </w:r>
      <w:r>
        <w:rPr>
          <w:rFonts w:ascii="Times New Roman;sans-serif" w:hAnsi="Times New Roman;sans-serif"/>
          <w:b w:val="false"/>
          <w:color w:val="000000"/>
          <w:sz w:val="20"/>
          <w:shd w:fill="FFFFFF" w:val="clear"/>
        </w:rPr>
        <w:t xml:space="preserve">, the Company recognized approximately </w:t>
      </w:r>
      <w:r>
        <w:rPr>
          <w:rFonts w:ascii="Times New Roman;sans-serif" w:hAnsi="Times New Roman;sans-serif"/>
          <w:b w:val="false"/>
          <w:color w:val="000000"/>
          <w:sz w:val="20"/>
        </w:rPr>
        <w:t>$0.3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i/>
          <w:color w:val="000000"/>
          <w:sz w:val="20"/>
          <w:shd w:fill="FFFFFF" w:val="clear"/>
        </w:rPr>
        <w:t xml:space="preserve">de minimis </w:t>
      </w:r>
      <w:r>
        <w:rPr>
          <w:rFonts w:ascii="Times New Roman;sans-serif" w:hAnsi="Times New Roman;sans-serif"/>
          <w:b w:val="false"/>
          <w:color w:val="000000"/>
          <w:sz w:val="20"/>
          <w:shd w:fill="FFFFFF" w:val="clear"/>
        </w:rPr>
        <w:t xml:space="preserve">interest or penalties. The Company files a United States federal income tax return and state income tax returns in Utah, Florida, and New York. Open tax years that are potentially subject to examination related to the U.S. federal jurisdiction are </w:t>
      </w:r>
      <w:r>
        <w:rPr>
          <w:rFonts w:ascii="Times New Roman;sans-serif" w:hAnsi="Times New Roman;sans-serif"/>
          <w:b w:val="false"/>
          <w:color w:val="000000"/>
          <w:sz w:val="20"/>
        </w:rPr>
        <w:t>2020</w:t>
      </w:r>
      <w:r>
        <w:rPr>
          <w:color w:val="000000"/>
          <w:shd w:fill="FFFFFF" w:val="clear"/>
        </w:rPr>
        <w:t xml:space="preserve"> </w:t>
      </w:r>
      <w:r>
        <w:rPr>
          <w:rFonts w:ascii="Times New Roman;sans-serif" w:hAnsi="Times New Roman;sans-serif"/>
          <w:b w:val="false"/>
          <w:color w:val="000000"/>
          <w:sz w:val="20"/>
          <w:shd w:fill="FFFFFF" w:val="clear"/>
        </w:rPr>
        <w:t>and subsequent years.</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The Company had no unrecognized tax benefits at </w:t>
      </w:r>
      <w:r>
        <w:rPr>
          <w:rFonts w:ascii="Times New Roman;sans-serif" w:hAnsi="Times New Roman;sans-serif"/>
          <w:b w:val="false"/>
          <w:color w:val="000000"/>
          <w:sz w:val="20"/>
        </w:rPr>
        <w:t>December 31, 2023</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2022</w:t>
      </w:r>
      <w:r>
        <w:rPr>
          <w:rFonts w:ascii="Times New Roman;sans-serif" w:hAnsi="Times New Roman;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13 – Shareholders’ Equity</w:t>
      </w:r>
    </w:p>
    <w:p>
      <w:pPr>
        <w:pStyle w:val="TextBody"/>
        <w:bidi w:val="0"/>
        <w:spacing w:lineRule="auto" w:line="288" w:before="200" w:after="283"/>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Stock Repurchases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August 18, 2022, the Company announced that its Board of Directors (the “Board”) has authorized, effective August 16, 2022, a common stock repurchase program to purchase up to 644,241 shares of the Company’s common stock in the aggregate. The repurchase program expires on August 31, 2024, but may be limited or terminated at any time without prior notice. The repurchase program authorizes the repurchase by the Company of its common stock in open market transactions, including pursuant to a trading plan in accordance with Rule 10b-18 promulgated under the Securities Exchange Act of 1934, as amended (the “Exchange Act”), or privately negotiated transactions. The authorization permits management to repurchase shares of the Company’s common stock from time to time at management’s discretion.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243840"/>
                <wp:effectExtent l="0" t="0" r="0" b="0"/>
                <wp:wrapNone/>
                <wp:docPr id="113" name="Frame113"/>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113</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Repurchases may also be made pursuant to a trading plan under Rule 10b5-1 under the Exchange Act, which would permit shares to be repurchased when the Company might otherwise be precluded from doing so because of self-imposed trading blackout periods or other regulatory restrictions. The actual means and timing of any shares purchased under the program will depend on a variety of factors, including the market price of the Company’s common stock, general market and economic conditions, and applicable legal and regulatory requirements. The repurchase program does not obligate the Company to purchase any particular number of shares. The Company has repurchased </w:t>
      </w:r>
      <w:r>
        <w:rPr>
          <w:rFonts w:ascii="Times New Roman;sans-serif" w:hAnsi="Times New Roman;sans-serif"/>
          <w:b w:val="false"/>
          <w:color w:val="000000"/>
          <w:sz w:val="20"/>
        </w:rPr>
        <w:t>644,241</w:t>
      </w:r>
      <w:r>
        <w:rPr>
          <w:color w:val="000000"/>
          <w:shd w:fill="FFFFFF" w:val="clear"/>
        </w:rPr>
        <w:t xml:space="preserve"> </w:t>
      </w:r>
      <w:r>
        <w:rPr>
          <w:rFonts w:ascii="Times New Roman;sans-serif" w:hAnsi="Times New Roman;sans-serif"/>
          <w:b w:val="false"/>
          <w:color w:val="000000"/>
          <w:sz w:val="20"/>
          <w:shd w:fill="FFFFFF" w:val="clear"/>
        </w:rPr>
        <w:t>shares for approximately $5.9 million and retired them at cost thereby completing the Company's share repurchase program during the third quarter of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14 – Retirement Plan</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The Company has established an employee directed 401(k) plan (Plan). The Plan requires the Company to annually contribute a “Safe Harbor” profit sharing contribution for all eligible participants. In addition, the Plan allows the Company, at its discretion, to make a matching contribution or additional profit sharing contribution based on each eligible employee’s compensation for the Plan year. The participants must be at least 21 years of age and have at least one year of service in order to be eligible for matching and profit-sharing contributions. The Company made profit-sharing contributions to the Plan of $0.6 million and $0.5 million for the years ended </w:t>
      </w:r>
      <w:r>
        <w:rPr>
          <w:rFonts w:ascii="Times New Roman;sans-serif" w:hAnsi="Times New Roman;sans-serif"/>
          <w:b w:val="false"/>
          <w:color w:val="000000"/>
          <w:sz w:val="20"/>
        </w:rPr>
        <w:t>December 31, 2023</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2022</w:t>
      </w:r>
      <w:r>
        <w:rPr>
          <w:rFonts w:ascii="Times New Roman;sans-serif" w:hAnsi="Times New Roman;sans-serif"/>
          <w:b w:val="false"/>
          <w:color w:val="000000"/>
          <w:sz w:val="20"/>
          <w:shd w:fill="FFFFFF" w:val="clear"/>
        </w:rPr>
        <w:t>,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15 – Related Parties</w:t>
      </w:r>
    </w:p>
    <w:p>
      <w:pPr>
        <w:pStyle w:val="TextBody"/>
        <w:bidi w:val="0"/>
        <w:spacing w:lineRule="auto" w:line="288" w:before="200" w:after="283"/>
        <w:jc w:val="both"/>
        <w:rPr/>
      </w:pPr>
      <w:r>
        <w:rPr>
          <w:rFonts w:ascii="Times New Roman;sans-serif" w:hAnsi="Times New Roman;sans-serif"/>
          <w:b w:val="false"/>
          <w:color w:val="000000"/>
          <w:sz w:val="20"/>
        </w:rPr>
        <w:t xml:space="preserve">In the ordinary course of business, the Company may grant loans to certain executive officers and directors and the companies with which they are associated. The Company had </w:t>
      </w:r>
      <w:r>
        <w:rPr>
          <w:rFonts w:ascii="Times New Roman;sans-serif" w:hAnsi="Times New Roman;sans-serif"/>
          <w:b w:val="false"/>
          <w:i/>
          <w:color w:val="000000"/>
          <w:sz w:val="20"/>
        </w:rPr>
        <w:t xml:space="preserve">de minimis </w:t>
      </w:r>
      <w:r>
        <w:rPr>
          <w:rFonts w:ascii="Times New Roman;sans-serif" w:hAnsi="Times New Roman;sans-serif"/>
          <w:b w:val="false"/>
          <w:color w:val="000000"/>
          <w:sz w:val="20"/>
        </w:rPr>
        <w:t>loans outstanding to related parties as of December 31, 2023 and December 31, 2022. Total deposits from certain executive officers and directors and the companies with which they are associated were $1.5 million and $1.2 million as of December 31, 2023 and December 31, 2022, respectively.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21, 2022, Mr. Alan Weichselbaum, who was elected as a director of the Company on October 6, 2022, repaid in full the $0.1 million aggregate principal amount plus interest owed under a secured promissory note, dated as of June 1, 2022 (the “2022 Note”), between the Company and Mr. Weichselbaum in accordance with the terms of the 2022 Note. As such, the obligations of the parties under the 2022 Note and a related security agreement were discharged and the 2022 Note and the security agreement were terminated.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BFG is a small business loan broker, primarily under the SBA’s 7(a) loan program. As noted in Note 8 Investments above, the Company has a 10% ownership in the outstanding membership units of BFG, as of December 31, 2023. The Company underwrites loans sourced by BFG in its normal course of business. If approved and funded, the Company pays BFG a commission fee based on the amount funded. There is no guarantee or commitment made by the Company to BFG to approve or fund loans referred by BFG. The Company is able to use its sole discretion in deciding to approve and fund loans referred by BFG.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243840"/>
                <wp:effectExtent l="0" t="0" r="0" b="0"/>
                <wp:wrapNone/>
                <wp:docPr id="114" name="Frame114"/>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114</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16 – Earnings per Share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reconciliation of the components used to derive basic and diluted EPS for the years ended December 31, 2023 and 2022 ($ in thousands, except share and per share amounts):</w:t>
      </w:r>
    </w:p>
    <w:tbl>
      <w:tblPr>
        <w:tblW w:w="7640" w:type="dxa"/>
        <w:jc w:val="left"/>
        <w:tblInd w:w="0" w:type="dxa"/>
        <w:tblLayout w:type="fixed"/>
        <w:tblCellMar>
          <w:top w:w="28" w:type="dxa"/>
          <w:left w:w="28" w:type="dxa"/>
          <w:bottom w:w="28" w:type="dxa"/>
          <w:right w:w="28" w:type="dxa"/>
        </w:tblCellMar>
      </w:tblPr>
      <w:tblGrid>
        <w:gridCol w:w="1759"/>
        <w:gridCol w:w="1547"/>
        <w:gridCol w:w="1553"/>
        <w:gridCol w:w="109"/>
        <w:gridCol w:w="109"/>
        <w:gridCol w:w="109"/>
        <w:gridCol w:w="211"/>
        <w:gridCol w:w="721"/>
        <w:gridCol w:w="109"/>
        <w:gridCol w:w="109"/>
        <w:gridCol w:w="109"/>
        <w:gridCol w:w="109"/>
        <w:gridCol w:w="211"/>
        <w:gridCol w:w="721"/>
        <w:gridCol w:w="154"/>
      </w:tblGrid>
      <w:tr>
        <w:trPr/>
        <w:tc>
          <w:tcPr>
            <w:tcW w:w="1759"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w:t>
              <w:br/>
              <w:t>December 31,</w:t>
            </w:r>
          </w:p>
        </w:tc>
      </w:tr>
      <w:tr>
        <w:trPr/>
        <w:tc>
          <w:tcPr>
            <w:tcW w:w="4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Amount allocated to participating common shareholders</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allocate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12,488,564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12,729,898</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effect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343,642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508,056</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119,068</w:t>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12,909,648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13,357,022</w:t>
            </w:r>
          </w:p>
        </w:tc>
      </w:tr>
      <w:tr>
        <w:trPr/>
        <w:tc>
          <w:tcPr>
            <w:tcW w:w="4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share,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share,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(1)Represents earnings attributable to holders of unvested restricted stock issued to the Company’s directors and employees.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220,100 and 373,569 anti-dilutive options for the years ended December 31, 2023 and 2022, respectively, that were excluded from the computation in the table above. There were 192,558 shares and 150,932 anti-dilutive warrants for the years ended December 31, 2023 and 2022, respectively, also excluded from the table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243840"/>
                <wp:effectExtent l="0" t="0" r="0" b="0"/>
                <wp:wrapNone/>
                <wp:docPr id="115" name="Frame115"/>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115</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17 – Revenue Recognition</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is a summary of the Company’s revenue disaggregated by contracts with customers and revenue outside the scope of ASC 606:</w:t>
      </w:r>
    </w:p>
    <w:tbl>
      <w:tblPr>
        <w:tblW w:w="6687" w:type="dxa"/>
        <w:jc w:val="left"/>
        <w:tblInd w:w="0" w:type="dxa"/>
        <w:tblLayout w:type="fixed"/>
        <w:tblCellMar>
          <w:top w:w="28" w:type="dxa"/>
          <w:left w:w="28" w:type="dxa"/>
          <w:bottom w:w="28" w:type="dxa"/>
          <w:right w:w="28" w:type="dxa"/>
        </w:tblCellMar>
      </w:tblPr>
      <w:tblGrid>
        <w:gridCol w:w="1303"/>
        <w:gridCol w:w="1146"/>
        <w:gridCol w:w="1151"/>
        <w:gridCol w:w="265"/>
        <w:gridCol w:w="908"/>
        <w:gridCol w:w="137"/>
        <w:gridCol w:w="137"/>
        <w:gridCol w:w="137"/>
        <w:gridCol w:w="137"/>
        <w:gridCol w:w="265"/>
        <w:gridCol w:w="908"/>
        <w:gridCol w:w="193"/>
      </w:tblGrid>
      <w:tr>
        <w:trPr/>
        <w:tc>
          <w:tcPr>
            <w:tcW w:w="130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w:t>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Interest income</w:t>
            </w:r>
          </w:p>
        </w:tc>
        <w:tc>
          <w:tcPr>
            <w:tcW w:w="1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not-in-scope</w:t>
            </w:r>
          </w:p>
        </w:tc>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fees on loans</w:t>
            </w:r>
          </w:p>
        </w:tc>
        <w:tc>
          <w:tcPr>
            <w:tcW w:w="2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58,445 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50,941 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securities</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income</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64,534 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52,329 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Non-interest income</w:t>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income, in-scope</w:t>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charges on deposit accounts</w:t>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set up fees</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Non-interest income, not in-scope</w:t>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fees</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loans</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SBA loan servicing fees</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on investment in BFG</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miscellaneous income</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Program service charges</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income</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21,080 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37,411 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243840"/>
                <wp:effectExtent l="0" t="0" r="0" b="0"/>
                <wp:wrapNone/>
                <wp:docPr id="116" name="Frame116"/>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116</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18 – Condensed Financial Statements of Parent</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Financial information pertaining only to FinWise Bancorp, on a parent-only basis, is as follows as of and for the years ended </w:t>
      </w:r>
      <w:r>
        <w:rPr>
          <w:rFonts w:ascii="Times New Roman;sans-serif" w:hAnsi="Times New Roman;sans-serif"/>
          <w:b w:val="false"/>
          <w:color w:val="000000"/>
          <w:sz w:val="20"/>
        </w:rPr>
        <w:t>December 31, 2023</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2022</w:t>
      </w:r>
      <w:r>
        <w:rPr>
          <w:rFonts w:ascii="Times New Roman;sans-serif" w:hAnsi="Times New Roman;sans-serif"/>
          <w:b w:val="false"/>
          <w:color w:val="000000"/>
          <w:sz w:val="20"/>
          <w:shd w:fill="FFFFFF" w:val="clear"/>
        </w:rPr>
        <w:t>:</w:t>
      </w: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Balance Sheets</w:t>
      </w:r>
    </w:p>
    <w:tbl>
      <w:tblPr>
        <w:tblW w:w="7568" w:type="dxa"/>
        <w:jc w:val="left"/>
        <w:tblInd w:w="0" w:type="dxa"/>
        <w:tblLayout w:type="fixed"/>
        <w:tblCellMar>
          <w:top w:w="28" w:type="dxa"/>
          <w:left w:w="28" w:type="dxa"/>
          <w:bottom w:w="28" w:type="dxa"/>
          <w:right w:w="28" w:type="dxa"/>
        </w:tblCellMar>
      </w:tblPr>
      <w:tblGrid>
        <w:gridCol w:w="1764"/>
        <w:gridCol w:w="1551"/>
        <w:gridCol w:w="1559"/>
        <w:gridCol w:w="211"/>
        <w:gridCol w:w="841"/>
        <w:gridCol w:w="109"/>
        <w:gridCol w:w="109"/>
        <w:gridCol w:w="109"/>
        <w:gridCol w:w="109"/>
        <w:gridCol w:w="211"/>
        <w:gridCol w:w="841"/>
        <w:gridCol w:w="154"/>
      </w:tblGrid>
      <w:tr>
        <w:trPr/>
        <w:tc>
          <w:tcPr>
            <w:tcW w:w="1764"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subsidiary bank</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Business Funding Group (BFG), at fair value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FinWise Investments, LLC</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taxes,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receivable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156,112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141,832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SHAREHOLDERS’ EQUITY</w:t>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shareholders’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156,112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141,832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Statement of Income</w:t>
      </w:r>
    </w:p>
    <w:tbl>
      <w:tblPr>
        <w:tblW w:w="6939" w:type="dxa"/>
        <w:jc w:val="left"/>
        <w:tblInd w:w="0" w:type="dxa"/>
        <w:tblLayout w:type="fixed"/>
        <w:tblCellMar>
          <w:top w:w="28" w:type="dxa"/>
          <w:left w:w="28" w:type="dxa"/>
          <w:bottom w:w="28" w:type="dxa"/>
          <w:right w:w="28" w:type="dxa"/>
        </w:tblCellMar>
      </w:tblPr>
      <w:tblGrid>
        <w:gridCol w:w="1396"/>
        <w:gridCol w:w="1226"/>
        <w:gridCol w:w="1232"/>
        <w:gridCol w:w="262"/>
        <w:gridCol w:w="915"/>
        <w:gridCol w:w="135"/>
        <w:gridCol w:w="135"/>
        <w:gridCol w:w="135"/>
        <w:gridCol w:w="135"/>
        <w:gridCol w:w="262"/>
        <w:gridCol w:w="915"/>
        <w:gridCol w:w="191"/>
      </w:tblGrid>
      <w:tr>
        <w:trPr/>
        <w:tc>
          <w:tcPr>
            <w:tcW w:w="139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w:t>
            </w:r>
          </w:p>
        </w:tc>
      </w:tr>
      <w:tr>
        <w:trPr/>
        <w:tc>
          <w:tcPr>
            <w:tcW w:w="3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Non-interest income</w:t>
            </w:r>
          </w:p>
        </w:tc>
        <w:tc>
          <w:tcPr>
            <w:tcW w:w="13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on investment in BFG</w:t>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undistributed earnings of subsidiary</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miscellaneous income</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income</w:t>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22,077 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28,612 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Non-interest expense</w:t>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employee benefits</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non-interest expense</w:t>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4,776 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 expense</w:t>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15,887 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23,836 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17,461</w:t>
            </w:r>
            <w:r>
              <w:rPr>
                <w:color w:val="000000"/>
              </w:rPr>
              <w:t> </w:t>
            </w:r>
          </w:p>
        </w:tc>
        <w:tc>
          <w:tcPr>
            <w:tcW w:w="1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25,115</w:t>
            </w:r>
            <w:r>
              <w:rPr>
                <w:color w:val="000000"/>
              </w:rPr>
              <w:t> </w:t>
            </w:r>
          </w:p>
        </w:tc>
        <w:tc>
          <w:tcPr>
            <w:tcW w:w="1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243840"/>
                <wp:effectExtent l="0" t="0" r="0" b="0"/>
                <wp:wrapNone/>
                <wp:docPr id="117" name="Frame117"/>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117</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Statements of Cash Flows</w:t>
      </w:r>
    </w:p>
    <w:tbl>
      <w:tblPr>
        <w:tblW w:w="9132" w:type="dxa"/>
        <w:jc w:val="left"/>
        <w:tblInd w:w="0" w:type="dxa"/>
        <w:tblLayout w:type="fixed"/>
        <w:tblCellMar>
          <w:top w:w="28" w:type="dxa"/>
          <w:left w:w="28" w:type="dxa"/>
          <w:bottom w:w="28" w:type="dxa"/>
          <w:right w:w="28" w:type="dxa"/>
        </w:tblCellMar>
      </w:tblPr>
      <w:tblGrid>
        <w:gridCol w:w="2188"/>
        <w:gridCol w:w="1924"/>
        <w:gridCol w:w="1933"/>
        <w:gridCol w:w="265"/>
        <w:gridCol w:w="908"/>
        <w:gridCol w:w="137"/>
        <w:gridCol w:w="137"/>
        <w:gridCol w:w="137"/>
        <w:gridCol w:w="137"/>
        <w:gridCol w:w="265"/>
        <w:gridCol w:w="908"/>
        <w:gridCol w:w="193"/>
      </w:tblGrid>
      <w:tr>
        <w:trPr/>
        <w:tc>
          <w:tcPr>
            <w:tcW w:w="2188"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Years Ended December 31,</w:t>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in thousands)</w:t>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from operating activities</w:t>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BFG</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expense</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changes in:</w:t>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payable (receivable)</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18,897 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27,781 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subsidiary bank</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(29,090)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FinWise Investments, LLC</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(22,011)</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(29,281)</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repurchased</w:t>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change in cash and cash equivalents</w:t>
            </w:r>
          </w:p>
        </w:tc>
        <w:tc>
          <w:tcPr>
            <w:tcW w:w="11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(7,811)</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beginning of year</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38,697 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end of year</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28,510 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36,321 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19 – Subsequent Events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Subsequent events are events or transactions that occur after the date of the most recent balance sheet but before the financial statements are available to be issued. The Company recognizes in the financial statements the effects of all subsequent events that provide additional evidence about conditions that existed at the date of the balance sheet, including the estimates inherent in the process of preparing of the financial statements. The Company’s financial statements do not recognize subsequent events that provide evidence about conditions that did not exist at the date of the balance sheet but arose after the date of the balance sheet and before the financial statements are available to be issued.</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The Company has evaluated subsequent events through </w:t>
      </w:r>
      <w:r>
        <w:rPr>
          <w:rFonts w:ascii="Times New Roman;sans-serif" w:hAnsi="Times New Roman;sans-serif"/>
          <w:b w:val="false"/>
          <w:color w:val="000000"/>
          <w:sz w:val="20"/>
        </w:rPr>
        <w:t>March 25, 2024</w:t>
      </w:r>
      <w:r>
        <w:rPr>
          <w:rFonts w:ascii="Times New Roman;sans-serif" w:hAnsi="Times New Roman;sans-serif"/>
          <w:b w:val="false"/>
          <w:color w:val="000000"/>
          <w:sz w:val="20"/>
          <w:shd w:fill="FFFFFF" w:val="clear"/>
        </w:rPr>
        <w:t>, which is the date the consolidated financial statements are available to be issued.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5, 2024, the Transaction was consummated and the Company issued in the aggregate 339,176 shares of Common Stock of the Company, par value $0.001 per share, in a private placement to the Sellers in exchange for their 10% aggregate non-voting ownership interest in BFG.</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March 7, 2024, the Company announced that its Board of Directors (the “Board”) has authorized, effective March 6, 2024, a common stock repurchase program to purchase up to 641,832 shares of the Company’s common stock in the aggregate. The repurchase program expires on March 31, 2026, but may be limited or terminated at any time without prior notice. The repurchase program authorizes the repurchase by the Company of its common stock in open market transactions, including pursuant to a trading plan in accordance with Rule 10b-18 promulgated under the Securities Exchange Act of 1934, as amended (the “Exchange Act”), or privately negotiated transactions. The authorization permits management to repurchase shares of the Company’s common stock from time to time at management’s discretion. Repurchases may also be made pursuant to a trading plan under Rule 10b5-1 under the Exchange Act, which would permit shares to be repurchased when the Company might otherwise be precluded from doing so because of self-imposed trading blackout periods or other regulatory restrictions. The actual means and timing of any shares purchased under the program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243840"/>
                <wp:effectExtent l="0" t="0" r="0" b="0"/>
                <wp:wrapNone/>
                <wp:docPr id="118" name="Frame118"/>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118</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will depend on a variety of factors, including the market price of the Company’s common stock, general market and economic conditions, and applicable legal and regulatory requirements. The repurchase program does not obligate the Company to purchase any particular number of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243840"/>
                <wp:effectExtent l="0" t="0" r="0" b="0"/>
                <wp:wrapNone/>
                <wp:docPr id="119" name="Frame119"/>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119</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Disclosures</w:t>
      </w:r>
    </w:p>
    <w:p>
      <w:pPr>
        <w:pStyle w:val="TextBody"/>
        <w:bidi w:val="0"/>
        <w:spacing w:lineRule="auto" w:line="288" w:before="20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200" w:after="283"/>
        <w:ind w:left="0" w:right="0" w:hanging="270"/>
        <w:jc w:val="both"/>
        <w:rPr>
          <w:rFonts w:ascii="Times New Roman;sans-serif" w:hAnsi="Times New Roman;sans-serif"/>
          <w:b/>
          <w:color w:val="000000"/>
          <w:sz w:val="20"/>
        </w:rPr>
      </w:pPr>
      <w:r>
        <w:rPr>
          <w:rFonts w:ascii="Times New Roman;sans-serif" w:hAnsi="Times New Roman;sans-serif"/>
          <w:b/>
          <w:color w:val="000000"/>
          <w:sz w:val="20"/>
        </w:rPr>
        <w:t>a)Evaluation of Disclosure Controls and Procedures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an evaluation under the supervision and with the participation of our management including our Chief Executive Officer (“CEO”) and our Chief Financial Officer (“CFO”) of the effectiveness of the design and operation of our disclosure controls and procedures, as defined in Rules 13a-15(e) and 15d-15(e) under the Exchange Act, as amended, as of December 31, 2023, to ensure that information required to be disclosed by us in the reports filed or submitted by us under the Exchange Act is recorded, processed, summarized and reported, within the time periods specified in the Securities and Exchange Commission’s rules and forms, including to ensure that information required to be disclosed by us in the reports filed or submitted by us under the Exchange Act is accumulated and communicated to management to allow timely decisions regarding required disclosure. Based on that evaluation, our CEO and CFO concluded that as of December 31, 2023, our disclosure controls and procedures were effective. </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Report of Management’s Assessment of Internal Control Over Financial Reporting</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such term is defined in Exchange Act Rules 13a-15(f) and 15d-15(f). Our management conducted an assessment of the effectiveness of our internal control over financial reporting. This assessment was based upon the criteria for effective internal control over financial reporting established in the 2013 Internal Control - Integrated Framework, issued by the Committee of Sponsoring Organizations of the Treadway Commission.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internal control over financial reporting involves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the controls themselves, as well as monitoring of the controls and internal auditing practices and actions to correct deficiencies identified. Because of its inherent limitations, internal control over financial reporting may not prevent or detect all misstatements.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assessed the effectiveness of the Company’s internal control over financial reporting as of December 31, 2023. Based on this assessment, management concluded that, as of December 31, 2023, the Company’s internal control over financial reporting was effective.</w:t>
      </w:r>
    </w:p>
    <w:p>
      <w:pPr>
        <w:pStyle w:val="TextBody"/>
        <w:bidi w:val="0"/>
        <w:spacing w:lineRule="auto" w:line="288" w:before="200" w:after="283"/>
        <w:ind w:left="0" w:right="0" w:hanging="270"/>
        <w:jc w:val="both"/>
        <w:rPr>
          <w:rFonts w:ascii="Times New Roman;sans-serif" w:hAnsi="Times New Roman;sans-serif"/>
          <w:b/>
          <w:color w:val="000000"/>
          <w:sz w:val="20"/>
        </w:rPr>
      </w:pPr>
      <w:r>
        <w:rPr>
          <w:rFonts w:ascii="Times New Roman;sans-serif" w:hAnsi="Times New Roman;sans-serif"/>
          <w:b/>
          <w:color w:val="000000"/>
          <w:sz w:val="20"/>
        </w:rPr>
        <w:t>b)Changes in Internal Control Over Financial Reporting</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the Company’s internal controls over financial reporting identified in connection with the evaluation required by paragraph (d) of Exchange Act Rules 13a-15 or 15d-15 that occurred during the quarter ended December 31, 2023 that have materially affected, or were reasonably likely to materially affect, the Company’s internal controls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9B.    Other Information</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None of our directors or officers have adopted, modified, or terminated a Rule 10b5-1(c) trading arrangement during the year ended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Our directors and officers participate in certain of our benefits plans and may from time to time make elections to surrender shares or have shares withheld to cover withholding taxes or pay the exercise price of options granted thereunder. These elections may be designed to satisfy the affirmative defense conditions of Rule 10b5-1 under the Exchange Act or may constitute non-Rule 10b5-1 trading arrangements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243840"/>
                <wp:effectExtent l="0" t="0" r="0" b="0"/>
                <wp:wrapNone/>
                <wp:docPr id="120" name="Frame120"/>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120</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20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The information required by Items 401, 405, 406 and 407 (c)(3); (d)(4) and (d)(5) of Regulation S-K is incorporated into this Form 10-K by reference to the Company’s definitive proxy statement for its 2024 Annual Meeting of Shareholders (the “Definitive Proxy Statement”) to be filed within 120 days following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both"/>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The information required by Item 402 of Regulation S-K is incorporated into this Form 10-K by reference to the Definitive Proxy Statement to be filed within 120 days following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both"/>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Shareholder Matters</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The information required by Item 201(d) and Item 403 of Regulation S-K is incorporated into this Form 10-K by reference to the Definitive Proxy Statement, to be filed within 120 days following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Part II, Item 5. Market for Registrant’s Common Equity, Related Stockholder Matters and Issuer Purchases of Equity Securities for “Securities Authorized for Issuance Under Equity Compensation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both"/>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The information required by Items 404 and 407(a) of Regulation S-K is incorporated into this Form 10-K by reference to the Definitive Proxy Statement to be filed within 120 days following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left"/>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88" w:before="200" w:after="283"/>
        <w:jc w:val="both"/>
        <w:rPr/>
      </w:pPr>
      <w:r>
        <w:rPr>
          <w:rFonts w:ascii="Times New Roman;sans-serif" w:hAnsi="Times New Roman;sans-serif"/>
          <w:b w:val="false"/>
          <w:color w:val="000000"/>
          <w:sz w:val="20"/>
          <w:shd w:fill="FFFFFF" w:val="clear"/>
        </w:rPr>
        <w:t xml:space="preserve">The information required by Item 9(e) of Schedule 14A is incorporated into this Form 10-K by reference to the Definitive Proxy Statement to be filed within 120 days following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243840"/>
                <wp:effectExtent l="0" t="0" r="0" b="0"/>
                <wp:wrapNone/>
                <wp:docPr id="121" name="Frame121"/>
                <a:graphic xmlns:a="http://schemas.openxmlformats.org/drawingml/2006/main">
                  <a:graphicData uri="http://schemas.microsoft.com/office/word/2010/wordprocessingShape">
                    <wps:wsp>
                      <wps:cNvSpPr txBox="1"/>
                      <wps:spPr>
                        <a:xfrm>
                          <a:off x="0" y="0"/>
                          <a:ext cx="6480175" cy="243840"/>
                        </a:xfrm>
                        <a:prstGeom prst="rect"/>
                        <a:solidFill>
                          <a:srgbClr val="FFFFFF"/>
                        </a:solidFill>
                      </wps:spPr>
                      <wps:txb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121</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lineRule="auto" w:line="288" w:before="200" w:after="283"/>
        <w:ind w:left="0" w:right="0" w:hanging="27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shd w:fill="FFFFFF" w:val="clear"/>
        </w:rPr>
        <w:t>Financial Statements</w:t>
      </w:r>
    </w:p>
    <w:p>
      <w:pPr>
        <w:pStyle w:val="TextBody"/>
        <w:bidi w:val="0"/>
        <w:spacing w:lineRule="auto" w:line="288" w:before="20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consolidated financial statements of FinWise Bancorp are filed as part of this Report under Item 8. Financial Statements and Supplementary Data:</w:t>
      </w:r>
    </w:p>
    <w:tbl>
      <w:tblPr>
        <w:tblW w:w="6841" w:type="dxa"/>
        <w:jc w:val="left"/>
        <w:tblInd w:w="0" w:type="dxa"/>
        <w:tblLayout w:type="fixed"/>
        <w:tblCellMar>
          <w:top w:w="28" w:type="dxa"/>
          <w:left w:w="28" w:type="dxa"/>
          <w:bottom w:w="28" w:type="dxa"/>
          <w:right w:w="28" w:type="dxa"/>
        </w:tblCellMar>
      </w:tblPr>
      <w:tblGrid>
        <w:gridCol w:w="2269"/>
        <w:gridCol w:w="1995"/>
        <w:gridCol w:w="2006"/>
        <w:gridCol w:w="167"/>
        <w:gridCol w:w="167"/>
        <w:gridCol w:w="237"/>
      </w:tblGrid>
      <w:tr>
        <w:trPr/>
        <w:tc>
          <w:tcPr>
            <w:tcW w:w="2269"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73">
              <w:r>
                <w:rPr>
                  <w:rStyle w:val="InternetLink"/>
                  <w:rFonts w:ascii="Times New Roman;sans-serif" w:hAnsi="Times New Roman;sans-serif"/>
                  <w:b w:val="false"/>
                  <w:color w:val="000080"/>
                  <w:sz w:val="20"/>
                </w:rPr>
                <w:t>Report of Independent Registered Public Accounting Firm</w:t>
              </w:r>
            </w:hyperlink>
            <w:r>
              <w:rPr>
                <w:rFonts w:ascii="Times New Roman;sans-serif" w:hAnsi="Times New Roman;sans-serif"/>
                <w:b w:val="false"/>
                <w:color w:val="000000"/>
                <w:sz w:val="20"/>
              </w:rPr>
              <w:t xml:space="preserve"> (PCAOB ID 173)</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a473d16a0b248378eb2de2b08890873_73">
              <w:r>
                <w:rPr>
                  <w:rStyle w:val="InternetLink"/>
                  <w:rFonts w:ascii="Times New Roman;sans-serif" w:hAnsi="Times New Roman;sans-serif"/>
                  <w:b w:val="false"/>
                  <w:color w:val="000000"/>
                  <w:sz w:val="20"/>
                </w:rPr>
                <w:t>77</w:t>
              </w:r>
            </w:hyperlink>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76">
              <w:r>
                <w:rPr>
                  <w:rStyle w:val="InternetLink"/>
                  <w:rFonts w:ascii="Times New Roman;sans-serif" w:hAnsi="Times New Roman;sans-serif"/>
                  <w:b w:val="false"/>
                  <w:color w:val="000000"/>
                  <w:sz w:val="20"/>
                </w:rPr>
                <w:t>Consolidated Balance Sheet</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a473d16a0b248378eb2de2b08890873_76">
              <w:r>
                <w:rPr>
                  <w:rStyle w:val="InternetLink"/>
                  <w:rFonts w:ascii="Times New Roman;sans-serif" w:hAnsi="Times New Roman;sans-serif"/>
                  <w:b w:val="false"/>
                  <w:color w:val="000000"/>
                  <w:sz w:val="20"/>
                </w:rPr>
                <w:t>78</w:t>
              </w:r>
            </w:hyperlink>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79">
              <w:r>
                <w:rPr>
                  <w:rStyle w:val="InternetLink"/>
                  <w:rFonts w:ascii="Times New Roman;sans-serif" w:hAnsi="Times New Roman;sans-serif"/>
                  <w:b w:val="false"/>
                  <w:color w:val="000000"/>
                  <w:sz w:val="20"/>
                </w:rPr>
                <w:t>Consolidated Statements of Income</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a473d16a0b248378eb2de2b08890873_79">
              <w:r>
                <w:rPr>
                  <w:rStyle w:val="InternetLink"/>
                  <w:rFonts w:ascii="Times New Roman;sans-serif" w:hAnsi="Times New Roman;sans-serif"/>
                  <w:b w:val="false"/>
                  <w:color w:val="000000"/>
                  <w:sz w:val="20"/>
                </w:rPr>
                <w:t>79</w:t>
              </w:r>
            </w:hyperlink>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82">
              <w:r>
                <w:rPr>
                  <w:rStyle w:val="InternetLink"/>
                  <w:rFonts w:ascii="Times New Roman;sans-serif" w:hAnsi="Times New Roman;sans-serif"/>
                  <w:b w:val="false"/>
                  <w:color w:val="000000"/>
                  <w:sz w:val="20"/>
                </w:rPr>
                <w:t>Consolidated Statements of Changes in Shareholders’ Equity</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a473d16a0b248378eb2de2b08890873_82">
              <w:r>
                <w:rPr>
                  <w:rStyle w:val="InternetLink"/>
                  <w:rFonts w:ascii="Times New Roman;sans-serif" w:hAnsi="Times New Roman;sans-serif"/>
                  <w:b w:val="false"/>
                  <w:color w:val="000000"/>
                  <w:sz w:val="20"/>
                </w:rPr>
                <w:t>80</w:t>
              </w:r>
            </w:hyperlink>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85">
              <w:r>
                <w:rPr>
                  <w:rStyle w:val="InternetLink"/>
                  <w:rFonts w:ascii="Times New Roman;sans-serif" w:hAnsi="Times New Roman;sans-serif"/>
                  <w:b w:val="false"/>
                  <w:color w:val="000000"/>
                  <w:sz w:val="20"/>
                </w:rPr>
                <w:t>Consolidated Statements of Cash Flows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pPr>
            <w:hyperlink w:anchor="i4a473d16a0b248378eb2de2b08890873_85">
              <w:r>
                <w:rPr>
                  <w:rStyle w:val="InternetLink"/>
                  <w:rFonts w:ascii="Times New Roman;sans-serif" w:hAnsi="Times New Roman;sans-serif"/>
                  <w:b w:val="false"/>
                  <w:color w:val="000000"/>
                  <w:sz w:val="20"/>
                </w:rPr>
                <w:t>81</w:t>
              </w:r>
            </w:hyperlink>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4a473d16a0b248378eb2de2b08890873_88">
              <w:r>
                <w:rPr>
                  <w:rStyle w:val="InternetLink"/>
                  <w:rFonts w:ascii="Times New Roman;sans-serif" w:hAnsi="Times New Roman;sans-serif"/>
                  <w:b w:val="false"/>
                  <w:color w:val="000000"/>
                  <w:sz w:val="20"/>
                </w:rPr>
                <w:t>Notes to Consolidated Financial Statements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pPr>
            <w:hyperlink w:anchor="i4a473d16a0b248378eb2de2b08890873_88">
              <w:r>
                <w:rPr>
                  <w:rStyle w:val="InternetLink"/>
                  <w:rFonts w:ascii="Times New Roman;sans-serif" w:hAnsi="Times New Roman;sans-serif"/>
                  <w:b w:val="false"/>
                  <w:color w:val="000000"/>
                  <w:sz w:val="20"/>
                </w:rPr>
                <w:t>82</w:t>
              </w:r>
            </w:hyperlink>
          </w:p>
        </w:tc>
      </w:tr>
    </w:tbl>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659"/>
        <w:gridCol w:w="2640"/>
        <w:gridCol w:w="3768"/>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3768"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2">
              <w:r>
                <w:rPr>
                  <w:rStyle w:val="InternetLink"/>
                  <w:rFonts w:ascii="Times New Roman;sans-serif" w:hAnsi="Times New Roman;sans-serif"/>
                  <w:b w:val="false"/>
                  <w:color w:val="0000FF"/>
                  <w:sz w:val="20"/>
                  <w:u w:val="single"/>
                </w:rPr>
                <w:t>Fourth Amended and Restated Articles of Incorporation (incorporated by reference to Exhibit 3.1 of the Registrant’s Registration Statement on Form S-1 filed with the Securities and Exchange Commission on July 30, 2021 (File No. 333-257929)).</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
              <w:r>
                <w:rPr>
                  <w:rStyle w:val="InternetLink"/>
                  <w:rFonts w:ascii="Times New Roman;sans-serif" w:hAnsi="Times New Roman;sans-serif"/>
                  <w:b w:val="false"/>
                  <w:color w:val="000080"/>
                  <w:sz w:val="20"/>
                  <w:u w:val="single"/>
                </w:rPr>
                <w:t>Amended and Restated Bylaws (incorporated by reference to Exhibit 3.</w:t>
              </w:r>
            </w:hyperlink>
            <w:hyperlink r:id="rId4">
              <w:r>
                <w:rPr>
                  <w:rStyle w:val="InternetLink"/>
                  <w:rFonts w:ascii="Times New Roman;sans-serif" w:hAnsi="Times New Roman;sans-serif"/>
                  <w:b w:val="false"/>
                  <w:color w:val="000080"/>
                  <w:sz w:val="20"/>
                  <w:u w:val="single"/>
                </w:rPr>
                <w:t>1</w:t>
              </w:r>
            </w:hyperlink>
            <w:hyperlink r:id="rId5">
              <w:r>
                <w:rPr>
                  <w:rStyle w:val="InternetLink"/>
                  <w:rFonts w:ascii="Times New Roman;sans-serif" w:hAnsi="Times New Roman;sans-serif"/>
                  <w:b w:val="false"/>
                  <w:color w:val="000080"/>
                  <w:sz w:val="20"/>
                  <w:u w:val="single"/>
                </w:rPr>
                <w:t xml:space="preserve"> of the Registrant’s </w:t>
              </w:r>
            </w:hyperlink>
            <w:hyperlink r:id="rId6">
              <w:r>
                <w:rPr>
                  <w:rStyle w:val="InternetLink"/>
                  <w:rFonts w:ascii="Times New Roman;sans-serif" w:hAnsi="Times New Roman;sans-serif"/>
                  <w:b w:val="false"/>
                  <w:color w:val="000080"/>
                  <w:sz w:val="20"/>
                  <w:u w:val="single"/>
                </w:rPr>
                <w:t>Current Report</w:t>
              </w:r>
            </w:hyperlink>
            <w:hyperlink r:id="rId7">
              <w:r>
                <w:rPr>
                  <w:rStyle w:val="InternetLink"/>
                  <w:rFonts w:ascii="Times New Roman;sans-serif" w:hAnsi="Times New Roman;sans-serif"/>
                  <w:b w:val="false"/>
                  <w:color w:val="000080"/>
                  <w:sz w:val="20"/>
                  <w:u w:val="single"/>
                </w:rPr>
                <w:t xml:space="preserve"> on Form </w:t>
              </w:r>
            </w:hyperlink>
            <w:hyperlink r:id="rId8">
              <w:r>
                <w:rPr>
                  <w:rStyle w:val="InternetLink"/>
                  <w:rFonts w:ascii="Times New Roman;sans-serif" w:hAnsi="Times New Roman;sans-serif"/>
                  <w:b w:val="false"/>
                  <w:color w:val="000080"/>
                  <w:sz w:val="20"/>
                  <w:u w:val="single"/>
                </w:rPr>
                <w:t>8-K</w:t>
              </w:r>
            </w:hyperlink>
            <w:hyperlink r:id="rId9">
              <w:r>
                <w:rPr>
                  <w:rStyle w:val="InternetLink"/>
                  <w:rFonts w:ascii="Times New Roman;sans-serif" w:hAnsi="Times New Roman;sans-serif"/>
                  <w:b w:val="false"/>
                  <w:color w:val="000080"/>
                  <w:sz w:val="20"/>
                  <w:u w:val="single"/>
                </w:rPr>
                <w:t xml:space="preserve"> filed with the Securities and Exchange Commission on </w:t>
              </w:r>
            </w:hyperlink>
            <w:hyperlink r:id="rId10">
              <w:r>
                <w:rPr>
                  <w:rStyle w:val="InternetLink"/>
                  <w:rFonts w:ascii="Times New Roman;sans-serif" w:hAnsi="Times New Roman;sans-serif"/>
                  <w:b w:val="false"/>
                  <w:color w:val="000080"/>
                  <w:sz w:val="20"/>
                  <w:u w:val="single"/>
                </w:rPr>
                <w:t>November</w:t>
              </w:r>
            </w:hyperlink>
            <w:hyperlink r:id="rId11">
              <w:r>
                <w:rPr>
                  <w:rStyle w:val="InternetLink"/>
                  <w:rFonts w:ascii="Times New Roman;sans-serif" w:hAnsi="Times New Roman;sans-serif"/>
                  <w:b w:val="false"/>
                  <w:color w:val="000080"/>
                  <w:sz w:val="20"/>
                  <w:u w:val="single"/>
                </w:rPr>
                <w:t xml:space="preserve"> 30, </w:t>
              </w:r>
            </w:hyperlink>
            <w:hyperlink r:id="rId12">
              <w:r>
                <w:rPr>
                  <w:rStyle w:val="InternetLink"/>
                  <w:rFonts w:ascii="Times New Roman;sans-serif" w:hAnsi="Times New Roman;sans-serif"/>
                  <w:b w:val="false"/>
                  <w:color w:val="000080"/>
                  <w:sz w:val="20"/>
                  <w:u w:val="single"/>
                </w:rPr>
                <w:t>2023).</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13">
              <w:r>
                <w:rPr>
                  <w:rStyle w:val="InternetLink"/>
                  <w:rFonts w:ascii="Times New Roman;sans-serif" w:hAnsi="Times New Roman;sans-serif"/>
                  <w:b w:val="false"/>
                  <w:color w:val="000080"/>
                  <w:sz w:val="20"/>
                  <w:u w:val="single"/>
                </w:rPr>
                <w:t>Specimen common stock certificate</w:t>
              </w:r>
            </w:hyperlink>
            <w:hyperlink r:id="rId14">
              <w:r>
                <w:rPr>
                  <w:rStyle w:val="InternetLink"/>
                  <w:rFonts w:ascii="Times New Roman;sans-serif" w:hAnsi="Times New Roman;sans-serif"/>
                  <w:b w:val="false"/>
                  <w:color w:val="000080"/>
                  <w:sz w:val="20"/>
                  <w:u w:val="single"/>
                </w:rPr>
                <w:t xml:space="preserve"> (incorp</w:t>
              </w:r>
            </w:hyperlink>
            <w:hyperlink r:id="rId15">
              <w:r>
                <w:rPr>
                  <w:rStyle w:val="InternetLink"/>
                  <w:rFonts w:ascii="Times New Roman;sans-serif" w:hAnsi="Times New Roman;sans-serif"/>
                  <w:b w:val="false"/>
                  <w:color w:val="000080"/>
                  <w:sz w:val="20"/>
                  <w:u w:val="single"/>
                </w:rPr>
                <w:t>orated by reference to Exhibit 4.1 of the Registrant's Annual Report on Form 10-K filed with the Securities and Exchange Commission on March 30, 2023).</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6">
              <w:r>
                <w:rPr>
                  <w:rStyle w:val="InternetLink"/>
                  <w:rFonts w:ascii="Times New Roman;sans-serif" w:hAnsi="Times New Roman;sans-serif"/>
                  <w:b w:val="false"/>
                  <w:color w:val="0000FF"/>
                  <w:sz w:val="20"/>
                  <w:u w:val="single"/>
                </w:rPr>
                <w:t>Form of Warrant to BFG Members to Purchase Common Stock of FinWise Bancorp (incorporated by reference to Exhibit 4.2 of the Registrant’s Registration Statement on Form S-1 filed with the Securities and Exchange Commission on July 15, 2021 (File No. 333-257929)).</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17">
              <w:r>
                <w:rPr>
                  <w:rStyle w:val="InternetLink"/>
                  <w:rFonts w:ascii="Times New Roman;sans-serif" w:hAnsi="Times New Roman;sans-serif"/>
                  <w:b w:val="false"/>
                  <w:color w:val="000080"/>
                  <w:sz w:val="20"/>
                  <w:u w:val="single"/>
                </w:rPr>
                <w:t>Description of Securities Registered Under Section 12 of the Securities Exchange Act of 1934, as amended</w:t>
              </w:r>
            </w:hyperlink>
            <w:hyperlink r:id="rId18">
              <w:r>
                <w:rPr>
                  <w:rStyle w:val="InternetLink"/>
                  <w:rFonts w:ascii="Times New Roman;sans-serif" w:hAnsi="Times New Roman;sans-serif"/>
                  <w:b w:val="false"/>
                  <w:color w:val="000080"/>
                  <w:sz w:val="20"/>
                  <w:u w:val="single"/>
                </w:rPr>
                <w:t xml:space="preserve"> (incorporated by reference to Exhibit 4.3 of the Registrant's Annual Report on Form 10-K filed with the Securities and Exchange Commission on March 30, 2023).</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9">
              <w:r>
                <w:rPr>
                  <w:rStyle w:val="InternetLink"/>
                  <w:rFonts w:ascii="Times New Roman;sans-serif" w:hAnsi="Times New Roman;sans-serif"/>
                  <w:b w:val="false"/>
                  <w:color w:val="0000FF"/>
                  <w:sz w:val="20"/>
                  <w:u w:val="single"/>
                </w:rPr>
                <w:t>FinWise Bancorp 2019 Stock Option Plan (incorporated by reference to Exhibit 10.1 of the Registrant’s Current Report on Form 8-K filed with the Securities and Exchange Commission on June 14, 2022).</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20">
              <w:r>
                <w:rPr>
                  <w:rStyle w:val="InternetLink"/>
                  <w:rFonts w:ascii="Times New Roman;sans-serif" w:hAnsi="Times New Roman;sans-serif"/>
                  <w:b w:val="false"/>
                  <w:color w:val="0000FF"/>
                  <w:sz w:val="20"/>
                  <w:u w:val="single"/>
                </w:rPr>
                <w:t>Form of Stock Option Agreement under the FinWise Bancorp 2019 Stock Option Plan (incorporated by reference to Exhibit 10.2 of the Registrant’s Registration Statement on Form S-1 filed with the Securities and Exchange Commission on July 15, 2021 (File No. 333-257929)).</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21">
              <w:r>
                <w:rPr>
                  <w:rStyle w:val="InternetLink"/>
                  <w:rFonts w:ascii="Times New Roman;sans-serif" w:hAnsi="Times New Roman;sans-serif"/>
                  <w:b w:val="false"/>
                  <w:color w:val="0000FF"/>
                  <w:sz w:val="20"/>
                  <w:u w:val="single"/>
                </w:rPr>
                <w:t>FinWise Bancorp 2016 Stock Option Plan (incorporated by reference to Exhibit 10.3 of the Registrant’s Registration Statement on Form S-1 filed with the Securities and Exchange Commission on July 30, 2021 (File No. 333-257929)).</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22">
              <w:r>
                <w:rPr>
                  <w:rStyle w:val="InternetLink"/>
                  <w:rFonts w:ascii="Times New Roman;sans-serif" w:hAnsi="Times New Roman;sans-serif"/>
                  <w:b w:val="false"/>
                  <w:color w:val="0000FF"/>
                  <w:sz w:val="20"/>
                  <w:u w:val="single"/>
                </w:rPr>
                <w:t>Form of Stock Option Agreement under the FinWise Bancorp 2016 Stock Option Plan (incorporated by reference to Exhibit 10.4 of the Registrant’s Registration Statement on Form S-1 filed with the Securities and Exchange Commission on July 15, 2021 (File No. 333-257929)).</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23">
              <w:r>
                <w:rPr>
                  <w:rStyle w:val="InternetLink"/>
                  <w:rFonts w:ascii="Times New Roman;sans-serif" w:hAnsi="Times New Roman;sans-serif"/>
                  <w:b w:val="false"/>
                  <w:color w:val="0000FF"/>
                  <w:sz w:val="20"/>
                  <w:u w:val="single"/>
                </w:rPr>
                <w:t>Form of Restricted Stock Award Agreement (incorporated by reference to Exhibit 10.5 of the Registrant’s Registration Statement on Form S-1 filed with the Securities and Exchange Commission on July 15, 2021 (File No. 333-257929)).</w:t>
              </w:r>
            </w:hyperlink>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24">
              <w:r>
                <w:rPr>
                  <w:rStyle w:val="InternetLink"/>
                  <w:rFonts w:ascii="Times New Roman;sans-serif" w:hAnsi="Times New Roman;sans-serif"/>
                  <w:b w:val="false"/>
                  <w:color w:val="0000FF"/>
                  <w:sz w:val="20"/>
                  <w:u w:val="single"/>
                </w:rPr>
                <w:t>Non-qualified Stock Option Agreement with Javvis Jacobson (incorporated by reference to Exhibit 4.6 of the Registrant’s Registration Statement on Form S-8 filed with the Securities and Exchange Commission on February 4, 2022 (File No. 333-262531)).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16840"/>
                <wp:effectExtent l="0" t="0" r="0" b="0"/>
                <wp:wrapNone/>
                <wp:docPr id="122" name="Frame1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122</w:t>
                      </w:r>
                    </w:p>
                  </w:txbxContent>
                </v:textbox>
                <w10:wrap type="none"/>
              </v:rect>
            </w:pict>
          </mc:Fallback>
        </mc:AlternateContent>
      </w:r>
    </w:p>
    <w:p>
      <w:pPr>
        <w:pStyle w:val="TextBody"/>
        <w:bidi w:val="0"/>
        <w:spacing w:lineRule="auto" w:line="288" w:before="0" w:after="0"/>
        <w:jc w:val="left"/>
        <w:rPr/>
      </w:pPr>
      <w:hyperlink w:anchor="i4a473d16a0b248378eb2de2b08890873_7">
        <w:r>
          <w:rPr>
            <w:rStyle w:val="InternetLink"/>
          </w:rPr>
          <w:t>Ind</w:t>
        </w:r>
      </w:hyperlink>
      <w:hyperlink w:anchor="i4a473d16a0b248378eb2de2b08890873_7">
        <w:r>
          <w:rPr>
            <w:rStyle w:val="InternetLink"/>
          </w:rPr>
          <w:t>ex</w:t>
        </w:r>
      </w:hyperlink>
    </w:p>
    <w:tbl>
      <w:tblPr>
        <w:tblW w:w="10205" w:type="dxa"/>
        <w:jc w:val="left"/>
        <w:tblInd w:w="0" w:type="dxa"/>
        <w:tblLayout w:type="fixed"/>
        <w:tblCellMar>
          <w:top w:w="28" w:type="dxa"/>
          <w:left w:w="28" w:type="dxa"/>
          <w:bottom w:w="28" w:type="dxa"/>
          <w:right w:w="28" w:type="dxa"/>
        </w:tblCellMar>
      </w:tblPr>
      <w:tblGrid>
        <w:gridCol w:w="319"/>
        <w:gridCol w:w="280"/>
        <w:gridCol w:w="286"/>
        <w:gridCol w:w="109"/>
        <w:gridCol w:w="109"/>
        <w:gridCol w:w="109"/>
        <w:gridCol w:w="2743"/>
        <w:gridCol w:w="2586"/>
        <w:gridCol w:w="3664"/>
      </w:tblGrid>
      <w:tr>
        <w:trPr/>
        <w:tc>
          <w:tcPr>
            <w:tcW w:w="31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2586" w:type="dxa"/>
            <w:tcBorders/>
            <w:vAlign w:val="center"/>
          </w:tcPr>
          <w:p>
            <w:pPr>
              <w:pStyle w:val="TableContents"/>
              <w:bidi w:val="0"/>
              <w:spacing w:before="0" w:after="283"/>
              <w:jc w:val="left"/>
              <w:rPr>
                <w:sz w:val="4"/>
                <w:szCs w:val="4"/>
              </w:rPr>
            </w:pPr>
            <w:r>
              <w:rPr>
                <w:sz w:val="4"/>
                <w:szCs w:val="4"/>
              </w:rPr>
            </w:r>
          </w:p>
        </w:tc>
        <w:tc>
          <w:tcPr>
            <w:tcW w:w="3664"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25">
              <w:r>
                <w:rPr>
                  <w:rStyle w:val="InternetLink"/>
                  <w:rFonts w:ascii="Times New Roman;sans-serif" w:hAnsi="Times New Roman;sans-serif"/>
                  <w:b w:val="false"/>
                  <w:color w:val="0000FF"/>
                  <w:sz w:val="20"/>
                  <w:u w:val="single"/>
                </w:rPr>
                <w:t>Non-qualified Stock Option Agreement with Jim Noone (incorporated by reference to Exhibit 4.7 of the Registrant’s Registration Statement on Form S-8 filed with the Securities and Exchange Commission on February 4, 2022 (File No. 333-262531)).</w:t>
              </w:r>
            </w:hyperlink>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26">
              <w:r>
                <w:rPr>
                  <w:rStyle w:val="InternetLink"/>
                  <w:rFonts w:ascii="Times New Roman;sans-serif" w:hAnsi="Times New Roman;sans-serif"/>
                  <w:b w:val="false"/>
                  <w:color w:val="0000FF"/>
                  <w:sz w:val="20"/>
                  <w:u w:val="single"/>
                </w:rPr>
                <w:t>Non-qualified Stock Option Agreement with Kent Landvatter (incorporated by reference to Exhibit 4.8 of the Registrant’s Registration Statement on Form S-8 filed with the Securities and Exchange Commission on February 4, 2022 (File No. 333-262531)).</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27">
              <w:r>
                <w:rPr>
                  <w:rStyle w:val="InternetLink"/>
                  <w:rFonts w:ascii="Times New Roman;sans-serif" w:hAnsi="Times New Roman;sans-serif"/>
                  <w:b w:val="false"/>
                  <w:color w:val="0000FF"/>
                  <w:sz w:val="20"/>
                  <w:u w:val="single"/>
                </w:rPr>
                <w:t>Non-qualified Stock Option Agreement with Howard Reynolds for 2020 service (incorporated by reference to Exhibit 4.11 of the Registrant’s Registration Statement on Form S-8 filed with the Securities and Exchange Commission on February 4, 2022 (File No. 333-262531)).</w:t>
              </w:r>
            </w:hyperlink>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28">
              <w:r>
                <w:rPr>
                  <w:rStyle w:val="InternetLink"/>
                  <w:rFonts w:ascii="Times New Roman;sans-serif" w:hAnsi="Times New Roman;sans-serif"/>
                  <w:b w:val="false"/>
                  <w:color w:val="0000FF"/>
                  <w:sz w:val="20"/>
                  <w:u w:val="single"/>
                </w:rPr>
                <w:t>Non-qualified Stock Option Agreement with Howard Reynolds for 2021 service (incorporated by reference to Exhibit 4.12 of the Registrant’s Registration Statement on Form S-8 filed with the Securities and Exchange Commission on February 4, 2022 (File No. 333-262531)).</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29">
              <w:r>
                <w:rPr>
                  <w:rStyle w:val="InternetLink"/>
                  <w:rFonts w:ascii="Times New Roman;sans-serif" w:hAnsi="Times New Roman;sans-serif"/>
                  <w:b w:val="false"/>
                  <w:color w:val="0000FF"/>
                  <w:sz w:val="20"/>
                  <w:u w:val="single"/>
                </w:rPr>
                <w:t>Non-qualified Stock Option Agreement with Jerry Cunningham for 2020 service (incorporated by reference to Exhibit 4.13 of the Registrant’s Registration Statement on Form S-8 filed with the Securities and Exchange Commission on February 4, 2022 (File No. 333-262531)).</w:t>
              </w:r>
            </w:hyperlink>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30">
              <w:r>
                <w:rPr>
                  <w:rStyle w:val="InternetLink"/>
                  <w:rFonts w:ascii="Times New Roman;sans-serif" w:hAnsi="Times New Roman;sans-serif"/>
                  <w:b w:val="false"/>
                  <w:color w:val="0000FF"/>
                  <w:sz w:val="20"/>
                  <w:u w:val="single"/>
                </w:rPr>
                <w:t>Non-qualified Stock Option Agreement with Jerry Cunningham for 2021 service (incorporated by reference to Exhibit 4.14 of the Registrant’s Registration Statement on Form S-8 filed with the Securities and Exchange Commission on February 4, 2022 (File No. 333-262531)).</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1">
              <w:r>
                <w:rPr>
                  <w:rStyle w:val="InternetLink"/>
                  <w:rFonts w:ascii="Times New Roman;sans-serif" w:hAnsi="Times New Roman;sans-serif"/>
                  <w:b w:val="false"/>
                  <w:color w:val="0000FF"/>
                  <w:sz w:val="20"/>
                  <w:u w:val="single"/>
                </w:rPr>
                <w:t>Non-qualified Stock Option Agreement with Tom Gibson for 2020 service (incorporated by reference to Exhibit 4.15 of the Registrant’s Registration Statement on Form S-8 filed with the Securities and Exchange Commission on February 4, 2022 (File No. 333-262531)).</w:t>
              </w:r>
            </w:hyperlink>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32">
              <w:r>
                <w:rPr>
                  <w:rStyle w:val="InternetLink"/>
                  <w:rFonts w:ascii="Times New Roman;sans-serif" w:hAnsi="Times New Roman;sans-serif"/>
                  <w:b w:val="false"/>
                  <w:color w:val="0000FF"/>
                  <w:sz w:val="20"/>
                  <w:u w:val="single"/>
                </w:rPr>
                <w:t>Non-qualified Stock Option Agreement with Tom Gibson for 2021 service (incorporated by reference to Exhibit 4.16 of the Registrant’s Registration Statement on Form S-8 filed with the Securities and Exchange Commission on February 4, 2022 (File No. 333-262531)).</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3">
              <w:r>
                <w:rPr>
                  <w:rStyle w:val="InternetLink"/>
                  <w:rFonts w:ascii="Times New Roman;sans-serif" w:hAnsi="Times New Roman;sans-serif"/>
                  <w:b w:val="false"/>
                  <w:color w:val="0000FF"/>
                  <w:sz w:val="20"/>
                  <w:u w:val="single"/>
                </w:rPr>
                <w:t>Non-qualified Stock Option Agreement with Jim Giordano for 2020 service (incorporated by reference to Exhibit 4.17 of the Registrant’s Registration Statement on Form S-8 filed with the Securities and Exchange Commission on February 4, 2022 (File No. 333-262531)).</w:t>
              </w:r>
            </w:hyperlink>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34">
              <w:r>
                <w:rPr>
                  <w:rStyle w:val="InternetLink"/>
                  <w:rFonts w:ascii="Times New Roman;sans-serif" w:hAnsi="Times New Roman;sans-serif"/>
                  <w:b w:val="false"/>
                  <w:color w:val="0000FF"/>
                  <w:sz w:val="20"/>
                  <w:u w:val="single"/>
                </w:rPr>
                <w:t>Non-qualified Stock Option Agreement with Jim Giordano for 2021 service (incorporated by reference to Exhibit 4.18 of the Registrant’s Registration Statement on Form S-8 filed with the Securities and Exchange Commission on February 4, 2022 (File No. 333-262531)).</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5">
              <w:r>
                <w:rPr>
                  <w:rStyle w:val="InternetLink"/>
                  <w:rFonts w:ascii="Times New Roman;sans-serif" w:hAnsi="Times New Roman;sans-serif"/>
                  <w:b w:val="false"/>
                  <w:color w:val="0000FF"/>
                  <w:sz w:val="20"/>
                  <w:u w:val="single"/>
                </w:rPr>
                <w:t>Non-qualified Stock Option Agreement with Jeana Hutchings for 2020 service (incorporated by reference to Exhibit 4.19 of the Registrant’s Registration Statement on Form S-8 filed with the Securities and Exchange Commission on February 4, 2022 (File No. 333-262531)).</w:t>
              </w:r>
            </w:hyperlink>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36">
              <w:r>
                <w:rPr>
                  <w:rStyle w:val="InternetLink"/>
                  <w:rFonts w:ascii="Times New Roman;sans-serif" w:hAnsi="Times New Roman;sans-serif"/>
                  <w:b w:val="false"/>
                  <w:color w:val="0000FF"/>
                  <w:sz w:val="20"/>
                  <w:u w:val="single"/>
                </w:rPr>
                <w:t>Non-qualified Stock Option Agreement with Jeana Hutchings for 2021 service (incorporated by reference to Exhibit 4.20 of the Registrant’s Registration Statement on Form S-8 filed with the Securities and Exchange Commission on February 4, 2022 (File No. 333-262531)).</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7">
              <w:r>
                <w:rPr>
                  <w:rStyle w:val="InternetLink"/>
                  <w:rFonts w:ascii="Times New Roman;sans-serif" w:hAnsi="Times New Roman;sans-serif"/>
                  <w:b w:val="false"/>
                  <w:color w:val="0000FF"/>
                  <w:sz w:val="20"/>
                  <w:u w:val="single"/>
                </w:rPr>
                <w:t>Non-qualified Stock Option Agreement with Lisa Chapman for 2020 service (incorporated by reference to Exhibit 4.21 of the Registrant’s Registration Statement on Form S-8 filed with the Securities and Exchange Commission on February 4, 2022 (File No. 333-262531)).</w:t>
              </w:r>
            </w:hyperlink>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38">
              <w:r>
                <w:rPr>
                  <w:rStyle w:val="InternetLink"/>
                  <w:rFonts w:ascii="Times New Roman;sans-serif" w:hAnsi="Times New Roman;sans-serif"/>
                  <w:b w:val="false"/>
                  <w:color w:val="0000FF"/>
                  <w:sz w:val="20"/>
                  <w:u w:val="single"/>
                </w:rPr>
                <w:t>Non-qualified Stock Option Agreement with Lisa Chapman for 2021 service (incorporated by reference to Exhibit 4.22 of the Registrant’s Registration Statement on Form S-8 filed with the Securities and Exchange Commission on February 4, 2022 (File No. 333-262531)).</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270"/>
              <w:jc w:val="center"/>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9">
              <w:r>
                <w:rPr>
                  <w:rStyle w:val="InternetLink"/>
                  <w:rFonts w:ascii="Times New Roman;sans-serif" w:hAnsi="Times New Roman;sans-serif"/>
                  <w:b w:val="false"/>
                  <w:color w:val="000080"/>
                  <w:sz w:val="20"/>
                  <w:u w:val="single"/>
                </w:rPr>
                <w:t>Form of Employee Restricted Stock Agreement under the FinWise Bancorp 2019 Stock Option Plan</w:t>
              </w:r>
            </w:hyperlink>
            <w:hyperlink r:id="rId40">
              <w:r>
                <w:rPr>
                  <w:rStyle w:val="InternetLink"/>
                  <w:rFonts w:ascii="Times New Roman;sans-serif" w:hAnsi="Times New Roman;sans-serif"/>
                  <w:b w:val="false"/>
                  <w:color w:val="000080"/>
                  <w:sz w:val="20"/>
                  <w:u w:val="single"/>
                </w:rPr>
                <w:t xml:space="preserve"> (incorporated by reference to Exhibit 10.23 of the Registrant</w:t>
              </w:r>
            </w:hyperlink>
            <w:hyperlink r:id="rId41">
              <w:r>
                <w:rPr>
                  <w:rStyle w:val="InternetLink"/>
                  <w:rFonts w:ascii="Times New Roman;sans-serif" w:hAnsi="Times New Roman;sans-serif"/>
                  <w:b w:val="false"/>
                  <w:color w:val="000080"/>
                  <w:sz w:val="20"/>
                  <w:u w:val="single"/>
                </w:rPr>
                <w:t xml:space="preserve">'s Annual Report on Form 10-K filed with the </w:t>
              </w:r>
            </w:hyperlink>
            <w:hyperlink r:id="rId42">
              <w:r>
                <w:rPr>
                  <w:rStyle w:val="InternetLink"/>
                  <w:rFonts w:ascii="Times New Roman;sans-serif" w:hAnsi="Times New Roman;sans-serif"/>
                  <w:b w:val="false"/>
                  <w:color w:val="000080"/>
                  <w:sz w:val="20"/>
                  <w:u w:val="single"/>
                </w:rPr>
                <w:t>Securities and Exchange Commission on March 30, 2023).</w:t>
              </w:r>
            </w:hyperlink>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270"/>
              <w:jc w:val="center"/>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270"/>
              <w:jc w:val="both"/>
              <w:rPr/>
            </w:pPr>
            <w:hyperlink r:id="rId43">
              <w:r>
                <w:rPr>
                  <w:rStyle w:val="InternetLink"/>
                  <w:rFonts w:ascii="Times New Roman;sans-serif" w:hAnsi="Times New Roman;sans-serif"/>
                  <w:b w:val="false"/>
                  <w:color w:val="000080"/>
                  <w:sz w:val="20"/>
                  <w:u w:val="single"/>
                </w:rPr>
                <w:t>Form of Employee Incentive Stock Option Agreement under the FinWise Bancorp 2019 Stock Option Plan</w:t>
              </w:r>
            </w:hyperlink>
            <w:hyperlink r:id="rId44">
              <w:r>
                <w:rPr>
                  <w:rStyle w:val="InternetLink"/>
                  <w:rFonts w:ascii="Times New Roman;sans-serif" w:hAnsi="Times New Roman;sans-serif"/>
                  <w:b w:val="false"/>
                  <w:color w:val="000080"/>
                  <w:sz w:val="20"/>
                  <w:u w:val="single"/>
                </w:rPr>
                <w:t xml:space="preserve"> (incorporated by reference to Exhibit 10.24 of the Registrant's Annual Report on Form 10-K filed with the Securities and Exchange Commission on March 30, 2023).</w:t>
              </w:r>
            </w:hyperlink>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45">
              <w:r>
                <w:rPr>
                  <w:rStyle w:val="InternetLink"/>
                  <w:rFonts w:ascii="Times New Roman;sans-serif" w:hAnsi="Times New Roman;sans-serif"/>
                  <w:b w:val="false"/>
                  <w:color w:val="0000FF"/>
                  <w:sz w:val="20"/>
                  <w:u w:val="single"/>
                </w:rPr>
                <w:t>Form of Employee Incentive Stock Option Agreement under the FinWise Bancorp 2016 Stock Option Plan and the FinWise Bancorp 2019 Stock Option Plan (incorporated by reference to Exhibit 10.25 of the Registrant's Annual Report on Form 10-K filed with the Securities and Exchange Commission on March 30, 2023).</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16840"/>
                <wp:effectExtent l="0" t="0" r="0" b="0"/>
                <wp:wrapNone/>
                <wp:docPr id="123" name="Frame1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123</w:t>
                      </w:r>
                    </w:p>
                  </w:txbxContent>
                </v:textbox>
                <w10:wrap type="none"/>
              </v:rect>
            </w:pict>
          </mc:Fallback>
        </mc:AlternateContent>
      </w:r>
    </w:p>
    <w:p>
      <w:pPr>
        <w:pStyle w:val="TextBody"/>
        <w:bidi w:val="0"/>
        <w:spacing w:lineRule="auto" w:line="288" w:before="0" w:after="0"/>
        <w:jc w:val="left"/>
        <w:rPr/>
      </w:pPr>
      <w:hyperlink w:anchor="i4a473d16a0b248378eb2de2b08890873_7">
        <w:r>
          <w:rPr>
            <w:rStyle w:val="InternetLink"/>
          </w:rPr>
          <w:t>Ind</w:t>
        </w:r>
      </w:hyperlink>
      <w:hyperlink w:anchor="i4a473d16a0b248378eb2de2b08890873_7">
        <w:r>
          <w:rPr>
            <w:rStyle w:val="InternetLink"/>
          </w:rPr>
          <w:t>ex</w:t>
        </w:r>
      </w:hyperlink>
    </w:p>
    <w:tbl>
      <w:tblPr>
        <w:tblW w:w="10205" w:type="dxa"/>
        <w:jc w:val="left"/>
        <w:tblInd w:w="0" w:type="dxa"/>
        <w:tblLayout w:type="fixed"/>
        <w:tblCellMar>
          <w:top w:w="28" w:type="dxa"/>
          <w:left w:w="28" w:type="dxa"/>
          <w:bottom w:w="28" w:type="dxa"/>
          <w:right w:w="28" w:type="dxa"/>
        </w:tblCellMar>
      </w:tblPr>
      <w:tblGrid>
        <w:gridCol w:w="222"/>
        <w:gridCol w:w="195"/>
        <w:gridCol w:w="197"/>
        <w:gridCol w:w="109"/>
        <w:gridCol w:w="109"/>
        <w:gridCol w:w="109"/>
        <w:gridCol w:w="1681"/>
        <w:gridCol w:w="1616"/>
        <w:gridCol w:w="5967"/>
      </w:tblGrid>
      <w:tr>
        <w:trPr/>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5967"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46">
              <w:r>
                <w:rPr>
                  <w:rStyle w:val="InternetLink"/>
                  <w:rFonts w:ascii="Times New Roman;sans-serif" w:hAnsi="Times New Roman;sans-serif"/>
                  <w:b w:val="false"/>
                  <w:color w:val="0000FF"/>
                  <w:sz w:val="20"/>
                  <w:u w:val="single"/>
                </w:rPr>
                <w:t>Form of Director Restricted Stock Agreement under the FinWise Bancorp 2019 Stock Option Plan (incorporated by reference to Exhibit 10.26 of the Registrant's Annual Report on Form 10-K filed with the Securities and Exchange Commission on March 30, 2023).</w:t>
              </w:r>
            </w:hyperlink>
          </w:p>
        </w:tc>
      </w:tr>
      <w:tr>
        <w:trPr/>
        <w:tc>
          <w:tcPr>
            <w:tcW w:w="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47">
              <w:r>
                <w:rPr>
                  <w:rStyle w:val="InternetLink"/>
                  <w:rFonts w:ascii="Times New Roman;sans-serif" w:hAnsi="Times New Roman;sans-serif"/>
                  <w:b w:val="false"/>
                  <w:color w:val="0000FF"/>
                  <w:sz w:val="20"/>
                  <w:u w:val="single"/>
                </w:rPr>
                <w:t>Standstill Agreement dated January 19, 2016, by and between FinWise Bancorp and Business Funding Group (incorporated by reference to Exhibit 10.7 of the Registrant’s Registration Statement on Form S-1 filed with the Securities and Exchange Commission on July 15, 2021 (File No. 333-257929)).</w:t>
              </w:r>
            </w:hyperlink>
          </w:p>
        </w:tc>
      </w:tr>
      <w:tr>
        <w:trPr/>
        <w:tc>
          <w:tcPr>
            <w:tcW w:w="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48">
              <w:r>
                <w:rPr>
                  <w:rStyle w:val="InternetLink"/>
                  <w:rFonts w:ascii="Times New Roman;sans-serif" w:hAnsi="Times New Roman;sans-serif"/>
                  <w:b w:val="false"/>
                  <w:color w:val="0000FF"/>
                  <w:sz w:val="20"/>
                  <w:u w:val="single"/>
                </w:rPr>
                <w:t>Right of First Refusal and Option Agreement dated March 31, 2020, by and among FinWise Bancorp and the members of Business Funding Group (incorporated by reference to Exhibit 10.8 of the Registrant’s Registration Statement on Form S-1 filed with the Securities and Exchange Commission on July 15, 2021 (File No. 333-257929)).</w:t>
              </w:r>
            </w:hyperlink>
          </w:p>
        </w:tc>
      </w:tr>
      <w:tr>
        <w:trPr/>
        <w:tc>
          <w:tcPr>
            <w:tcW w:w="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49">
              <w:r>
                <w:rPr>
                  <w:rStyle w:val="InternetLink"/>
                  <w:rFonts w:ascii="Times New Roman;sans-serif" w:hAnsi="Times New Roman;sans-serif"/>
                  <w:b w:val="false"/>
                  <w:color w:val="000080"/>
                  <w:sz w:val="20"/>
                  <w:u w:val="single"/>
                </w:rPr>
                <w:t>M</w:t>
              </w:r>
            </w:hyperlink>
            <w:hyperlink r:id="rId50">
              <w:r>
                <w:rPr>
                  <w:rStyle w:val="InternetLink"/>
                  <w:rFonts w:ascii="Times New Roman;sans-serif" w:hAnsi="Times New Roman;sans-serif"/>
                  <w:b w:val="false"/>
                  <w:color w:val="000080"/>
                  <w:sz w:val="20"/>
                  <w:u w:val="single"/>
                </w:rPr>
                <w:t>embership Inter</w:t>
              </w:r>
            </w:hyperlink>
            <w:hyperlink r:id="rId51">
              <w:r>
                <w:rPr>
                  <w:rStyle w:val="InternetLink"/>
                  <w:rFonts w:ascii="Times New Roman;sans-serif" w:hAnsi="Times New Roman;sans-serif"/>
                  <w:b w:val="false"/>
                  <w:color w:val="000080"/>
                  <w:sz w:val="20"/>
                  <w:u w:val="single"/>
                </w:rPr>
                <w:t xml:space="preserve">est </w:t>
              </w:r>
            </w:hyperlink>
            <w:hyperlink r:id="rId52">
              <w:r>
                <w:rPr>
                  <w:rStyle w:val="InternetLink"/>
                  <w:rFonts w:ascii="Times New Roman;sans-serif" w:hAnsi="Times New Roman;sans-serif"/>
                  <w:b w:val="false"/>
                  <w:color w:val="000080"/>
                  <w:sz w:val="20"/>
                  <w:u w:val="single"/>
                </w:rPr>
                <w:t>Purchase Agre</w:t>
              </w:r>
            </w:hyperlink>
            <w:hyperlink r:id="rId53">
              <w:r>
                <w:rPr>
                  <w:rStyle w:val="InternetLink"/>
                  <w:rFonts w:ascii="Times New Roman;sans-serif" w:hAnsi="Times New Roman;sans-serif"/>
                  <w:b w:val="false"/>
                  <w:color w:val="000080"/>
                  <w:sz w:val="20"/>
                  <w:u w:val="single"/>
                </w:rPr>
                <w:t xml:space="preserve">ement, dated as of December 31, 2019, among FinWise Bancorp, Business Funding Group, LLC and certain of its members </w:t>
              </w:r>
            </w:hyperlink>
            <w:hyperlink r:id="rId54">
              <w:r>
                <w:rPr>
                  <w:rStyle w:val="InternetLink"/>
                  <w:rFonts w:ascii="Times New Roman;sans-serif" w:hAnsi="Times New Roman;sans-serif"/>
                  <w:b w:val="false"/>
                  <w:color w:val="000080"/>
                  <w:sz w:val="20"/>
                  <w:u w:val="single"/>
                </w:rPr>
                <w:t>named ther</w:t>
              </w:r>
            </w:hyperlink>
            <w:hyperlink r:id="rId55">
              <w:r>
                <w:rPr>
                  <w:rStyle w:val="InternetLink"/>
                  <w:rFonts w:ascii="Times New Roman;sans-serif" w:hAnsi="Times New Roman;sans-serif"/>
                  <w:b w:val="false"/>
                  <w:color w:val="000080"/>
                  <w:sz w:val="20"/>
                  <w:u w:val="single"/>
                </w:rPr>
                <w:t>ein (incorporated by reference to Exhibit 10.9 of the Registrant's Registration Statement on Form S-1 filed with the Securities and Exchange Commission on July 15, 2021 (File No. 333-257929)).</w:t>
              </w:r>
            </w:hyperlink>
          </w:p>
        </w:tc>
      </w:tr>
      <w:tr>
        <w:trPr/>
        <w:tc>
          <w:tcPr>
            <w:tcW w:w="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56">
              <w:r>
                <w:rPr>
                  <w:rStyle w:val="InternetLink"/>
                  <w:rFonts w:ascii="Times New Roman;sans-serif" w:hAnsi="Times New Roman;sans-serif"/>
                  <w:b w:val="false"/>
                  <w:color w:val="000080"/>
                  <w:sz w:val="20"/>
                  <w:u w:val="single"/>
                </w:rPr>
                <w:t xml:space="preserve">Membership Interest Purchase Agreement dated </w:t>
              </w:r>
            </w:hyperlink>
            <w:hyperlink r:id="rId57">
              <w:r>
                <w:rPr>
                  <w:rStyle w:val="InternetLink"/>
                  <w:rFonts w:ascii="Times New Roman;sans-serif" w:hAnsi="Times New Roman;sans-serif"/>
                  <w:b w:val="false"/>
                  <w:color w:val="000080"/>
                  <w:sz w:val="20"/>
                  <w:u w:val="single"/>
                </w:rPr>
                <w:t>as of July 25, 2023</w:t>
              </w:r>
            </w:hyperlink>
            <w:hyperlink r:id="rId58">
              <w:r>
                <w:rPr>
                  <w:rStyle w:val="InternetLink"/>
                  <w:rFonts w:ascii="Times New Roman;sans-serif" w:hAnsi="Times New Roman;sans-serif"/>
                  <w:b w:val="false"/>
                  <w:color w:val="000080"/>
                  <w:sz w:val="20"/>
                  <w:u w:val="single"/>
                </w:rPr>
                <w:t xml:space="preserve">, among </w:t>
              </w:r>
            </w:hyperlink>
            <w:hyperlink r:id="rId59">
              <w:r>
                <w:rPr>
                  <w:rStyle w:val="InternetLink"/>
                  <w:rFonts w:ascii="Times New Roman;sans-serif" w:hAnsi="Times New Roman;sans-serif"/>
                  <w:b w:val="false"/>
                  <w:color w:val="000080"/>
                  <w:sz w:val="20"/>
                  <w:u w:val="single"/>
                </w:rPr>
                <w:t>Business Funding Group</w:t>
              </w:r>
            </w:hyperlink>
            <w:hyperlink r:id="rId60">
              <w:r>
                <w:rPr>
                  <w:rStyle w:val="InternetLink"/>
                  <w:rFonts w:ascii="Times New Roman;sans-serif" w:hAnsi="Times New Roman;sans-serif"/>
                  <w:b w:val="false"/>
                  <w:color w:val="000080"/>
                  <w:sz w:val="20"/>
                  <w:u w:val="single"/>
                </w:rPr>
                <w:t xml:space="preserve">, LLC, </w:t>
              </w:r>
            </w:hyperlink>
            <w:hyperlink r:id="rId61">
              <w:r>
                <w:rPr>
                  <w:rStyle w:val="InternetLink"/>
                  <w:rFonts w:ascii="Times New Roman;sans-serif" w:hAnsi="Times New Roman;sans-serif"/>
                  <w:b w:val="false"/>
                  <w:color w:val="000080"/>
                  <w:sz w:val="20"/>
                  <w:u w:val="single"/>
                </w:rPr>
                <w:t>certain</w:t>
              </w:r>
            </w:hyperlink>
            <w:hyperlink r:id="rId62">
              <w:r>
                <w:rPr>
                  <w:rStyle w:val="InternetLink"/>
                  <w:rFonts w:ascii="Times New Roman;sans-serif" w:hAnsi="Times New Roman;sans-serif"/>
                  <w:b w:val="false"/>
                  <w:color w:val="000080"/>
                  <w:sz w:val="20"/>
                  <w:u w:val="single"/>
                </w:rPr>
                <w:t xml:space="preserve"> of its</w:t>
              </w:r>
            </w:hyperlink>
            <w:hyperlink r:id="rId63">
              <w:r>
                <w:rPr>
                  <w:rStyle w:val="InternetLink"/>
                  <w:rFonts w:ascii="Times New Roman;sans-serif" w:hAnsi="Times New Roman;sans-serif"/>
                  <w:b w:val="false"/>
                  <w:color w:val="000080"/>
                  <w:sz w:val="20"/>
                  <w:u w:val="single"/>
                </w:rPr>
                <w:t xml:space="preserve"> members </w:t>
              </w:r>
            </w:hyperlink>
            <w:hyperlink r:id="rId64">
              <w:r>
                <w:rPr>
                  <w:rStyle w:val="InternetLink"/>
                  <w:rFonts w:ascii="Times New Roman;sans-serif" w:hAnsi="Times New Roman;sans-serif"/>
                  <w:b w:val="false"/>
                  <w:color w:val="000080"/>
                  <w:sz w:val="20"/>
                  <w:u w:val="single"/>
                </w:rPr>
                <w:t>named th</w:t>
              </w:r>
            </w:hyperlink>
            <w:hyperlink r:id="rId65">
              <w:r>
                <w:rPr>
                  <w:rStyle w:val="InternetLink"/>
                  <w:rFonts w:ascii="Times New Roman;sans-serif" w:hAnsi="Times New Roman;sans-serif"/>
                  <w:b w:val="false"/>
                  <w:color w:val="000080"/>
                  <w:sz w:val="20"/>
                  <w:u w:val="single"/>
                </w:rPr>
                <w:t>erein and FinWise Bancorp</w:t>
              </w:r>
            </w:hyperlink>
            <w:hyperlink r:id="rId66">
              <w:r>
                <w:rPr>
                  <w:rStyle w:val="InternetLink"/>
                  <w:rFonts w:ascii="Times New Roman;sans-serif" w:hAnsi="Times New Roman;sans-serif"/>
                  <w:b w:val="false"/>
                  <w:color w:val="000080"/>
                  <w:sz w:val="20"/>
                  <w:u w:val="single"/>
                </w:rPr>
                <w:t xml:space="preserve"> (incorporated by reference to Exhibit 10.</w:t>
              </w:r>
            </w:hyperlink>
            <w:hyperlink r:id="rId67">
              <w:r>
                <w:rPr>
                  <w:rStyle w:val="InternetLink"/>
                  <w:rFonts w:ascii="Times New Roman;sans-serif" w:hAnsi="Times New Roman;sans-serif"/>
                  <w:b w:val="false"/>
                  <w:color w:val="000080"/>
                  <w:sz w:val="20"/>
                  <w:u w:val="single"/>
                </w:rPr>
                <w:t>1</w:t>
              </w:r>
            </w:hyperlink>
            <w:hyperlink r:id="rId68">
              <w:r>
                <w:rPr>
                  <w:rStyle w:val="InternetLink"/>
                  <w:rFonts w:ascii="Times New Roman;sans-serif" w:hAnsi="Times New Roman;sans-serif"/>
                  <w:b w:val="false"/>
                  <w:color w:val="000080"/>
                  <w:sz w:val="20"/>
                  <w:u w:val="single"/>
                </w:rPr>
                <w:t xml:space="preserve"> of the Registrant’s </w:t>
              </w:r>
            </w:hyperlink>
            <w:hyperlink r:id="rId69">
              <w:r>
                <w:rPr>
                  <w:rStyle w:val="InternetLink"/>
                  <w:rFonts w:ascii="Times New Roman;sans-serif" w:hAnsi="Times New Roman;sans-serif"/>
                  <w:b w:val="false"/>
                  <w:color w:val="000080"/>
                  <w:sz w:val="20"/>
                  <w:u w:val="single"/>
                </w:rPr>
                <w:t>Current Report on Form 8-K filed with</w:t>
              </w:r>
            </w:hyperlink>
            <w:hyperlink r:id="rId70">
              <w:r>
                <w:rPr>
                  <w:rStyle w:val="InternetLink"/>
                  <w:rFonts w:ascii="Times New Roman;sans-serif" w:hAnsi="Times New Roman;sans-serif"/>
                  <w:b w:val="false"/>
                  <w:color w:val="000080"/>
                  <w:sz w:val="20"/>
                  <w:u w:val="single"/>
                </w:rPr>
                <w:t xml:space="preserve"> the Securities and Exchange Commission on July </w:t>
              </w:r>
            </w:hyperlink>
            <w:hyperlink r:id="rId71">
              <w:r>
                <w:rPr>
                  <w:rStyle w:val="InternetLink"/>
                  <w:rFonts w:ascii="Times New Roman;sans-serif" w:hAnsi="Times New Roman;sans-serif"/>
                  <w:b w:val="false"/>
                  <w:color w:val="000080"/>
                  <w:sz w:val="20"/>
                  <w:u w:val="single"/>
                </w:rPr>
                <w:t>27, 2023).</w:t>
              </w:r>
            </w:hyperlink>
          </w:p>
        </w:tc>
      </w:tr>
      <w:tr>
        <w:trPr/>
        <w:tc>
          <w:tcPr>
            <w:tcW w:w="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72">
              <w:r>
                <w:rPr>
                  <w:rStyle w:val="InternetLink"/>
                  <w:rFonts w:ascii="Times New Roman;sans-serif" w:hAnsi="Times New Roman;sans-serif"/>
                  <w:b w:val="false"/>
                  <w:color w:val="0000FF"/>
                  <w:sz w:val="20"/>
                  <w:u w:val="single"/>
                </w:rPr>
                <w:t>Sublease dated December 7, 2018, between Motorola Solutions, Inc. and FinWise Bancorp (incorporated by reference to Exhibit 10.10 of the Registrant’s Registration Statement on Form S-1 filed with the Securities and Exchange Commission on July 15, 2021 (File No. 333-257929)).</w:t>
              </w:r>
            </w:hyperlink>
          </w:p>
        </w:tc>
      </w:tr>
      <w:tr>
        <w:trPr/>
        <w:tc>
          <w:tcPr>
            <w:tcW w:w="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73">
              <w:r>
                <w:rPr>
                  <w:rStyle w:val="InternetLink"/>
                  <w:rFonts w:ascii="Times New Roman;sans-serif" w:hAnsi="Times New Roman;sans-serif"/>
                  <w:b w:val="false"/>
                  <w:color w:val="0000FF"/>
                  <w:sz w:val="20"/>
                  <w:u w:val="single"/>
                </w:rPr>
                <w:t>Lease dated January 27, 1999, between FPA Sandy Mall Associates, LLC and FinWise Bancorp (incorporated by reference to Exhibit 10.11 of the Registrant’s Registration Statement on Form S-1 filed with the Securities and Exchange Commission on July 15, 2021 (File No. 333-257929)).</w:t>
              </w:r>
            </w:hyperlink>
          </w:p>
        </w:tc>
      </w:tr>
      <w:tr>
        <w:trPr/>
        <w:tc>
          <w:tcPr>
            <w:tcW w:w="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74">
              <w:r>
                <w:rPr>
                  <w:rStyle w:val="InternetLink"/>
                  <w:rFonts w:ascii="Times New Roman;sans-serif" w:hAnsi="Times New Roman;sans-serif"/>
                  <w:b w:val="false"/>
                  <w:color w:val="0000FF"/>
                  <w:sz w:val="20"/>
                  <w:u w:val="single"/>
                </w:rPr>
                <w:t>First Amendment to Lease dated June 3, 2009, between FPA Sandy Mall Associates, LLC and FinWise Bancorp (incorporated by reference to Exhibit 10.12 of the Registrant’s Registration Statement on Form S-1 filed with the Securities and Exchange Commission on July 15, 2021 (File No. 333-257929)).</w:t>
              </w:r>
            </w:hyperlink>
          </w:p>
        </w:tc>
      </w:tr>
      <w:tr>
        <w:trPr/>
        <w:tc>
          <w:tcPr>
            <w:tcW w:w="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75">
              <w:r>
                <w:rPr>
                  <w:rStyle w:val="InternetLink"/>
                  <w:rFonts w:ascii="Times New Roman;sans-serif" w:hAnsi="Times New Roman;sans-serif"/>
                  <w:b w:val="false"/>
                  <w:color w:val="0000FF"/>
                  <w:sz w:val="20"/>
                  <w:u w:val="single"/>
                </w:rPr>
                <w:t>Second Amendment to Lease dated April 25, 2014, between FPA Sandy Mall Associates, LLC and FinWise Bancorp (incorporated by reference to Exhibit 10.13 of the Registrant’s Registration Statement on Form S-1 filed with the Securities and Exchange Commission on July 15, 2021 (File No. 333-257929)).</w:t>
              </w:r>
            </w:hyperlink>
          </w:p>
        </w:tc>
      </w:tr>
      <w:tr>
        <w:trPr/>
        <w:tc>
          <w:tcPr>
            <w:tcW w:w="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76">
              <w:r>
                <w:rPr>
                  <w:rStyle w:val="InternetLink"/>
                  <w:rFonts w:ascii="Times New Roman;sans-serif" w:hAnsi="Times New Roman;sans-serif"/>
                  <w:b w:val="false"/>
                  <w:color w:val="0000FF"/>
                  <w:sz w:val="20"/>
                  <w:u w:val="single"/>
                </w:rPr>
                <w:t>Lease dated December 2017, between North Village Centre, Inc. and FinWise Bancorp (incorporated by reference to Exhibit 10.14 of the Registrant’s Registration Statement on Form S-1 filed with the Securities and Exchange Commission on July 15, 2021 (File No. 333-257929)).</w:t>
              </w:r>
            </w:hyperlink>
          </w:p>
        </w:tc>
      </w:tr>
      <w:tr>
        <w:trPr/>
        <w:tc>
          <w:tcPr>
            <w:tcW w:w="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77">
              <w:r>
                <w:rPr>
                  <w:rStyle w:val="InternetLink"/>
                  <w:rFonts w:ascii="Times New Roman;sans-serif" w:hAnsi="Times New Roman;sans-serif"/>
                  <w:b w:val="false"/>
                  <w:color w:val="0000FF"/>
                  <w:sz w:val="20"/>
                  <w:u w:val="single"/>
                </w:rPr>
                <w:t>Lease dated July 30, 2021, between Mountain View Business Center, LLC and FinWise Bancorp (incorporated by reference to Exhibit 10.15 of the Registrant’s Registration Statement on Form S-1 filed with the Securities and Exchange Commission on August 4, 2021 (File No. 333-257929)).</w:t>
              </w:r>
            </w:hyperlink>
          </w:p>
        </w:tc>
      </w:tr>
      <w:tr>
        <w:trPr/>
        <w:tc>
          <w:tcPr>
            <w:tcW w:w="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78">
              <w:r>
                <w:rPr>
                  <w:rStyle w:val="InternetLink"/>
                  <w:rFonts w:ascii="Times New Roman;sans-serif" w:hAnsi="Times New Roman;sans-serif"/>
                  <w:b w:val="false"/>
                  <w:color w:val="000080"/>
                  <w:sz w:val="20"/>
                  <w:u w:val="single"/>
                </w:rPr>
                <w:t>Subsidiaries of FinWise Bancorp (incorporated by reference to Exhibit 21.1 of the Registrant's Annual Report on Form 10-K filed with the Securities and Exchange Commi</w:t>
              </w:r>
            </w:hyperlink>
            <w:hyperlink r:id="rId79">
              <w:r>
                <w:rPr>
                  <w:rStyle w:val="InternetLink"/>
                  <w:rFonts w:ascii="Times New Roman;sans-serif" w:hAnsi="Times New Roman;sans-serif"/>
                  <w:b w:val="false"/>
                  <w:color w:val="000080"/>
                  <w:sz w:val="20"/>
                  <w:u w:val="single"/>
                </w:rPr>
                <w:t>ss</w:t>
              </w:r>
            </w:hyperlink>
            <w:hyperlink r:id="rId80">
              <w:r>
                <w:rPr>
                  <w:rStyle w:val="InternetLink"/>
                  <w:rFonts w:ascii="Times New Roman;sans-serif" w:hAnsi="Times New Roman;sans-serif"/>
                  <w:b w:val="false"/>
                  <w:color w:val="000080"/>
                  <w:sz w:val="20"/>
                  <w:u w:val="single"/>
                </w:rPr>
                <w:t>ion</w:t>
              </w:r>
            </w:hyperlink>
            <w:hyperlink r:id="rId81">
              <w:r>
                <w:rPr>
                  <w:rStyle w:val="InternetLink"/>
                  <w:rFonts w:ascii="Times New Roman;sans-serif" w:hAnsi="Times New Roman;sans-serif"/>
                  <w:b w:val="false"/>
                  <w:color w:val="000080"/>
                  <w:sz w:val="20"/>
                  <w:u w:val="single"/>
                </w:rPr>
                <w:t xml:space="preserve"> on March 30, 2023)</w:t>
              </w:r>
            </w:hyperlink>
            <w:hyperlink r:id="rId82">
              <w:r>
                <w:rPr>
                  <w:rStyle w:val="InternetLink"/>
                  <w:rFonts w:ascii="Times New Roman;sans-serif" w:hAnsi="Times New Roman;sans-serif"/>
                  <w:b w:val="false"/>
                  <w:color w:val="000080"/>
                  <w:sz w:val="20"/>
                  <w:u w:val="single"/>
                </w:rPr>
                <w:t>.</w:t>
              </w:r>
            </w:hyperlink>
          </w:p>
        </w:tc>
      </w:tr>
      <w:tr>
        <w:trPr/>
        <w:tc>
          <w:tcPr>
            <w:tcW w:w="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auditorsconsent.htm">
              <w:r>
                <w:rPr>
                  <w:rStyle w:val="InternetLink"/>
                  <w:rFonts w:ascii="Times New Roman;sans-serif" w:hAnsi="Times New Roman;sans-serif"/>
                  <w:b w:val="false"/>
                  <w:color w:val="0000FF"/>
                  <w:sz w:val="20"/>
                  <w:u w:val="single"/>
                </w:rPr>
                <w:t>Consent of Moss Adams LLP.</w:t>
              </w:r>
            </w:hyperlink>
          </w:p>
        </w:tc>
      </w:tr>
      <w:tr>
        <w:trPr/>
        <w:tc>
          <w:tcPr>
            <w:tcW w:w="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finw-20231231xex3111.htm">
              <w:r>
                <w:rPr>
                  <w:rStyle w:val="InternetLink"/>
                  <w:rFonts w:ascii="Times New Roman;sans-serif" w:hAnsi="Times New Roman;sans-serif"/>
                  <w:b w:val="false"/>
                  <w:color w:val="0000FF"/>
                  <w:sz w:val="20"/>
                  <w:u w:val="single"/>
                </w:rPr>
                <w:t>Rule 13a-14(a) Certification of the Principal Executive Officer.</w:t>
              </w:r>
            </w:hyperlink>
          </w:p>
        </w:tc>
      </w:tr>
      <w:tr>
        <w:trPr/>
        <w:tc>
          <w:tcPr>
            <w:tcW w:w="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finw-20231231xex3121.htm">
              <w:r>
                <w:rPr>
                  <w:rStyle w:val="InternetLink"/>
                  <w:rFonts w:ascii="Times New Roman;sans-serif" w:hAnsi="Times New Roman;sans-serif"/>
                  <w:b w:val="false"/>
                  <w:color w:val="0000FF"/>
                  <w:sz w:val="20"/>
                  <w:u w:val="single"/>
                </w:rPr>
                <w:t>Rule 13a-14(a) Certification of the Principal Financial Officer.</w:t>
              </w:r>
            </w:hyperlink>
          </w:p>
        </w:tc>
      </w:tr>
      <w:tr>
        <w:trPr/>
        <w:tc>
          <w:tcPr>
            <w:tcW w:w="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finw-20231231xex3211.htm">
              <w:r>
                <w:rPr>
                  <w:rStyle w:val="InternetLink"/>
                  <w:rFonts w:ascii="Times New Roman;sans-serif" w:hAnsi="Times New Roman;sans-serif"/>
                  <w:b w:val="false"/>
                  <w:color w:val="0000FF"/>
                  <w:sz w:val="20"/>
                  <w:u w:val="single"/>
                </w:rPr>
                <w:t>Section 1350 Certification of Chief Executive Officer and Chief Financial Officer.</w:t>
              </w:r>
            </w:hyperlink>
          </w:p>
        </w:tc>
      </w:tr>
      <w:tr>
        <w:trPr/>
        <w:tc>
          <w:tcPr>
            <w:tcW w:w="6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finwisebancorpcompensation.htm">
              <w:r>
                <w:rPr>
                  <w:rStyle w:val="InternetLink"/>
                  <w:rFonts w:ascii="Times New Roman;sans-serif" w:hAnsi="Times New Roman;sans-serif"/>
                  <w:b w:val="false"/>
                  <w:color w:val="000080"/>
                  <w:sz w:val="20"/>
                  <w:u w:val="single"/>
                </w:rPr>
                <w:t>F</w:t>
              </w:r>
            </w:hyperlink>
            <w:hyperlink w:anchor="finwisebancorpcompensation.htm">
              <w:r>
                <w:rPr>
                  <w:rStyle w:val="InternetLink"/>
                  <w:rFonts w:ascii="Times New Roman;sans-serif" w:hAnsi="Times New Roman;sans-serif"/>
                  <w:b w:val="false"/>
                  <w:color w:val="000080"/>
                  <w:sz w:val="20"/>
                  <w:u w:val="single"/>
                </w:rPr>
                <w:t>inWise Bancorp Compens</w:t>
              </w:r>
            </w:hyperlink>
            <w:hyperlink w:anchor="finwisebancorpcompensation.htm">
              <w:r>
                <w:rPr>
                  <w:rStyle w:val="InternetLink"/>
                  <w:rFonts w:ascii="Times New Roman;sans-serif" w:hAnsi="Times New Roman;sans-serif"/>
                  <w:b w:val="false"/>
                  <w:color w:val="000080"/>
                  <w:sz w:val="20"/>
                  <w:u w:val="single"/>
                </w:rPr>
                <w:t>ation Recoupment Policy.</w:t>
              </w:r>
            </w:hyperlink>
          </w:p>
        </w:tc>
      </w:tr>
      <w:tr>
        <w:trPr/>
        <w:tc>
          <w:tcPr>
            <w:tcW w:w="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Interactive Data</w:t>
            </w:r>
          </w:p>
        </w:tc>
      </w:tr>
      <w:tr>
        <w:trPr/>
        <w:tc>
          <w:tcPr>
            <w:tcW w:w="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 in Exhibit 101)</w:t>
            </w:r>
          </w:p>
        </w:tc>
      </w:tr>
    </w:tbl>
    <w:p>
      <w:pPr>
        <w:pStyle w:val="TextBody"/>
        <w:bidi w:val="0"/>
        <w:spacing w:lineRule="auto" w:line="288" w:before="200" w:after="283"/>
        <w:ind w:left="0" w:right="0" w:hanging="360"/>
        <w:jc w:val="left"/>
        <w:rPr/>
      </w:pPr>
      <w:r>
        <w:rPr>
          <w:rFonts w:ascii="Times New Roman;sans-serif" w:hAnsi="Times New Roman;sans-serif"/>
          <w:b w:val="false"/>
          <w:color w:val="000000"/>
          <w:sz w:val="20"/>
        </w:rPr>
        <w:t>+</w:t>
      </w:r>
      <w:r>
        <w:rPr>
          <w:rFonts w:ascii="Times New Roman;sans-serif" w:hAnsi="Times New Roman;sans-serif"/>
          <w:b w:val="false"/>
          <w:color w:val="000000"/>
          <w:sz w:val="20"/>
          <w:shd w:fill="FFFFFF" w:val="clear"/>
        </w:rPr>
        <w:t>Management contract or compensation plan, contract or arrangement.</w:t>
      </w:r>
    </w:p>
    <w:p>
      <w:pPr>
        <w:pStyle w:val="TextBody"/>
        <w:bidi w:val="0"/>
        <w:spacing w:lineRule="auto" w:line="288" w:before="200" w:after="283"/>
        <w:ind w:left="0" w:right="0" w:hanging="360"/>
        <w:jc w:val="left"/>
        <w:rPr/>
      </w:pPr>
      <w:r>
        <w:rPr>
          <w:rFonts w:ascii="Times New Roman;sans-serif" w:hAnsi="Times New Roman;sans-serif"/>
          <w:b w:val="false"/>
          <w:color w:val="000000"/>
          <w:sz w:val="20"/>
        </w:rPr>
        <w:t>*</w:t>
      </w:r>
      <w:r>
        <w:rPr>
          <w:rFonts w:ascii="Times New Roman;sans-serif" w:hAnsi="Times New Roman;sans-serif"/>
          <w:b w:val="false"/>
          <w:color w:val="000000"/>
          <w:sz w:val="20"/>
          <w:shd w:fill="FFFFFF" w:val="clear"/>
        </w:rPr>
        <w:t>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16840"/>
                <wp:effectExtent l="0" t="0" r="0" b="0"/>
                <wp:wrapNone/>
                <wp:docPr id="124" name="Frame1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124</w:t>
                      </w:r>
                    </w:p>
                  </w:txbxContent>
                </v:textbox>
                <w10:wrap type="none"/>
              </v:rect>
            </w:pict>
          </mc:Fallback>
        </mc:AlternateContent>
      </w:r>
    </w:p>
    <w:p>
      <w:pPr>
        <w:pStyle w:val="TextBody"/>
        <w:bidi w:val="0"/>
        <w:spacing w:lineRule="auto" w:line="288" w:before="200" w:after="200"/>
        <w:jc w:val="left"/>
        <w:rPr/>
      </w:pPr>
      <w:hyperlink w:anchor="i4a473d16a0b248378eb2de2b08890873_7">
        <w:r>
          <w:rPr>
            <w:rStyle w:val="InternetLink"/>
          </w:rPr>
          <w:t>Ind</w:t>
        </w:r>
      </w:hyperlink>
      <w:hyperlink w:anchor="i4a473d16a0b248378eb2de2b08890873_7">
        <w:r>
          <w:rPr>
            <w:rStyle w:val="InternetLink"/>
          </w:rPr>
          <w:t>ex</w:t>
        </w:r>
      </w:hyperlink>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SIGNATURES</w:t>
      </w:r>
    </w:p>
    <w:p>
      <w:pPr>
        <w:pStyle w:val="TextBody"/>
        <w:bidi w:val="0"/>
        <w:spacing w:lineRule="auto" w:line="288" w:before="20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the requirements of Section 13 or 15(d) of the Securities Exchange Act of 1934, the Registrant has duly caused this report to be signed on its behalf by the undersigned, thereunto duly authorized.</w:t>
      </w:r>
    </w:p>
    <w:tbl>
      <w:tblPr>
        <w:tblW w:w="6080" w:type="dxa"/>
        <w:jc w:val="left"/>
        <w:tblInd w:w="0" w:type="dxa"/>
        <w:tblLayout w:type="fixed"/>
        <w:tblCellMar>
          <w:top w:w="28" w:type="dxa"/>
          <w:left w:w="28" w:type="dxa"/>
          <w:bottom w:w="28" w:type="dxa"/>
          <w:right w:w="28" w:type="dxa"/>
        </w:tblCellMar>
      </w:tblPr>
      <w:tblGrid>
        <w:gridCol w:w="200"/>
        <w:gridCol w:w="177"/>
        <w:gridCol w:w="178"/>
        <w:gridCol w:w="464"/>
        <w:gridCol w:w="464"/>
        <w:gridCol w:w="466"/>
        <w:gridCol w:w="307"/>
        <w:gridCol w:w="307"/>
        <w:gridCol w:w="307"/>
        <w:gridCol w:w="931"/>
        <w:gridCol w:w="931"/>
        <w:gridCol w:w="134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FINWISE BANCORP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25, 2024</w:t>
            </w:r>
          </w:p>
        </w:tc>
        <w:tc>
          <w:tcPr>
            <w:tcW w:w="9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Kent Landvatter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Kent Landvatter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spacing w:lineRule="auto" w:line="288" w:before="20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the requirements of the Securities Exchange Act of 1934, this report has been signed by the following persons on behalf of the Registrant and in the capacities and on the dates indicated.</w:t>
      </w:r>
    </w:p>
    <w:tbl>
      <w:tblPr>
        <w:tblW w:w="8520" w:type="dxa"/>
        <w:jc w:val="left"/>
        <w:tblInd w:w="0" w:type="dxa"/>
        <w:tblLayout w:type="fixed"/>
        <w:tblCellMar>
          <w:top w:w="28" w:type="dxa"/>
          <w:left w:w="28" w:type="dxa"/>
          <w:bottom w:w="28" w:type="dxa"/>
          <w:right w:w="28" w:type="dxa"/>
        </w:tblCellMar>
      </w:tblPr>
      <w:tblGrid>
        <w:gridCol w:w="175"/>
        <w:gridCol w:w="154"/>
        <w:gridCol w:w="154"/>
        <w:gridCol w:w="732"/>
        <w:gridCol w:w="732"/>
        <w:gridCol w:w="740"/>
        <w:gridCol w:w="1458"/>
        <w:gridCol w:w="1458"/>
        <w:gridCol w:w="1478"/>
        <w:gridCol w:w="420"/>
        <w:gridCol w:w="420"/>
        <w:gridCol w:w="599"/>
      </w:tblGrid>
      <w:tr>
        <w:trPr/>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68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4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Kent Landvatter</w:t>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w:t>
              <w:br/>
              <w:t>(Principal Executive Officer)</w:t>
              <w:br/>
              <w:t>Chairman of the Board</w:t>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25, 2024</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Kent Landvatter</w:t>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Javvis Jacobson</w:t>
            </w:r>
          </w:p>
        </w:tc>
        <w:tc>
          <w:tcPr>
            <w:tcW w:w="439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br/>
              <w:t>(Principal Financial and Accounting Officer)</w:t>
            </w:r>
          </w:p>
        </w:tc>
        <w:tc>
          <w:tcPr>
            <w:tcW w:w="1439"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25, 2024</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Javvis Jacobson</w:t>
            </w:r>
          </w:p>
        </w:tc>
        <w:tc>
          <w:tcPr>
            <w:tcW w:w="4394"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Howard I. Reynolds</w:t>
            </w:r>
          </w:p>
        </w:tc>
        <w:tc>
          <w:tcPr>
            <w:tcW w:w="4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Vice Chairman of the Board</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25, 2024</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Howard I. Reynolds</w:t>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Alan Weichselbaum</w:t>
            </w:r>
          </w:p>
        </w:tc>
        <w:tc>
          <w:tcPr>
            <w:tcW w:w="4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25, 2024</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Alan Weichselbaum</w:t>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James N. Giordano</w:t>
            </w:r>
          </w:p>
        </w:tc>
        <w:tc>
          <w:tcPr>
            <w:tcW w:w="4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25, 2024</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N. Giordano</w:t>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Thomas E. Gibson, Jr.</w:t>
            </w:r>
          </w:p>
        </w:tc>
        <w:tc>
          <w:tcPr>
            <w:tcW w:w="4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25, 2024</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E. Gibson, Jr.</w:t>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Lisa Ann Nievaard</w:t>
            </w:r>
          </w:p>
        </w:tc>
        <w:tc>
          <w:tcPr>
            <w:tcW w:w="4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25, 2024</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Lisa Ann Nievaard</w:t>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Jeana Hutchings</w:t>
            </w:r>
          </w:p>
        </w:tc>
        <w:tc>
          <w:tcPr>
            <w:tcW w:w="4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25, 2024</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Jeana Hutchings</w:t>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Gerald E. Cunningham</w:t>
            </w:r>
          </w:p>
        </w:tc>
        <w:tc>
          <w:tcPr>
            <w:tcW w:w="4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25, 2024</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Gerald E. Cunningham</w:t>
            </w:r>
          </w:p>
        </w:tc>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27660"/>
                <wp:effectExtent l="0" t="0" r="0" b="0"/>
                <wp:wrapNone/>
                <wp:docPr id="125" name="Frame125"/>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before="0" w:after="283"/>
        <w:jc w:val="left"/>
        <w:rPr/>
      </w:pPr>
      <w:r>
        <w:rPr/>
        <w:drawing>
          <wp:inline distT="0" distB="0" distL="0" distR="0">
            <wp:extent cx="7286625" cy="3657600"/>
            <wp:effectExtent l="0" t="0" r="0" b="0"/>
            <wp:docPr id="12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 descr=""/>
                    <pic:cNvPicPr>
                      <a:picLocks noChangeAspect="1" noChangeArrowheads="1"/>
                    </pic:cNvPicPr>
                  </pic:nvPicPr>
                  <pic:blipFill>
                    <a:blip r:embed="rId83"/>
                    <a:stretch>
                      <a:fillRect/>
                    </a:stretch>
                  </pic:blipFill>
                  <pic:spPr bwMode="auto">
                    <a:xfrm>
                      <a:off x="0" y="0"/>
                      <a:ext cx="7286625" cy="3657600"/>
                    </a:xfrm>
                    <a:prstGeom prst="rect">
                      <a:avLst/>
                    </a:prstGeom>
                  </pic:spPr>
                </pic:pic>
              </a:graphicData>
            </a:graphic>
          </wp:inline>
        </w:drawing>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Kent Landvatter, certify that: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FinWise Bancorp;</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034" w:type="dxa"/>
        <w:jc w:val="left"/>
        <w:tblInd w:w="0" w:type="dxa"/>
        <w:tblLayout w:type="fixed"/>
        <w:tblCellMar>
          <w:top w:w="28" w:type="dxa"/>
          <w:left w:w="28" w:type="dxa"/>
          <w:bottom w:w="28" w:type="dxa"/>
          <w:right w:w="28" w:type="dxa"/>
        </w:tblCellMar>
      </w:tblPr>
      <w:tblGrid>
        <w:gridCol w:w="200"/>
        <w:gridCol w:w="177"/>
        <w:gridCol w:w="178"/>
        <w:gridCol w:w="464"/>
        <w:gridCol w:w="464"/>
        <w:gridCol w:w="466"/>
        <w:gridCol w:w="292"/>
        <w:gridCol w:w="292"/>
        <w:gridCol w:w="292"/>
        <w:gridCol w:w="935"/>
        <w:gridCol w:w="935"/>
        <w:gridCol w:w="133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FINWISE BANCORP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25, 2024</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Kent Landvatter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Kent Landvatter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Javvis Jacobson, certify that: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FinWise Bancorp;</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7264" w:type="dxa"/>
        <w:jc w:val="left"/>
        <w:tblInd w:w="0" w:type="dxa"/>
        <w:tblLayout w:type="fixed"/>
        <w:tblCellMar>
          <w:top w:w="28" w:type="dxa"/>
          <w:left w:w="28" w:type="dxa"/>
          <w:bottom w:w="28" w:type="dxa"/>
          <w:right w:w="28" w:type="dxa"/>
        </w:tblCellMar>
      </w:tblPr>
      <w:tblGrid>
        <w:gridCol w:w="200"/>
        <w:gridCol w:w="177"/>
        <w:gridCol w:w="178"/>
        <w:gridCol w:w="464"/>
        <w:gridCol w:w="464"/>
        <w:gridCol w:w="466"/>
        <w:gridCol w:w="292"/>
        <w:gridCol w:w="292"/>
        <w:gridCol w:w="292"/>
        <w:gridCol w:w="1297"/>
        <w:gridCol w:w="1297"/>
        <w:gridCol w:w="184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FINWISE BANCORP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25, 2024</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Javvis Jacobson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Javvis Jacobson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AND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FinWise Bancorp (the "Company") on Form 10-K for the period ended December 31, 2023, as filed with the Securities and Exchange Commission (the “Report”), each of the undersigned, in his respective capacities indicated below, hereby certifies as of the date hereof, solely for purposes of Title 18, Chapter 63, Section 1350 of the United States Code, that to the undersigned's best knowledge and belief:</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has not been, and shall not be deemed, “filed” with the Securities and Exchange Commission.</w:t>
      </w:r>
    </w:p>
    <w:tbl>
      <w:tblPr>
        <w:tblW w:w="7264" w:type="dxa"/>
        <w:jc w:val="left"/>
        <w:tblInd w:w="0" w:type="dxa"/>
        <w:tblLayout w:type="fixed"/>
        <w:tblCellMar>
          <w:top w:w="28" w:type="dxa"/>
          <w:left w:w="28" w:type="dxa"/>
          <w:bottom w:w="28" w:type="dxa"/>
          <w:right w:w="28" w:type="dxa"/>
        </w:tblCellMar>
      </w:tblPr>
      <w:tblGrid>
        <w:gridCol w:w="200"/>
        <w:gridCol w:w="177"/>
        <w:gridCol w:w="178"/>
        <w:gridCol w:w="464"/>
        <w:gridCol w:w="464"/>
        <w:gridCol w:w="466"/>
        <w:gridCol w:w="292"/>
        <w:gridCol w:w="292"/>
        <w:gridCol w:w="292"/>
        <w:gridCol w:w="1293"/>
        <w:gridCol w:w="1293"/>
        <w:gridCol w:w="185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FINWISE BANCORP</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25, 2024</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Kent Landvatter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Kent Landvatter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25, 2024</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Javvis Jacobson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Javvis Jacobson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FINWISE BANCORP </w:t>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8.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COMPENSATION RECOUPMENT POLICY</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(Effective as of November 28, 2023)</w:t>
      </w:r>
    </w:p>
    <w:p>
      <w:pPr>
        <w:pStyle w:val="TextBody"/>
        <w:bidi w:val="0"/>
        <w:spacing w:before="0" w:after="0"/>
        <w:jc w:val="center"/>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of any required accounting restatement of the financial statements of FinWise Bancorp (the “Company”) due to the material noncompliance of the Company with any financial reporting requirement under the applicable U.S.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 “Restatement”), the Company shall recover reasonably promptly from any person, who is or was an “Executive Officer,” as such term is defined in Rule 10D-1 adopted under the Securities Exchange Act of 1934, as amended (the “Exchange Act”) and Rule 5608 of the listing rules of the Nasdaq Stock Market LLC (“Nasdaq”), of the Company (each, a “Covered Person”) the amount of any “Erroneously Awarded Incentive-Based Compensation” (as defined below). This Policy shall be effective as of November 28, 2023 (the “Effective Date”).</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amount of Incentive-Based Compensation (as defined below) that must be recovered from a Covered Person pursuant to the immediately preceding paragraph is the amount of “Recoverable Incentive-Based Compensation” (as defined below) received by a Covered Person that exceeds the amount of Recoverable Incentive-Based Compensation that otherwise would have been received had it been determined based on the restated amounts, computed without regard to any taxes paid (such difference, the “Erroneously Awarded Incentive-Based Compensation”). For Recoverable Incentive-Based Compensation based on stock price or total shareholder return, where the amount of Erroneously Awarded Incentive-Based Compensation is not subject to mathematical recalculation directly from the information in a Restatement, the amount must be based on a reasonable estimate of the effect of the Restatement on the stock price or total shareholder return, as applicable, upon which the Recoverable Incentive-Based Compensation was received, and the Company must maintain documentation of that reasonable estimate and provide such documentation to the Nasdaq. For the purposes of this Policy, Recoverable Incentive-Based Compensation will be deemed to be received in the fiscal period during which the financial reporting measure specified in the applicable Incentive-Based Compensation award is attained, even if the payment or grant occurs after the end of that period.</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this Policy:</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Arial;sans-serif" w:hAnsi="Arial;sans-serif"/>
          <w:b w:val="false"/>
          <w:color w:val="000000"/>
          <w:sz w:val="24"/>
        </w:rPr>
        <w:t>a.</w:t>
      </w:r>
      <w:r>
        <w:rPr>
          <w:color w:val="000000"/>
        </w:rPr>
        <w:t>“</w:t>
      </w:r>
      <w:r>
        <w:rPr>
          <w:rFonts w:ascii="Times New Roman;sans-serif" w:hAnsi="Times New Roman;sans-serif"/>
          <w:b w:val="false"/>
          <w:color w:val="000000"/>
          <w:sz w:val="24"/>
        </w:rPr>
        <w:t xml:space="preserve">Incentive-Based Compensation” means any compensation that is granted, earned or vested based wholly or in part upon the attainment of a “financial reporting measure,” which means a measure that is determined and presented in accordance with Generally Accepted Accounting Principles which are used in preparing the Company’s financial statements, and any measure that is derived wholly or in part from such measures. Stock price and total shareholder return are also financial reporting measures for this purpose. For avoidance of doubt, a financial reporting measure need not be presented within the Company’s financial statements or included in a filing with the Securities and Exchange Commission. </w:t>
      </w:r>
    </w:p>
    <w:p>
      <w:pPr>
        <w:pStyle w:val="TextBody"/>
        <w:bidi w:val="0"/>
        <w:spacing w:lineRule="auto" w:line="268"/>
        <w:ind w:left="0" w:right="0" w:hanging="360"/>
        <w:jc w:val="both"/>
        <w:rPr/>
      </w:pPr>
      <w:r>
        <w:rPr>
          <w:rFonts w:ascii="Arial;sans-serif" w:hAnsi="Arial;sans-serif"/>
          <w:b w:val="false"/>
          <w:color w:val="000000"/>
          <w:sz w:val="24"/>
        </w:rPr>
        <w:t>b.</w:t>
      </w:r>
      <w:r>
        <w:rPr>
          <w:color w:val="000000"/>
        </w:rPr>
        <w:t>“</w:t>
      </w:r>
      <w:r>
        <w:rPr>
          <w:rFonts w:ascii="Times New Roman;sans-serif" w:hAnsi="Times New Roman;sans-serif"/>
          <w:b w:val="false"/>
          <w:color w:val="000000"/>
          <w:sz w:val="24"/>
        </w:rPr>
        <w:t xml:space="preserve">Recoverable Incentive-Based Compensation” means all Incentive-Based Compensation received on or after the Effective Date of this Policy set forth above by a Covered Person: (i) after beginning service as an executive officer; (ii) who served as an Executive Officer at any time during the performance period for the Incentive-Based Compensation; (iii) while the Company has a class of securities listed on a national securities exchange or a national securities association; and (iv) during the three completed fiscal years </w:t>
      </w:r>
    </w:p>
    <w:p>
      <w:pPr>
        <w:pStyle w:val="TextBody"/>
        <w:bidi w:val="0"/>
        <w:spacing w:before="0" w:after="0"/>
        <w:jc w:val="center"/>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immediately preceding the date that the Company is required to prepare a Restatement, including any applicable transition period that results from a change in the Company’s fiscal year within or immediately following those three completed fiscal years. For this purpose, the Company is deemed to be required to prepare a Restatement on the earlier of: (i) the date the Board of Directors of the Company (the “Board”), or the Company’s officers authorized to take such action if Board action is not required, concludes, or reasonably should have concluded, that the Company is required to prepare a Restatement; and (ii) the date a court, regulator or other legally authorized body directs the Company to prepare a Restatement.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Company’s obligation to recover Erroneously Awarded Incentive-Based Compensation is not dependent on if or when the restated financial statements are filed with the Securities and Exchange Commission.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shall recover the Erroneously Awarded Incentive-Based Compensation from Covered Persons unless the Company’s committee of independent directors responsible for executive compensation decisions, or in the absence of such a committee, a majority of the independent directors serving on the Board determines that recovery is impracticable because: (i) the direct expense to a third party to assist in enforcing this Policy would exceed the amount of Erroneously Awarded Incentive-Based Compensation; provided that, the Company must make a reasonable attempt to recover the Erroneously Awarded Incentive-Based Compensation before concluding that recovery is impracticable, document such reasonable attempt to recover the Erroneously Awarded Incentive- Based Compensation and provide such documentation to Nasdaq; or (ii) recovery would likely cause an otherwise tax-qualified retirement plan, under which benefits are broadly available to employees of the Company, to fail to meet the applicable requirements of 26 U.S.C. 401(a)(13) or 26 U.S.C. 411(a) and regulations thereunder.</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no event will the Company indemnify any Covered Person for any amounts that are recovered under this Policy. This Policy is in addition to (and not in lieu of) any right of repayment, forfeiture or right of offset against any employees that is required pursuant to any statutory repayment requirement (regardless of whether implemented at any time prior to or following the adoption or amendment of this Policy), including Section 304 of the Sarbanes-Oxley Act of 2002. Any amounts paid to the Company pursuant to Section 304 of the Sarbanes-Oxley Act of 2002 shall be considered in determining any amounts recovered under this Policy.</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application and enforcement of this Policy does not preclude the Company from taking any other action to enforce a Covered Person’s obligations to the Company, including termination of employment or institution of legal proceedings. Nothing in this Policy restricts the Company from seeking recoupment under any other compensation recoupment Policy or any applicable provisions in plans, agreements, awards or other arrangements that contemplate the recoupment of compensation from a Covered Person. If a Covered Person fails to repay Erroneously Awarded Incentive-Based Compensation that is owed to the Company under this Policy, the Company shall take all reasonable and appropriate action to recover such Erroneously Awarded Incentive-Based Compensation from the Covered Person, and the Covered Person shall be required to reimburse the Company for all expenses (including legal expenses) incurred by the Company in recovering such Erroneously Awarded Incentive-Based Compensation.</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terms of this Policy shall be binding and enforceable against all Covered Persons subject to this Policy and their beneficiaries, heirs, executors, administrators or other legal representatives. If any provision of this Policy or the application of such provision to any Covered Person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the application of such provision) valid, legal or enforceable.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Each Covered Person shall sign and return to the Company, within 30 calendar days following the later of (i) the Effective Date of this Policy first set forth above or (ii) the date the individual becomes a Covered Person, the Acknowledgement Form substantially in the form attached hereto as Exhibit A, pursuant to which the Covered Person agrees to be bound by, and to comply with, the terms and conditions of this Policy. </w:t>
      </w:r>
    </w:p>
    <w:p>
      <w:pPr>
        <w:pStyle w:val="TextBody"/>
        <w:bidi w:val="0"/>
        <w:spacing w:before="0" w:after="0"/>
        <w:jc w:val="left"/>
        <w:rPr/>
      </w:pPr>
      <w:r>
        <w:rPr/>
      </w:r>
    </w:p>
    <w:p>
      <w:pPr>
        <w:pStyle w:val="TextBody"/>
        <w:bidi w:val="0"/>
        <w:spacing w:lineRule="auto" w:line="268"/>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Policy shall be interpreted in a manner that is consistent with Rule 10D-1 under the Exchange Act, Rule 5608 of the Nasdaq listing rules and any related rules or regulations adopted by the Securities and Exchange Commission or Nasdaq (the “Applicable Rules”) as well as any other applicable law. To the extent the Applicable Rules require recovery of incentive-based compensation in additional circumstances beyond those specified above, nothing in this Policy shall be deemed to limit or restrict the right or obligation of the Company to recover incentive-based compensation to the fullest extent required by the Applicable Rules. </w:t>
      </w:r>
    </w:p>
    <w:p>
      <w:pPr>
        <w:pStyle w:val="TextBody"/>
        <w:bidi w:val="0"/>
        <w:spacing w:before="0" w:after="0"/>
        <w:jc w:val="center"/>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A</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FINWISE BANCORP </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COMPENSATION RECOUPMENT POLICY</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Acknowledgement Form</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By signing below, the undersigned acknowledges and confirms that the undersigned has received and reviewed a copy of the FinWise Bancorp (the “Company”) Compensation Recoupment Policy (the “Policy”).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By signing this Acknowledgement Form, the undersigned acknowledges and agrees that the undersigned is and will continue to be subject to the Policy and that the Policy will apply both during and after the undersigned’s employment with the Company. Further, by signing below, the undersigned agrees to abide by the terms of the Policy, including, without limitation, by returning any Erroneously Awarded Incentive-Based Compensation (as defined in the Policy) to the Company to the extent required by, and in a manner consistent with, the Policy.</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of any inconsistency between the Policy and the terms of any employment agreement to which the undersigned is a party, or the terms of any compensation plan, program or agreement under which any compensation has been granted, awarded, earned or paid, the terms of the Policy shall govern.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COVERED PERSON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Signature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Print Name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Calibri">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6365/000114036121026281/nt10024103x7_ex3-1.htm" TargetMode="External"/><Relationship Id="rId3" Type="http://schemas.openxmlformats.org/officeDocument/2006/relationships/hyperlink" Target="https://www.sec.gov/ix?doc=/Archives/edgar/data/0001856365/000185636523000045/finw-20231128.htm" TargetMode="External"/><Relationship Id="rId4" Type="http://schemas.openxmlformats.org/officeDocument/2006/relationships/hyperlink" Target="https://www.sec.gov/ix?doc=/Archives/edgar/data/0001856365/000185636523000045/finw-20231128.htm" TargetMode="External"/><Relationship Id="rId5" Type="http://schemas.openxmlformats.org/officeDocument/2006/relationships/hyperlink" Target="https://www.sec.gov/ix?doc=/Archives/edgar/data/0001856365/000185636523000045/finw-20231128.htm" TargetMode="External"/><Relationship Id="rId6" Type="http://schemas.openxmlformats.org/officeDocument/2006/relationships/hyperlink" Target="https://www.sec.gov/ix?doc=/Archives/edgar/data/0001856365/000185636523000045/finw-20231128.htm" TargetMode="External"/><Relationship Id="rId7" Type="http://schemas.openxmlformats.org/officeDocument/2006/relationships/hyperlink" Target="https://www.sec.gov/ix?doc=/Archives/edgar/data/0001856365/000185636523000045/finw-20231128.htm" TargetMode="External"/><Relationship Id="rId8" Type="http://schemas.openxmlformats.org/officeDocument/2006/relationships/hyperlink" Target="https://www.sec.gov/ix?doc=/Archives/edgar/data/0001856365/000185636523000045/finw-20231128.htm" TargetMode="External"/><Relationship Id="rId9" Type="http://schemas.openxmlformats.org/officeDocument/2006/relationships/hyperlink" Target="https://www.sec.gov/ix?doc=/Archives/edgar/data/0001856365/000185636523000045/finw-20231128.htm" TargetMode="External"/><Relationship Id="rId10" Type="http://schemas.openxmlformats.org/officeDocument/2006/relationships/hyperlink" Target="https://www.sec.gov/ix?doc=/Archives/edgar/data/0001856365/000185636523000045/finw-20231128.htm" TargetMode="External"/><Relationship Id="rId11" Type="http://schemas.openxmlformats.org/officeDocument/2006/relationships/hyperlink" Target="https://www.sec.gov/ix?doc=/Archives/edgar/data/0001856365/000185636523000045/finw-20231128.htm" TargetMode="External"/><Relationship Id="rId12" Type="http://schemas.openxmlformats.org/officeDocument/2006/relationships/hyperlink" Target="https://www.sec.gov/ix?doc=/Archives/edgar/data/0001856365/000185636523000045/finw-20231128.htm" TargetMode="External"/><Relationship Id="rId13" Type="http://schemas.openxmlformats.org/officeDocument/2006/relationships/hyperlink" Target="https://www.sec.gov/ix?doc=/Archives/edgar/data/0001856365/000114036123014828/brhc10050360_10k.htm" TargetMode="External"/><Relationship Id="rId14" Type="http://schemas.openxmlformats.org/officeDocument/2006/relationships/hyperlink" Target="https://www.sec.gov/ix?doc=/Archives/edgar/data/0001856365/000114036123014828/brhc10050360_10k.htm" TargetMode="External"/><Relationship Id="rId15" Type="http://schemas.openxmlformats.org/officeDocument/2006/relationships/hyperlink" Target="https://www.sec.gov/ix?doc=/Archives/edgar/data/0001856365/000114036123014828/brhc10050360_10k.htm" TargetMode="External"/><Relationship Id="rId16" Type="http://schemas.openxmlformats.org/officeDocument/2006/relationships/hyperlink" Target="https://www.sec.gov/Archives/edgar/data/1856365/000114036121024467/nt10024103x6_ex4-2.htm" TargetMode="External"/><Relationship Id="rId17" Type="http://schemas.openxmlformats.org/officeDocument/2006/relationships/hyperlink" Target="https://www.sec.gov/ix?doc=/Archives/edgar/data/0001856365/000114036123014828/brhc10050360_10k.htm" TargetMode="External"/><Relationship Id="rId18" Type="http://schemas.openxmlformats.org/officeDocument/2006/relationships/hyperlink" Target="https://www.sec.gov/ix?doc=/Archives/edgar/data/0001856365/000114036123014828/brhc10050360_10k.htm" TargetMode="External"/><Relationship Id="rId19" Type="http://schemas.openxmlformats.org/officeDocument/2006/relationships/hyperlink" Target="https://www.sec.gov/Archives/edgar/data/1856365/000114036122022905/brhc10038736_ex10-1.htm" TargetMode="External"/><Relationship Id="rId20" Type="http://schemas.openxmlformats.org/officeDocument/2006/relationships/hyperlink" Target="https://www.sec.gov/Archives/edgar/data/1856365/000114036121024467/nt10024103x6_ex10-2.htm" TargetMode="External"/><Relationship Id="rId21" Type="http://schemas.openxmlformats.org/officeDocument/2006/relationships/hyperlink" Target="https://www.sec.gov/Archives/edgar/data/1856365/000114036121026281/nt10024103x7_ex10-3.htm" TargetMode="External"/><Relationship Id="rId22" Type="http://schemas.openxmlformats.org/officeDocument/2006/relationships/hyperlink" Target="https://www.sec.gov/Archives/edgar/data/1856365/000114036121024467/nt10024103x6_ex10-4.htm" TargetMode="External"/><Relationship Id="rId23" Type="http://schemas.openxmlformats.org/officeDocument/2006/relationships/hyperlink" Target="https://www.sec.gov/Archives/edgar/data/1856365/000114036121024467/nt10024103x6_ex10-5.htm" TargetMode="External"/><Relationship Id="rId24" Type="http://schemas.openxmlformats.org/officeDocument/2006/relationships/hyperlink" Target="https://www.sec.gov/Archives/edgar/data/1856365/000114036122003901/brhc10033452_ex4-6.htm" TargetMode="External"/><Relationship Id="rId25" Type="http://schemas.openxmlformats.org/officeDocument/2006/relationships/hyperlink" Target="https://www.sec.gov/Archives/edgar/data/1856365/000114036122003901/brhc10033452_ex4-7.htm" TargetMode="External"/><Relationship Id="rId26" Type="http://schemas.openxmlformats.org/officeDocument/2006/relationships/hyperlink" Target="https://www.sec.gov/Archives/edgar/data/1856365/000114036122003901/brhc10033452_ex4-8.htm" TargetMode="External"/><Relationship Id="rId27" Type="http://schemas.openxmlformats.org/officeDocument/2006/relationships/hyperlink" Target="https://www.sec.gov/Archives/edgar/data/1856365/000114036122003901/brhc10033452_ex4-11.htm" TargetMode="External"/><Relationship Id="rId28" Type="http://schemas.openxmlformats.org/officeDocument/2006/relationships/hyperlink" Target="https://www.sec.gov/Archives/edgar/data/1856365/000114036122003901/brhc10033452_ex4-12.htm" TargetMode="External"/><Relationship Id="rId29" Type="http://schemas.openxmlformats.org/officeDocument/2006/relationships/hyperlink" Target="https://www.sec.gov/Archives/edgar/data/1856365/000114036122003901/brhc10033452_ex4-13.htm" TargetMode="External"/><Relationship Id="rId30" Type="http://schemas.openxmlformats.org/officeDocument/2006/relationships/hyperlink" Target="https://www.sec.gov/Archives/edgar/data/1856365/000114036122003901/brhc10033452_ex4-14.htm" TargetMode="External"/><Relationship Id="rId31" Type="http://schemas.openxmlformats.org/officeDocument/2006/relationships/hyperlink" Target="https://www.sec.gov/Archives/edgar/data/1856365/000114036122003901/brhc10033452_ex4-15.htm" TargetMode="External"/><Relationship Id="rId32" Type="http://schemas.openxmlformats.org/officeDocument/2006/relationships/hyperlink" Target="https://www.sec.gov/Archives/edgar/data/1856365/000114036122003901/brhc10033452_ex4-16.htm" TargetMode="External"/><Relationship Id="rId33" Type="http://schemas.openxmlformats.org/officeDocument/2006/relationships/hyperlink" Target="https://www.sec.gov/Archives/edgar/data/1856365/000114036122003901/brhc10033452_ex4-17.htm" TargetMode="External"/><Relationship Id="rId34" Type="http://schemas.openxmlformats.org/officeDocument/2006/relationships/hyperlink" Target="https://www.sec.gov/Archives/edgar/data/1856365/000114036122003901/brhc10033452_ex4-18.htm" TargetMode="External"/><Relationship Id="rId35" Type="http://schemas.openxmlformats.org/officeDocument/2006/relationships/hyperlink" Target="https://www.sec.gov/Archives/edgar/data/1856365/000114036122003901/brhc10033452_ex4-19.htm" TargetMode="External"/><Relationship Id="rId36" Type="http://schemas.openxmlformats.org/officeDocument/2006/relationships/hyperlink" Target="https://www.sec.gov/Archives/edgar/data/1856365/000114036122003901/brhc10033452_ex4-20.htm" TargetMode="External"/><Relationship Id="rId37" Type="http://schemas.openxmlformats.org/officeDocument/2006/relationships/hyperlink" Target="https://www.sec.gov/Archives/edgar/data/1856365/000114036122003901/brhc10033452_ex4-21.htm" TargetMode="External"/><Relationship Id="rId38" Type="http://schemas.openxmlformats.org/officeDocument/2006/relationships/hyperlink" Target="https://www.sec.gov/Archives/edgar/data/1856365/000114036122003901/brhc10033452_ex4-22.htm" TargetMode="External"/><Relationship Id="rId39" Type="http://schemas.openxmlformats.org/officeDocument/2006/relationships/hyperlink" Target="https://www.sec.gov/ix?doc=/Archives/edgar/data/0001856365/000114036123014828/brhc10050360_10k.htm" TargetMode="External"/><Relationship Id="rId40" Type="http://schemas.openxmlformats.org/officeDocument/2006/relationships/hyperlink" Target="https://www.sec.gov/ix?doc=/Archives/edgar/data/0001856365/000114036123014828/brhc10050360_10k.htm" TargetMode="External"/><Relationship Id="rId41" Type="http://schemas.openxmlformats.org/officeDocument/2006/relationships/hyperlink" Target="https://www.sec.gov/ix?doc=/Archives/edgar/data/0001856365/000114036123014828/brhc10050360_10k.htm" TargetMode="External"/><Relationship Id="rId42" Type="http://schemas.openxmlformats.org/officeDocument/2006/relationships/hyperlink" Target="https://www.sec.gov/ix?doc=/Archives/edgar/data/0001856365/000114036123014828/brhc10050360_10k.htm" TargetMode="External"/><Relationship Id="rId43" Type="http://schemas.openxmlformats.org/officeDocument/2006/relationships/hyperlink" Target="https://www.sec.gov/ix?doc=/Archives/edgar/data/0001856365/000114036123014828/brhc10050360_10k.htm" TargetMode="External"/><Relationship Id="rId44" Type="http://schemas.openxmlformats.org/officeDocument/2006/relationships/hyperlink" Target="https://www.sec.gov/ix?doc=/Archives/edgar/data/0001856365/000114036123014828/brhc10050360_10k.htm" TargetMode="External"/><Relationship Id="rId45" Type="http://schemas.openxmlformats.org/officeDocument/2006/relationships/hyperlink" Target="https://www.sec.gov/ix?doc=/Archives/edgar/data/0001856365/000114036123014828/brhc10050360_10k.htm" TargetMode="External"/><Relationship Id="rId46" Type="http://schemas.openxmlformats.org/officeDocument/2006/relationships/hyperlink" Target="https://www.sec.gov/ix?doc=/Archives/edgar/data/0001856365/000114036123014828/brhc10050360_10k.htm" TargetMode="External"/><Relationship Id="rId47" Type="http://schemas.openxmlformats.org/officeDocument/2006/relationships/hyperlink" Target="https://www.sec.gov/Archives/edgar/data/1856365/000114036121024467/nt10024103x6_ex10-7.htm" TargetMode="External"/><Relationship Id="rId48" Type="http://schemas.openxmlformats.org/officeDocument/2006/relationships/hyperlink" Target="https://www.sec.gov/Archives/edgar/data/1856365/000114036121024467/nt10024103x6_ex10-8.htm" TargetMode="External"/><Relationship Id="rId49" Type="http://schemas.openxmlformats.org/officeDocument/2006/relationships/hyperlink" Target="https://www.sec.gov/Archives/edgar/data/1856365/000114036121024467/nt10024103x6_ex10-9.htm" TargetMode="External"/><Relationship Id="rId50" Type="http://schemas.openxmlformats.org/officeDocument/2006/relationships/hyperlink" Target="https://www.sec.gov/Archives/edgar/data/1856365/000114036121024467/nt10024103x6_ex10-9.htm" TargetMode="External"/><Relationship Id="rId51" Type="http://schemas.openxmlformats.org/officeDocument/2006/relationships/hyperlink" Target="https://www.sec.gov/Archives/edgar/data/1856365/000114036121024467/nt10024103x6_ex10-9.htm" TargetMode="External"/><Relationship Id="rId52" Type="http://schemas.openxmlformats.org/officeDocument/2006/relationships/hyperlink" Target="https://www.sec.gov/Archives/edgar/data/1856365/000114036121024467/nt10024103x6_ex10-9.htm" TargetMode="External"/><Relationship Id="rId53" Type="http://schemas.openxmlformats.org/officeDocument/2006/relationships/hyperlink" Target="https://www.sec.gov/Archives/edgar/data/1856365/000114036121024467/nt10024103x6_ex10-9.htm" TargetMode="External"/><Relationship Id="rId54" Type="http://schemas.openxmlformats.org/officeDocument/2006/relationships/hyperlink" Target="https://www.sec.gov/Archives/edgar/data/1856365/000114036121024467/nt10024103x6_ex10-9.htm" TargetMode="External"/><Relationship Id="rId55" Type="http://schemas.openxmlformats.org/officeDocument/2006/relationships/hyperlink" Target="https://www.sec.gov/Archives/edgar/data/1856365/000114036121024467/nt10024103x6_ex10-9.htm" TargetMode="External"/><Relationship Id="rId56" Type="http://schemas.openxmlformats.org/officeDocument/2006/relationships/hyperlink" Target="https://www.sec.gov/ix?doc=/Archives/edgar/data/0001856365/000185636523000026/finw-20230725.htm" TargetMode="External"/><Relationship Id="rId57" Type="http://schemas.openxmlformats.org/officeDocument/2006/relationships/hyperlink" Target="https://www.sec.gov/ix?doc=/Archives/edgar/data/0001856365/000185636523000026/finw-20230725.htm" TargetMode="External"/><Relationship Id="rId58" Type="http://schemas.openxmlformats.org/officeDocument/2006/relationships/hyperlink" Target="https://www.sec.gov/ix?doc=/Archives/edgar/data/0001856365/000185636523000026/finw-20230725.htm" TargetMode="External"/><Relationship Id="rId59" Type="http://schemas.openxmlformats.org/officeDocument/2006/relationships/hyperlink" Target="https://www.sec.gov/ix?doc=/Archives/edgar/data/0001856365/000185636523000026/finw-20230725.htm" TargetMode="External"/><Relationship Id="rId60" Type="http://schemas.openxmlformats.org/officeDocument/2006/relationships/hyperlink" Target="https://www.sec.gov/ix?doc=/Archives/edgar/data/0001856365/000185636523000026/finw-20230725.htm" TargetMode="External"/><Relationship Id="rId61" Type="http://schemas.openxmlformats.org/officeDocument/2006/relationships/hyperlink" Target="https://www.sec.gov/ix?doc=/Archives/edgar/data/0001856365/000185636523000026/finw-20230725.htm" TargetMode="External"/><Relationship Id="rId62" Type="http://schemas.openxmlformats.org/officeDocument/2006/relationships/hyperlink" Target="https://www.sec.gov/ix?doc=/Archives/edgar/data/0001856365/000185636523000026/finw-20230725.htm" TargetMode="External"/><Relationship Id="rId63" Type="http://schemas.openxmlformats.org/officeDocument/2006/relationships/hyperlink" Target="https://www.sec.gov/ix?doc=/Archives/edgar/data/0001856365/000185636523000026/finw-20230725.htm" TargetMode="External"/><Relationship Id="rId64" Type="http://schemas.openxmlformats.org/officeDocument/2006/relationships/hyperlink" Target="https://www.sec.gov/ix?doc=/Archives/edgar/data/0001856365/000185636523000026/finw-20230725.htm" TargetMode="External"/><Relationship Id="rId65" Type="http://schemas.openxmlformats.org/officeDocument/2006/relationships/hyperlink" Target="https://www.sec.gov/ix?doc=/Archives/edgar/data/0001856365/000185636523000026/finw-20230725.htm" TargetMode="External"/><Relationship Id="rId66" Type="http://schemas.openxmlformats.org/officeDocument/2006/relationships/hyperlink" Target="https://www.sec.gov/ix?doc=/Archives/edgar/data/0001856365/000185636523000026/finw-20230725.htm" TargetMode="External"/><Relationship Id="rId67" Type="http://schemas.openxmlformats.org/officeDocument/2006/relationships/hyperlink" Target="https://www.sec.gov/ix?doc=/Archives/edgar/data/0001856365/000185636523000026/finw-20230725.htm" TargetMode="External"/><Relationship Id="rId68" Type="http://schemas.openxmlformats.org/officeDocument/2006/relationships/hyperlink" Target="https://www.sec.gov/ix?doc=/Archives/edgar/data/0001856365/000185636523000026/finw-20230725.htm" TargetMode="External"/><Relationship Id="rId69" Type="http://schemas.openxmlformats.org/officeDocument/2006/relationships/hyperlink" Target="https://www.sec.gov/ix?doc=/Archives/edgar/data/0001856365/000185636523000026/finw-20230725.htm" TargetMode="External"/><Relationship Id="rId70" Type="http://schemas.openxmlformats.org/officeDocument/2006/relationships/hyperlink" Target="https://www.sec.gov/ix?doc=/Archives/edgar/data/0001856365/000185636523000026/finw-20230725.htm" TargetMode="External"/><Relationship Id="rId71" Type="http://schemas.openxmlformats.org/officeDocument/2006/relationships/hyperlink" Target="https://www.sec.gov/ix?doc=/Archives/edgar/data/0001856365/000185636523000026/finw-20230725.htm" TargetMode="External"/><Relationship Id="rId72" Type="http://schemas.openxmlformats.org/officeDocument/2006/relationships/hyperlink" Target="https://www.sec.gov/Archives/edgar/data/1856365/000114036121024467/nt10024103x6_ex10-10.htm" TargetMode="External"/><Relationship Id="rId73" Type="http://schemas.openxmlformats.org/officeDocument/2006/relationships/hyperlink" Target="https://www.sec.gov/Archives/edgar/data/1856365/000114036121024467/nt10024103x6_ex10-11.htm" TargetMode="External"/><Relationship Id="rId74" Type="http://schemas.openxmlformats.org/officeDocument/2006/relationships/hyperlink" Target="https://www.sec.gov/Archives/edgar/data/1856365/000114036121024467/nt10024103x6_ex10-12.htm" TargetMode="External"/><Relationship Id="rId75" Type="http://schemas.openxmlformats.org/officeDocument/2006/relationships/hyperlink" Target="https://www.sec.gov/Archives/edgar/data/1856365/000114036121024467/nt10024103x6_ex10-13.htm" TargetMode="External"/><Relationship Id="rId76" Type="http://schemas.openxmlformats.org/officeDocument/2006/relationships/hyperlink" Target="https://www.sec.gov/Archives/edgar/data/1856365/000114036121024467/nt10024103x6_ex10-14.htm" TargetMode="External"/><Relationship Id="rId77" Type="http://schemas.openxmlformats.org/officeDocument/2006/relationships/hyperlink" Target="https://www.sec.gov/Archives/edgar/data/1856365/000114036121026810/nt10024103x8_ex10-15.htm" TargetMode="External"/><Relationship Id="rId78" Type="http://schemas.openxmlformats.org/officeDocument/2006/relationships/hyperlink" Target="https://www.sec.gov/ix?doc=/Archives/edgar/data/0001856365/000114036123014828/brhc10050360_10k.htm" TargetMode="External"/><Relationship Id="rId79" Type="http://schemas.openxmlformats.org/officeDocument/2006/relationships/hyperlink" Target="https://www.sec.gov/ix?doc=/Archives/edgar/data/0001856365/000114036123014828/brhc10050360_10k.htm" TargetMode="External"/><Relationship Id="rId80" Type="http://schemas.openxmlformats.org/officeDocument/2006/relationships/hyperlink" Target="https://www.sec.gov/ix?doc=/Archives/edgar/data/0001856365/000114036123014828/brhc10050360_10k.htm" TargetMode="External"/><Relationship Id="rId81" Type="http://schemas.openxmlformats.org/officeDocument/2006/relationships/hyperlink" Target="https://www.sec.gov/ix?doc=/Archives/edgar/data/0001856365/000114036123014828/brhc10050360_10k.htm" TargetMode="External"/><Relationship Id="rId82" Type="http://schemas.openxmlformats.org/officeDocument/2006/relationships/hyperlink" Target="https://www.sec.gov/ix?doc=/Archives/edgar/data/0001856365/000114036123014828/brhc10050360_10k.htm" TargetMode="External"/><Relationship Id="rId83" Type="http://schemas.openxmlformats.org/officeDocument/2006/relationships/image" Target="media/image1.png"/><Relationship Id="rId84" Type="http://schemas.openxmlformats.org/officeDocument/2006/relationships/fontTable" Target="fontTable.xml"/><Relationship Id="rId8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75421</Words>
  <Characters>420675</Characters>
  <CharactersWithSpaces>493321</CharactersWithSpaces>
  <Paragraphs>6593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