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9"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________to ______.</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001-40721</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FINWISE BANCORP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16"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83-0356689</w:t>
            </w:r>
          </w:p>
        </w:tc>
        <w:tc>
          <w:tcPr>
            <w:tcW w:w="0" w:type="dxa"/>
            <w:vAlign w:val="bottom"/>
          </w:tcPr>
          <w:p>
            <w:pPr>
              <w:spacing w:after="0"/>
              <w:rPr>
                <w:sz w:val="1"/>
                <w:szCs w:val="1"/>
                <w:color w:val="auto"/>
              </w:rPr>
            </w:pPr>
          </w:p>
        </w:tc>
      </w:tr>
      <w:tr>
        <w:trPr>
          <w:trHeight w:val="234"/>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24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756 East Winchester, Suite 100</w:t>
            </w:r>
          </w:p>
        </w:tc>
        <w:tc>
          <w:tcPr>
            <w:tcW w:w="31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84107</w:t>
            </w:r>
          </w:p>
        </w:tc>
        <w:tc>
          <w:tcPr>
            <w:tcW w:w="0" w:type="dxa"/>
            <w:vAlign w:val="bottom"/>
          </w:tcPr>
          <w:p>
            <w:pPr>
              <w:spacing w:after="0"/>
              <w:rPr>
                <w:sz w:val="1"/>
                <w:szCs w:val="1"/>
                <w:color w:val="auto"/>
              </w:rPr>
            </w:pPr>
          </w:p>
        </w:tc>
      </w:tr>
      <w:tr>
        <w:trPr>
          <w:trHeight w:val="238"/>
        </w:trPr>
        <w:tc>
          <w:tcPr>
            <w:tcW w:w="47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Murray, Utah</w:t>
            </w:r>
          </w:p>
        </w:tc>
        <w:tc>
          <w:tcPr>
            <w:tcW w:w="3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7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501-7200</w:t>
      </w:r>
    </w:p>
    <w:p>
      <w:pPr>
        <w:spacing w:after="0" w:line="3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23"/>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560" w:type="dxa"/>
            <w:vAlign w:val="bottom"/>
          </w:tcPr>
          <w:p>
            <w:pPr>
              <w:spacing w:after="0"/>
              <w:rPr>
                <w:sz w:val="24"/>
                <w:szCs w:val="24"/>
                <w:color w:val="auto"/>
              </w:rPr>
            </w:pPr>
          </w:p>
        </w:tc>
      </w:tr>
      <w:tr>
        <w:trPr>
          <w:trHeight w:val="259"/>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2"/>
                <w:szCs w:val="22"/>
                <w:color w:val="auto"/>
              </w:rPr>
            </w:pP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94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7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FINW</w:t>
            </w: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4"/>
          <w:szCs w:val="24"/>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4"/>
          <w:szCs w:val="24"/>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Accelerated filer</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99"/>
              </w:rPr>
              <w:t>o</w:t>
            </w: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88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r>
        <w:trPr>
          <w:trHeight w:val="256"/>
        </w:trPr>
        <w:tc>
          <w:tcPr>
            <w:tcW w:w="25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45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00" w:type="dxa"/>
            <w:vAlign w:val="bottom"/>
          </w:tcPr>
          <w:p>
            <w:pPr>
              <w:ind w:left="720"/>
              <w:spacing w:after="0"/>
              <w:rPr>
                <w:sz w:val="20"/>
                <w:szCs w:val="20"/>
                <w:color w:val="auto"/>
              </w:rPr>
            </w:pPr>
            <w:r>
              <w:rPr>
                <w:rFonts w:ascii="Wingdings" w:cs="Wingdings" w:eastAsia="Wingdings" w:hAnsi="Wingdings"/>
                <w:sz w:val="18"/>
                <w:szCs w:val="18"/>
                <w:b w:val="1"/>
                <w:bCs w:val="1"/>
                <w:color w:val="auto"/>
                <w:w w:val="83"/>
              </w:rPr>
              <w:t>x</w:t>
            </w:r>
          </w:p>
        </w:tc>
      </w:tr>
    </w:tbl>
    <w:p>
      <w:pPr>
        <w:spacing w:after="0" w:line="265" w:lineRule="exact"/>
        <w:rPr>
          <w:sz w:val="24"/>
          <w:szCs w:val="24"/>
          <w:color w:val="auto"/>
        </w:rPr>
      </w:pPr>
    </w:p>
    <w:p>
      <w:pPr>
        <w:ind w:right="20"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9"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2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August 12, 2024, the registrant had 13,211,160 shares of common stock, $0.001 par value per share, outstanding.</w:t>
      </w:r>
    </w:p>
    <w:p>
      <w:pPr>
        <w:sectPr>
          <w:pgSz w:w="11900" w:h="16838" w:orient="portrait"/>
          <w:cols w:equalWidth="0" w:num="1">
            <w:col w:w="11240"/>
          </w:cols>
          <w:pgMar w:left="320" w:top="290"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123190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Page</w:t>
            </w:r>
          </w:p>
        </w:tc>
      </w:tr>
      <w:tr>
        <w:trPr>
          <w:trHeight w:val="257"/>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100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INFORMATION</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760" w:type="dxa"/>
            <w:vAlign w:val="bottom"/>
            <w:tcBorders>
              <w:bottom w:val="single" w:sz="8" w:color="CCEEFF"/>
            </w:tcBorders>
            <w:gridSpan w:val="9"/>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 of Changes in Shareholders’ Equity</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03"/>
        </w:trPr>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27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1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r>
      <w:tr>
        <w:trPr>
          <w:trHeight w:val="202"/>
        </w:trPr>
        <w:tc>
          <w:tcPr>
            <w:tcW w:w="20" w:type="dxa"/>
            <w:vAlign w:val="bottom"/>
          </w:tcPr>
          <w:p>
            <w:pPr>
              <w:spacing w:after="0"/>
              <w:rPr>
                <w:sz w:val="17"/>
                <w:szCs w:val="17"/>
                <w:color w:val="auto"/>
              </w:rPr>
            </w:pPr>
          </w:p>
        </w:tc>
        <w:tc>
          <w:tcPr>
            <w:tcW w:w="11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91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59</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PART II.</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270"/>
        </w:trPr>
        <w:tc>
          <w:tcPr>
            <w:tcW w:w="2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60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00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100" w:type="dxa"/>
            <w:vAlign w:val="bottom"/>
            <w:tcBorders>
              <w:top w:val="single" w:sz="8" w:color="CCEEFF"/>
            </w:tcBorders>
          </w:tcPr>
          <w:p>
            <w:pPr>
              <w:spacing w:after="0"/>
              <w:rPr>
                <w:sz w:val="23"/>
                <w:szCs w:val="23"/>
                <w:color w:val="auto"/>
              </w:rPr>
            </w:pPr>
          </w:p>
        </w:tc>
        <w:tc>
          <w:tcPr>
            <w:tcW w:w="272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1.</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w:t>
            </w:r>
            <w:r>
              <w:rPr>
                <w:rFonts w:ascii="Times New Roman" w:cs="Times New Roman" w:eastAsia="Times New Roman" w:hAnsi="Times New Roman"/>
                <w:sz w:val="18"/>
                <w:szCs w:val="18"/>
                <w:color w:val="000000"/>
              </w:rPr>
              <w: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top w:val="single" w:sz="8" w:color="0000FF"/>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7920" w:type="dxa"/>
            <w:vAlign w:val="bottom"/>
            <w:tcBorders>
              <w:top w:val="single" w:sz="8" w:color="CCEEFF"/>
            </w:tcBorders>
            <w:gridSpan w:val="16"/>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6"/>
          </w:tcPr>
          <w:p>
            <w:pPr>
              <w:spacing w:after="0" w:line="20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tcBorders>
              <w:top w:val="single" w:sz="8" w:color="CCEEFF"/>
            </w:tcBorders>
            <w:gridSpan w:val="3"/>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tcBorders>
              <w:top w:val="single" w:sz="8" w:color="CCEEFF"/>
            </w:tcBorders>
            <w:gridSpan w:val="14"/>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3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62</w:t>
            </w:r>
          </w:p>
        </w:tc>
      </w:tr>
      <w:tr>
        <w:trPr>
          <w:trHeight w:val="203"/>
        </w:trPr>
        <w:tc>
          <w:tcPr>
            <w:tcW w:w="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7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63</w:t>
            </w:r>
          </w:p>
        </w:tc>
      </w:tr>
      <w:tr>
        <w:trPr>
          <w:trHeight w:val="1053"/>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this Quarterly Report on Form 10-Q (this “Report”), unless we state otherwise or the context otherwise requires, references to “we,” “our,” “us,” “the Company” and “FinWise Bancorp” refer to FinWise Bancorp and its wholly owned subsidiaries, FinWise Bank (which we sometimes refer to as “FinWise Bank,” “FinWise,” “the Bank” or “our Bank,”) and FinWise Investment, LLC.</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made pursuant to the safe harbor provisions of the Private Securities Litigation Reform Act of 1995. These forward-looking statements reflect our current views with respect to, among other things, future events and our financial performance. These statements are often, but not always, made through the use of words or phrases such as “may,” “might,” “should,” “could,” “predict,” “potential,” “believe,” “will likely result,” “expect,” “continue,” “will,” “anticipate,” “seek,” “estimate,” “intend,” “plan,” “project,” “projection,” “forecast,” “budget,” “goal,” “target,” “would,” “aim” and “outlook,” or the negative version of those words or other comparable words or phrases of a future or forward-looking nature. These forward-looking statements are not historical facts, and are based on current expectations, estimates and projections about our industry and management’s beliefs and certain assumptions made by management, many of which, by their nature, are inherently uncertain and beyond our control. The inclusion of these forward-looking statements should not be regarded as a representation by us or any other person that such expectations, estimates and projections will be achieved.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our financial performance to differ materially from that expressed in such forward-looking statements, including, but not limited to, the following:</w:t>
      </w:r>
    </w:p>
    <w:p>
      <w:pPr>
        <w:spacing w:after="0" w:line="121" w:lineRule="exact"/>
        <w:rPr>
          <w:sz w:val="20"/>
          <w:szCs w:val="20"/>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the financial technology and banking-as-a-service industries, as well as the continued evolution of the regulation of these industries;</w:t>
      </w:r>
    </w:p>
    <w:p>
      <w:pPr>
        <w:spacing w:after="0" w:line="184"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Strategic Program or Fintech Banking and Payment Solutions service providers to comply with regulatory regimes, and our ability to adequately oversee and monitor our Strategic Program and Fintech Banking and Payment Solutions service providers;</w:t>
      </w:r>
    </w:p>
    <w:p>
      <w:pPr>
        <w:spacing w:after="0" w:line="13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relationships with our service providers;</w:t>
      </w:r>
    </w:p>
    <w:p>
      <w:pPr>
        <w:spacing w:after="0" w:line="184" w:lineRule="exact"/>
        <w:rPr>
          <w:rFonts w:ascii="Times New Roman" w:cs="Times New Roman" w:eastAsia="Times New Roman" w:hAnsi="Times New Roman"/>
          <w:sz w:val="18"/>
          <w:szCs w:val="18"/>
          <w:color w:val="auto"/>
        </w:rPr>
      </w:pPr>
    </w:p>
    <w:p>
      <w:pPr>
        <w:ind w:left="50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laws, rules, regulations, interpretations or policies relating to financial institutions, accounting, tax, trade, monetary and fiscal matters, including the application of interest rate caps or maximums;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changes in the industry or implement new technology effectively;</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 or cybersecurity breaches of our network security;</w:t>
      </w:r>
    </w:p>
    <w:p>
      <w:pPr>
        <w:spacing w:after="0" w:line="184"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fraud, negligence, computer theft and cyber-crime and other disruptions in our computer systems relating to our development and use of new technology platforms;</w:t>
      </w:r>
    </w:p>
    <w:p>
      <w:pPr>
        <w:spacing w:after="0" w:line="121"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service providers for core systems support, informational website hosting, internet services, online account opening and other processing services;</w:t>
      </w:r>
    </w:p>
    <w:p>
      <w:pPr>
        <w:spacing w:after="0" w:line="13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business conditions, either nationally or in our market areas;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national or regional competition in the financial services industry;</w:t>
      </w:r>
    </w:p>
    <w:p>
      <w:pPr>
        <w:spacing w:after="0" w:line="184" w:lineRule="exact"/>
        <w:rPr>
          <w:rFonts w:ascii="Times New Roman" w:cs="Times New Roman" w:eastAsia="Times New Roman" w:hAnsi="Times New Roman"/>
          <w:sz w:val="18"/>
          <w:szCs w:val="18"/>
          <w:color w:val="auto"/>
        </w:rPr>
      </w:pPr>
    </w:p>
    <w:p>
      <w:pPr>
        <w:ind w:left="500" w:right="140" w:hanging="492"/>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measure and manage our credit risk effectively and the potential deterioration of the business and economic conditions in our primary market areas;</w:t>
      </w:r>
    </w:p>
    <w:p>
      <w:pPr>
        <w:spacing w:after="0" w:line="13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risk management framework;</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allowance for credit losses (“ACL”);</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soundness of other financial institutions;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00" w:right="8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Small Business Administration (“SBA”) rules, regulations and loan products, including specifically the Section 7(a) program, or changes to the status of the Bank as an SBA Preferred Lender;</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collateral securing our loans;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levels of nonperforming assets;</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loan defaults;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the risks we face with respect to claims and litigation initiated against us;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launch new products or services successfully;</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lending and depositor relationships through Strategic Programs in the financial technology industry generally;</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and liquidity risks;</w:t>
      </w:r>
    </w:p>
    <w:p>
      <w:pPr>
        <w:spacing w:after="0" w:line="198"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 over financial reporting and our ability to remediate any future material weakness in our internal control over financial reporting;</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our management team and changes in management composition;</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capital;</w:t>
      </w:r>
    </w:p>
    <w:p>
      <w:pPr>
        <w:spacing w:after="0" w:line="198"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supervisory actions, the Dodd-Frank Act, capital requirements, the Bank Secrecy Act, anti-money laundering laws, predatory lending laws, and other statutes and regulations;</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strong core deposit base or other low-cost funding sources;</w:t>
      </w:r>
    </w:p>
    <w:p>
      <w:pPr>
        <w:spacing w:after="0" w:line="18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examinations of us by our regulators;</w:t>
      </w:r>
    </w:p>
    <w:p>
      <w:pPr>
        <w:spacing w:after="0" w:line="19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from time to time in legal proceedings;</w:t>
      </w:r>
    </w:p>
    <w:p>
      <w:pPr>
        <w:spacing w:after="0" w:line="184" w:lineRule="exact"/>
        <w:rPr>
          <w:rFonts w:ascii="Times New Roman" w:cs="Times New Roman" w:eastAsia="Times New Roman" w:hAnsi="Times New Roman"/>
          <w:sz w:val="18"/>
          <w:szCs w:val="18"/>
          <w:color w:val="auto"/>
        </w:rPr>
      </w:pPr>
    </w:p>
    <w:p>
      <w:pPr>
        <w:ind w:left="500" w:right="80" w:hanging="492"/>
        <w:spacing w:after="0" w:line="282"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adverse weather, acts of terrorism, pandemics, an outbreak of hostilities or other international or domestic calamities, and other matters beyond our control;</w:t>
      </w:r>
    </w:p>
    <w:p>
      <w:pPr>
        <w:spacing w:after="0" w:line="12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equity and debt issuances;</w:t>
      </w:r>
    </w:p>
    <w:p>
      <w:pPr>
        <w:spacing w:after="0" w:line="198" w:lineRule="exact"/>
        <w:rPr>
          <w:rFonts w:ascii="Times New Roman" w:cs="Times New Roman" w:eastAsia="Times New Roman" w:hAnsi="Times New Roman"/>
          <w:sz w:val="18"/>
          <w:szCs w:val="18"/>
          <w:color w:val="auto"/>
        </w:rPr>
      </w:pPr>
    </w:p>
    <w:p>
      <w:pPr>
        <w:ind w:left="50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anticipated benefits new lines of business that we may enter or investments or acquisitions we may make are not realized within the expected time frame or at all as a result of such things as the strength or weakness of the economy and competitive factors in the areas where we and such other businesses operate; and</w:t>
      </w:r>
    </w:p>
    <w:p>
      <w:pPr>
        <w:spacing w:after="0" w:line="135" w:lineRule="exact"/>
        <w:rPr>
          <w:rFonts w:ascii="Times New Roman" w:cs="Times New Roman" w:eastAsia="Times New Roman" w:hAnsi="Times New Roman"/>
          <w:sz w:val="18"/>
          <w:szCs w:val="18"/>
          <w:color w:val="auto"/>
        </w:rPr>
      </w:pPr>
    </w:p>
    <w:p>
      <w:pPr>
        <w:ind w:left="500" w:right="60" w:hanging="492"/>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listed from time to time in our filings with the Securities and Exchange Commission (the “SEC”), including, without limitation, this Report, our Annual Report on Form 10-K for the year ended December 31, 2023 (the “2023 Form 10-K”) and subsequent reports on Form 10-Q and Form 8-K.</w:t>
      </w:r>
    </w:p>
    <w:p>
      <w:pPr>
        <w:spacing w:after="0" w:line="13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Report, including those discussed in the section entitled “Risk Factors.” If one or more events related to these or other risks or uncertainties materialize, or if our underlying assumptions prove to be incorrect, actual results may differ materially from our forward-looking statements. Accordingly, you should not place undue reliance on any such forward-looking statements. Any forward-looking statement speaks only as of the date of this Report, and we do not undertake any obligation to publicly update or review any forward-looking statement, whether because of new information, future developments or otherwise, except as required by law. New risks and uncertainties may emerge from time to time, and it is not possible for us to predict their occurrence. In addition, we cannot assess the impact of each risk and uncertainty on our business or the extent to which any risk or uncertainty, or combination of risks and uncertainties, may cause actual results to differ materially from those contained in any forward-looking statements.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6"/>
                <w:szCs w:val="16"/>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Interest-bearing deposits in other banks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116,564</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89,009</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116,975</w:t>
            </w:r>
          </w:p>
        </w:tc>
        <w:tc>
          <w:tcPr>
            <w:tcW w:w="0" w:type="dxa"/>
            <w:vAlign w:val="bottom"/>
          </w:tcPr>
          <w:p>
            <w:pPr>
              <w:spacing w:after="0"/>
              <w:rPr>
                <w:sz w:val="1"/>
                <w:szCs w:val="1"/>
                <w:color w:val="auto"/>
              </w:rPr>
            </w:pPr>
          </w:p>
        </w:tc>
      </w:tr>
      <w:tr>
        <w:trPr>
          <w:trHeight w:val="166"/>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securities held-to-maturity, net of allowance for credit losses of $0, (fair value of $12.4 million and $13.8 million,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Federal Home Loan Bank ("FHLB") stock, at cost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Strategic Program loans held-for-sale, at lower of cost or fair value</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47,514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Loans held for investment, net of allowance for credit losses of $13.1 million and $12.9 million, respectively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358,560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Small Business Administration (“SBA”) servicing asset, net</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Business Funding Group ("BFG"), at fair value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right-of-use (“ROU”)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 net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617,820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3"/>
        </w:trPr>
        <w:tc>
          <w:tcPr>
            <w:tcW w:w="818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Noninterest-bearing</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107,083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95,486</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Interest-bearing</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309,347</w:t>
            </w:r>
          </w:p>
        </w:tc>
        <w:tc>
          <w:tcPr>
            <w:tcW w:w="0" w:type="dxa"/>
            <w:vAlign w:val="bottom"/>
          </w:tcPr>
          <w:p>
            <w:pPr>
              <w:spacing w:after="0"/>
              <w:rPr>
                <w:sz w:val="1"/>
                <w:szCs w:val="1"/>
                <w:color w:val="auto"/>
              </w:rPr>
            </w:pPr>
          </w:p>
        </w:tc>
      </w:tr>
      <w:tr>
        <w:trPr>
          <w:trHeight w:val="18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deposits</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429,195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404,833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interest payable</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 net</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Paycheck Protection Program Liquidity Facility</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452,024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431,165</w:t>
            </w: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7)</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8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Preferred stock, $0.001 par value, 4,000,000 authorized; no shares issued and outstanding as of June 30, 2024 and December 31, 2023</w:t>
            </w:r>
          </w:p>
        </w:tc>
        <w:tc>
          <w:tcPr>
            <w:tcW w:w="24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Common stock, $0.001 par value, 40,000,000 shares authorized; 13,143,560 and 12,493,565 shares issued and outstanding as of June 30,</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51,200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110,342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103,844</w:t>
            </w:r>
          </w:p>
        </w:tc>
        <w:tc>
          <w:tcPr>
            <w:tcW w:w="0" w:type="dxa"/>
            <w:vAlign w:val="bottom"/>
          </w:tcPr>
          <w:p>
            <w:pPr>
              <w:spacing w:after="0"/>
              <w:rPr>
                <w:sz w:val="1"/>
                <w:szCs w:val="1"/>
                <w:color w:val="auto"/>
              </w:rPr>
            </w:pPr>
          </w:p>
        </w:tc>
      </w:tr>
      <w:tr>
        <w:trPr>
          <w:trHeight w:val="18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165,796</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155,056</w:t>
            </w:r>
          </w:p>
        </w:tc>
        <w:tc>
          <w:tcPr>
            <w:tcW w:w="0" w:type="dxa"/>
            <w:vAlign w:val="bottom"/>
          </w:tcPr>
          <w:p>
            <w:pPr>
              <w:spacing w:after="0"/>
              <w:rPr>
                <w:sz w:val="1"/>
                <w:szCs w:val="1"/>
                <w:color w:val="auto"/>
              </w:rPr>
            </w:pPr>
          </w:p>
        </w:tc>
      </w:tr>
      <w:tr>
        <w:trPr>
          <w:trHeight w:val="37"/>
        </w:trPr>
        <w:tc>
          <w:tcPr>
            <w:tcW w:w="8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617,820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586,221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8"/>
                <w:szCs w:val="18"/>
                <w:color w:val="auto"/>
              </w:rPr>
            </w:pPr>
          </w:p>
        </w:tc>
        <w:tc>
          <w:tcPr>
            <w:tcW w:w="2760" w:type="dxa"/>
            <w:vAlign w:val="bottom"/>
            <w:gridSpan w:val="4"/>
          </w:tcPr>
          <w:p>
            <w:pPr>
              <w:jc w:val="right"/>
              <w:ind w:right="439"/>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8"/>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5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26,697</w:t>
            </w:r>
          </w:p>
        </w:tc>
        <w:tc>
          <w:tcPr>
            <w:tcW w:w="0" w:type="dxa"/>
            <w:vAlign w:val="bottom"/>
          </w:tcPr>
          <w:p>
            <w:pPr>
              <w:spacing w:after="0"/>
              <w:rPr>
                <w:sz w:val="1"/>
                <w:szCs w:val="1"/>
                <w:color w:val="auto"/>
              </w:rPr>
            </w:pPr>
          </w:p>
        </w:tc>
      </w:tr>
      <w:tr>
        <w:trPr>
          <w:trHeight w:val="23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securities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interest income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18,422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29,270</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deposits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w:t>
            </w: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13,675</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28,621</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25,781</w:t>
            </w:r>
          </w:p>
        </w:tc>
        <w:tc>
          <w:tcPr>
            <w:tcW w:w="0" w:type="dxa"/>
            <w:vAlign w:val="bottom"/>
          </w:tcPr>
          <w:p>
            <w:pPr>
              <w:spacing w:after="0"/>
              <w:rPr>
                <w:sz w:val="1"/>
                <w:szCs w:val="1"/>
                <w:color w:val="auto"/>
              </w:rPr>
            </w:pPr>
          </w:p>
        </w:tc>
      </w:tr>
      <w:tr>
        <w:trPr>
          <w:trHeight w:val="256"/>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interest income after provision for credit losses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23,082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20,422</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income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Strategic Program fees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0" w:type="dxa"/>
            <w:vAlign w:val="bottom"/>
          </w:tcPr>
          <w:p>
            <w:pPr>
              <w:spacing w:after="0"/>
              <w:rPr>
                <w:sz w:val="1"/>
                <w:szCs w:val="1"/>
                <w:color w:val="auto"/>
              </w:rPr>
            </w:pPr>
          </w:p>
        </w:tc>
      </w:tr>
      <w:tr>
        <w:trPr>
          <w:trHeight w:val="23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sale of loans, net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SBA loan servicing fees and servicing asset amortization</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0" w:type="dxa"/>
            <w:vAlign w:val="bottom"/>
          </w:tcPr>
          <w:p>
            <w:pPr>
              <w:spacing w:after="0"/>
              <w:rPr>
                <w:sz w:val="1"/>
                <w:szCs w:val="1"/>
                <w:color w:val="auto"/>
              </w:rPr>
            </w:pPr>
          </w:p>
        </w:tc>
      </w:tr>
      <w:tr>
        <w:trPr>
          <w:trHeight w:val="23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on investment in BFG</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miscellaneous income</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non-interest income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10,302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9,815</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Non-interest expense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Salaries and employee benefits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11,938</w:t>
            </w:r>
          </w:p>
        </w:tc>
        <w:tc>
          <w:tcPr>
            <w:tcW w:w="0" w:type="dxa"/>
            <w:vAlign w:val="bottom"/>
          </w:tcPr>
          <w:p>
            <w:pPr>
              <w:spacing w:after="0"/>
              <w:rPr>
                <w:sz w:val="1"/>
                <w:szCs w:val="1"/>
                <w:color w:val="auto"/>
              </w:rPr>
            </w:pPr>
          </w:p>
        </w:tc>
      </w:tr>
      <w:tr>
        <w:trPr>
          <w:trHeight w:val="23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Professional services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Occupancy and equipment expenses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0" w:type="dxa"/>
            <w:vAlign w:val="bottom"/>
          </w:tcPr>
          <w:p>
            <w:pPr>
              <w:spacing w:after="0"/>
              <w:rPr>
                <w:sz w:val="1"/>
                <w:szCs w:val="1"/>
                <w:color w:val="auto"/>
              </w:rPr>
            </w:pPr>
          </w:p>
        </w:tc>
      </w:tr>
      <w:tr>
        <w:trPr>
          <w:trHeight w:val="23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Recovery of SBA servicing asset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24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0" w:type="dxa"/>
            <w:vAlign w:val="bottom"/>
          </w:tcPr>
          <w:p>
            <w:pPr>
              <w:spacing w:after="0"/>
              <w:rPr>
                <w:sz w:val="1"/>
                <w:szCs w:val="1"/>
                <w:color w:val="auto"/>
              </w:rPr>
            </w:pPr>
          </w:p>
        </w:tc>
      </w:tr>
      <w:tr>
        <w:trPr>
          <w:trHeight w:val="23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non-interest expense</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12,890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18,736</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provision for income taxes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c>
          <w:tcPr>
            <w:tcW w:w="0" w:type="dxa"/>
            <w:vAlign w:val="bottom"/>
          </w:tcPr>
          <w:p>
            <w:pPr>
              <w:spacing w:after="0"/>
              <w:rPr>
                <w:sz w:val="1"/>
                <w:szCs w:val="1"/>
                <w:color w:val="auto"/>
              </w:rPr>
            </w:pPr>
          </w:p>
        </w:tc>
      </w:tr>
      <w:tr>
        <w:trPr>
          <w:trHeight w:val="236"/>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0" w:type="dxa"/>
            <w:vAlign w:val="bottom"/>
          </w:tcPr>
          <w:p>
            <w:pPr>
              <w:spacing w:after="0"/>
              <w:rPr>
                <w:sz w:val="1"/>
                <w:szCs w:val="1"/>
                <w:color w:val="auto"/>
              </w:rPr>
            </w:pPr>
          </w:p>
        </w:tc>
      </w:tr>
      <w:tr>
        <w:trPr>
          <w:trHeight w:val="26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6,495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8,499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10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80"/>
        </w:trPr>
        <w:tc>
          <w:tcPr>
            <w:tcW w:w="50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12,627,800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12,603,463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12,565,124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12,655,605</w:t>
            </w:r>
          </w:p>
        </w:tc>
        <w:tc>
          <w:tcPr>
            <w:tcW w:w="0" w:type="dxa"/>
            <w:vAlign w:val="bottom"/>
          </w:tcPr>
          <w:p>
            <w:pPr>
              <w:spacing w:after="0"/>
              <w:rPr>
                <w:sz w:val="1"/>
                <w:szCs w:val="1"/>
                <w:color w:val="auto"/>
              </w:rPr>
            </w:pPr>
          </w:p>
        </w:tc>
      </w:tr>
      <w:tr>
        <w:trPr>
          <w:trHeight w:val="25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13,109,708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12,989,530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13,060,783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13,080,620</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0"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12,793,555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55,304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107,165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162,482</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354,699</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exercised, net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22,217</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218"/>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13,143,560</w:t>
            </w:r>
          </w:p>
        </w:tc>
        <w:tc>
          <w:tcPr>
            <w:tcW w:w="1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55,441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110,342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165,796</w:t>
            </w:r>
          </w:p>
        </w:tc>
        <w:tc>
          <w:tcPr>
            <w:tcW w:w="0" w:type="dxa"/>
            <w:vAlign w:val="bottom"/>
          </w:tcPr>
          <w:p>
            <w:pPr>
              <w:spacing w:after="0"/>
              <w:rPr>
                <w:sz w:val="1"/>
                <w:szCs w:val="1"/>
                <w:color w:val="auto"/>
              </w:rPr>
            </w:pPr>
          </w:p>
        </w:tc>
      </w:tr>
      <w:tr>
        <w:trPr>
          <w:trHeight w:val="26"/>
        </w:trPr>
        <w:tc>
          <w:tcPr>
            <w:tcW w:w="35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12,493,565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51,200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103,844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155,056</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329,310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26,117</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(44,608)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BFG ownership purchase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339,176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4,125</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13,143,560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55,441</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110,342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165,796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12,824,572</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54,827</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89,513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144,353</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168,821</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(269,690)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w:t>
            </w:r>
          </w:p>
        </w:tc>
        <w:tc>
          <w:tcPr>
            <w:tcW w:w="0" w:type="dxa"/>
            <w:vAlign w:val="bottom"/>
          </w:tcPr>
          <w:p>
            <w:pPr>
              <w:spacing w:after="0"/>
              <w:rPr>
                <w:sz w:val="1"/>
                <w:szCs w:val="1"/>
                <w:color w:val="auto"/>
              </w:rPr>
            </w:pPr>
          </w:p>
        </w:tc>
      </w:tr>
      <w:tr>
        <w:trPr>
          <w:trHeight w:val="19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12,723,703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147,448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2680" w:type="dxa"/>
            <w:vAlign w:val="bottom"/>
            <w:gridSpan w:val="3"/>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80" w:type="dxa"/>
            <w:vAlign w:val="bottom"/>
          </w:tcPr>
          <w:p>
            <w:pPr>
              <w:spacing w:after="0"/>
              <w:rPr>
                <w:sz w:val="3"/>
                <w:szCs w:val="3"/>
                <w:color w:val="auto"/>
              </w:rPr>
            </w:pPr>
          </w:p>
        </w:tc>
        <w:tc>
          <w:tcPr>
            <w:tcW w:w="13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3"/>
                <w:szCs w:val="3"/>
                <w:color w:val="auto"/>
              </w:rPr>
            </w:pPr>
          </w:p>
        </w:tc>
        <w:tc>
          <w:tcPr>
            <w:tcW w:w="12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04"/>
        </w:trPr>
        <w:tc>
          <w:tcPr>
            <w:tcW w:w="3500" w:type="dxa"/>
            <w:vAlign w:val="bottom"/>
          </w:tcPr>
          <w:p>
            <w:pPr>
              <w:spacing w:after="0"/>
              <w:rPr>
                <w:sz w:val="17"/>
                <w:szCs w:val="17"/>
                <w:color w:val="auto"/>
              </w:rPr>
            </w:pP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80" w:type="dxa"/>
            <w:vAlign w:val="bottom"/>
          </w:tcPr>
          <w:p>
            <w:pPr>
              <w:spacing w:after="0"/>
              <w:rPr>
                <w:sz w:val="17"/>
                <w:szCs w:val="17"/>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128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
        </w:trPr>
        <w:tc>
          <w:tcPr>
            <w:tcW w:w="35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12,831,345</w:t>
            </w: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54,614</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85,832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140,459</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adoption of ASC 2016-13, net of tax</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168,821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 and retired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(293,263)</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0" w:type="dxa"/>
            <w:vAlign w:val="bottom"/>
          </w:tcPr>
          <w:p>
            <w:pPr>
              <w:spacing w:after="0"/>
              <w:rPr>
                <w:sz w:val="1"/>
                <w:szCs w:val="1"/>
                <w:color w:val="auto"/>
              </w:rPr>
            </w:pPr>
          </w:p>
        </w:tc>
      </w:tr>
      <w:tr>
        <w:trPr>
          <w:trHeight w:val="37"/>
        </w:trPr>
        <w:tc>
          <w:tcPr>
            <w:tcW w:w="35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exercised, net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2"/>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0" w:type="dxa"/>
            <w:vAlign w:val="bottom"/>
          </w:tcPr>
          <w:p>
            <w:pPr>
              <w:spacing w:after="0"/>
              <w:rPr>
                <w:sz w:val="1"/>
                <w:szCs w:val="1"/>
                <w:color w:val="auto"/>
              </w:rPr>
            </w:pPr>
          </w:p>
        </w:tc>
      </w:tr>
      <w:tr>
        <w:trPr>
          <w:trHeight w:val="37"/>
        </w:trPr>
        <w:tc>
          <w:tcPr>
            <w:tcW w:w="350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12,723,703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52,625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94,810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147,448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580" w:type="dxa"/>
            <w:vAlign w:val="bottom"/>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00" w:type="dxa"/>
            <w:vAlign w:val="bottom"/>
          </w:tcPr>
          <w:p>
            <w:pPr>
              <w:spacing w:after="0"/>
              <w:rPr>
                <w:sz w:val="16"/>
                <w:szCs w:val="16"/>
                <w:color w:val="auto"/>
              </w:rPr>
            </w:pP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680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340" w:type="dxa"/>
            <w:vAlign w:val="bottom"/>
            <w:tcBorders>
              <w:bottom w:val="single" w:sz="8" w:color="CCEEFF"/>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6,495</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8,499</w:t>
            </w:r>
          </w:p>
        </w:tc>
        <w:tc>
          <w:tcPr>
            <w:tcW w:w="0" w:type="dxa"/>
            <w:vAlign w:val="bottom"/>
          </w:tcPr>
          <w:p>
            <w:pPr>
              <w:spacing w:after="0"/>
              <w:rPr>
                <w:sz w:val="1"/>
                <w:szCs w:val="1"/>
                <w:color w:val="auto"/>
              </w:rPr>
            </w:pPr>
          </w:p>
        </w:tc>
      </w:tr>
      <w:tr>
        <w:trPr>
          <w:trHeight w:val="54"/>
        </w:trPr>
        <w:tc>
          <w:tcPr>
            <w:tcW w:w="6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reconcile net income to net cash used in operating activities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2,643</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1,648</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5,539</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5,359</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(accretion) amortization in securities discounts and premiums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Additions to servicing asset</w:t>
            </w:r>
          </w:p>
        </w:tc>
        <w:tc>
          <w:tcPr>
            <w:tcW w:w="13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on sale of loans, net</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Originations of Strategic Program loans held-for-sale</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(2,196,032)</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(1,942,395)</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Strategic Program loans held-for-sale</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2,177,004</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1,923,622</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BFG</w:t>
            </w:r>
          </w:p>
        </w:tc>
        <w:tc>
          <w:tcPr>
            <w:tcW w:w="1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Recovery of SBA servicing asset</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Net changes in:</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93"/>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1,810</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93"/>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liabilities</w:t>
            </w: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0" w:type="dxa"/>
            <w:vAlign w:val="bottom"/>
          </w:tcPr>
          <w:p>
            <w:pPr>
              <w:spacing w:after="0"/>
              <w:rPr>
                <w:sz w:val="1"/>
                <w:szCs w:val="1"/>
                <w:color w:val="auto"/>
              </w:rPr>
            </w:pPr>
          </w:p>
        </w:tc>
      </w:tr>
      <w:tr>
        <w:trPr>
          <w:trHeight w:val="186"/>
        </w:trPr>
        <w:tc>
          <w:tcPr>
            <w:tcW w:w="68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(5,831)</w:t>
            </w: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(5,764)</w:t>
            </w:r>
          </w:p>
        </w:tc>
        <w:tc>
          <w:tcPr>
            <w:tcW w:w="0" w:type="dxa"/>
            <w:vAlign w:val="bottom"/>
          </w:tcPr>
          <w:p>
            <w:pPr>
              <w:spacing w:after="0"/>
              <w:rPr>
                <w:sz w:val="1"/>
                <w:szCs w:val="1"/>
                <w:color w:val="auto"/>
              </w:rPr>
            </w:pPr>
          </w:p>
        </w:tc>
      </w:tr>
      <w:tr>
        <w:trPr>
          <w:trHeight w:val="76"/>
        </w:trPr>
        <w:tc>
          <w:tcPr>
            <w:tcW w:w="68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loans receivable</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(34,044)</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(45,743)</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lease pools</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(10,676)</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(12,386)</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Investment in equity securities</w:t>
            </w:r>
          </w:p>
        </w:tc>
        <w:tc>
          <w:tcPr>
            <w:tcW w:w="13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bank premises and equipment, net</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maturities and paydowns of securities held-to-maturity</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securities held-to-maturity</w:t>
            </w:r>
          </w:p>
        </w:tc>
        <w:tc>
          <w:tcPr>
            <w:tcW w:w="13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of FHLB stock</w:t>
            </w: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86"/>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(45,985)</w:t>
            </w: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(62,883)</w:t>
            </w:r>
          </w:p>
        </w:tc>
        <w:tc>
          <w:tcPr>
            <w:tcW w:w="0" w:type="dxa"/>
            <w:vAlign w:val="bottom"/>
          </w:tcPr>
          <w:p>
            <w:pPr>
              <w:spacing w:after="0"/>
              <w:rPr>
                <w:sz w:val="1"/>
                <w:szCs w:val="1"/>
                <w:color w:val="auto"/>
              </w:rPr>
            </w:pPr>
          </w:p>
        </w:tc>
      </w:tr>
      <w:tr>
        <w:trPr>
          <w:trHeight w:val="76"/>
        </w:trPr>
        <w:tc>
          <w:tcPr>
            <w:tcW w:w="68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3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increase in deposits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24,362</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89,532</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3"/>
        </w:trPr>
        <w:tc>
          <w:tcPr>
            <w:tcW w:w="6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Repayment of PPP Liquidity Facility</w:t>
            </w: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37"/>
        </w:trPr>
        <w:tc>
          <w:tcPr>
            <w:tcW w:w="68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23,850</w:t>
            </w:r>
          </w:p>
        </w:tc>
        <w:tc>
          <w:tcPr>
            <w:tcW w:w="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87,122</w:t>
            </w:r>
          </w:p>
        </w:tc>
        <w:tc>
          <w:tcPr>
            <w:tcW w:w="0" w:type="dxa"/>
            <w:vAlign w:val="bottom"/>
          </w:tcPr>
          <w:p>
            <w:pPr>
              <w:spacing w:after="0"/>
              <w:rPr>
                <w:sz w:val="1"/>
                <w:szCs w:val="1"/>
                <w:color w:val="auto"/>
              </w:rPr>
            </w:pPr>
          </w:p>
        </w:tc>
      </w:tr>
      <w:tr>
        <w:trPr>
          <w:trHeight w:val="34"/>
        </w:trPr>
        <w:tc>
          <w:tcPr>
            <w:tcW w:w="680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and cash equivalents</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(27,966)</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18,475</w:t>
            </w:r>
          </w:p>
        </w:tc>
        <w:tc>
          <w:tcPr>
            <w:tcW w:w="0" w:type="dxa"/>
            <w:vAlign w:val="bottom"/>
          </w:tcPr>
          <w:p>
            <w:pPr>
              <w:spacing w:after="0"/>
              <w:rPr>
                <w:sz w:val="1"/>
                <w:szCs w:val="1"/>
                <w:color w:val="auto"/>
              </w:rPr>
            </w:pPr>
          </w:p>
        </w:tc>
      </w:tr>
      <w:tr>
        <w:trPr>
          <w:trHeight w:val="19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the period</w:t>
            </w:r>
          </w:p>
        </w:tc>
        <w:tc>
          <w:tcPr>
            <w:tcW w:w="13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116,975</w:t>
            </w: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100,567</w:t>
            </w:r>
          </w:p>
        </w:tc>
        <w:tc>
          <w:tcPr>
            <w:tcW w:w="0" w:type="dxa"/>
            <w:vAlign w:val="bottom"/>
          </w:tcPr>
          <w:p>
            <w:pPr>
              <w:spacing w:after="0"/>
              <w:rPr>
                <w:sz w:val="1"/>
                <w:szCs w:val="1"/>
                <w:color w:val="auto"/>
              </w:rPr>
            </w:pPr>
          </w:p>
        </w:tc>
      </w:tr>
      <w:tr>
        <w:trPr>
          <w:trHeight w:val="37"/>
        </w:trPr>
        <w:tc>
          <w:tcPr>
            <w:tcW w:w="68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the period</w:t>
            </w: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89,009</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119,042</w:t>
            </w:r>
          </w:p>
        </w:tc>
        <w:tc>
          <w:tcPr>
            <w:tcW w:w="0" w:type="dxa"/>
            <w:vAlign w:val="bottom"/>
          </w:tcPr>
          <w:p>
            <w:pPr>
              <w:spacing w:after="0"/>
              <w:rPr>
                <w:sz w:val="1"/>
                <w:szCs w:val="1"/>
                <w:color w:val="auto"/>
              </w:rPr>
            </w:pPr>
          </w:p>
        </w:tc>
      </w:tr>
      <w:tr>
        <w:trPr>
          <w:trHeight w:val="23"/>
        </w:trPr>
        <w:tc>
          <w:tcPr>
            <w:tcW w:w="6800" w:type="dxa"/>
            <w:vAlign w:val="bottom"/>
            <w:tcBorders>
              <w:top w:val="single" w:sz="8" w:color="CCEEFF"/>
            </w:tcBorders>
          </w:tcPr>
          <w:p>
            <w:pPr>
              <w:spacing w:after="0"/>
              <w:rPr>
                <w:sz w:val="2"/>
                <w:szCs w:val="2"/>
                <w:color w:val="auto"/>
              </w:rPr>
            </w:pPr>
          </w:p>
        </w:tc>
        <w:tc>
          <w:tcPr>
            <w:tcW w:w="1340" w:type="dxa"/>
            <w:vAlign w:val="bottom"/>
            <w:tcBorders>
              <w:top w:val="single" w:sz="8" w:color="CCEEFF"/>
              <w:bottom w:val="single" w:sz="8" w:color="auto"/>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340" w:type="dxa"/>
            <w:vAlign w:val="bottom"/>
            <w:tcBorders>
              <w:top w:val="single" w:sz="8" w:color="CCEEFF"/>
              <w:bottom w:val="single" w:sz="8" w:color="auto"/>
            </w:tcBorders>
          </w:tcPr>
          <w:p>
            <w:pPr>
              <w:spacing w:after="0"/>
              <w:rPr>
                <w:sz w:val="2"/>
                <w:szCs w:val="2"/>
                <w:color w:val="auto"/>
              </w:rPr>
            </w:pPr>
          </w:p>
        </w:tc>
        <w:tc>
          <w:tcPr>
            <w:tcW w:w="820" w:type="dxa"/>
            <w:vAlign w:val="bottom"/>
            <w:tcBorders>
              <w:top w:val="single" w:sz="8" w:color="CCEEFF"/>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during the period</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1340" w:type="dxa"/>
            <w:vAlign w:val="bottom"/>
            <w:tcBorders>
              <w:bottom w:val="single" w:sz="8" w:color="CCEEFF"/>
            </w:tcBorders>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1,363</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5,050</w:t>
            </w:r>
          </w:p>
        </w:tc>
        <w:tc>
          <w:tcPr>
            <w:tcW w:w="0" w:type="dxa"/>
            <w:vAlign w:val="bottom"/>
          </w:tcPr>
          <w:p>
            <w:pPr>
              <w:spacing w:after="0"/>
              <w:rPr>
                <w:sz w:val="1"/>
                <w:szCs w:val="1"/>
                <w:color w:val="auto"/>
              </w:rPr>
            </w:pPr>
          </w:p>
        </w:tc>
      </w:tr>
      <w:tr>
        <w:trPr>
          <w:trHeight w:val="19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1340" w:type="dxa"/>
            <w:vAlign w:val="bottom"/>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7,464</w:t>
            </w:r>
          </w:p>
        </w:tc>
        <w:tc>
          <w:tcPr>
            <w:tcW w:w="80" w:type="dxa"/>
            <w:vAlign w:val="bottom"/>
          </w:tcPr>
          <w:p>
            <w:pPr>
              <w:spacing w:after="0"/>
              <w:rPr>
                <w:sz w:val="16"/>
                <w:szCs w:val="16"/>
                <w:color w:val="auto"/>
              </w:rPr>
            </w:pPr>
          </w:p>
        </w:tc>
        <w:tc>
          <w:tcPr>
            <w:tcW w:w="1340" w:type="dxa"/>
            <w:vAlign w:val="bottom"/>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w:t>
            </w:r>
          </w:p>
        </w:tc>
        <w:tc>
          <w:tcPr>
            <w:tcW w:w="0" w:type="dxa"/>
            <w:vAlign w:val="bottom"/>
          </w:tcPr>
          <w:p>
            <w:pPr>
              <w:spacing w:after="0"/>
              <w:rPr>
                <w:sz w:val="1"/>
                <w:szCs w:val="1"/>
                <w:color w:val="auto"/>
              </w:rPr>
            </w:pPr>
          </w:p>
        </w:tc>
      </w:tr>
      <w:tr>
        <w:trPr>
          <w:trHeight w:val="71"/>
        </w:trPr>
        <w:tc>
          <w:tcPr>
            <w:tcW w:w="680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8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Increase in BFG investment in exchange for shares of the Company’s common stock</w:t>
            </w:r>
          </w:p>
        </w:tc>
        <w:tc>
          <w:tcPr>
            <w:tcW w:w="1340" w:type="dxa"/>
            <w:vAlign w:val="bottom"/>
            <w:shd w:val="clear" w:color="auto" w:fill="CCEEFF"/>
          </w:tcPr>
          <w:p>
            <w:pPr>
              <w:jc w:val="right"/>
              <w:ind w:right="11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4,125</w:t>
            </w: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1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680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20"/>
          </w:cols>
          <w:pgMar w:left="320" w:top="2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FinWise Bancorp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Nature of Business and Organization – </w:t>
      </w:r>
      <w:r>
        <w:rPr>
          <w:rFonts w:ascii="Times New Roman" w:cs="Times New Roman" w:eastAsia="Times New Roman" w:hAnsi="Times New Roman"/>
          <w:sz w:val="18"/>
          <w:szCs w:val="18"/>
          <w:color w:val="auto"/>
        </w:rPr>
        <w:t>FinWise Bancorp is a Utah Corporation headquartered in Murray, Utah and operates all business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its wholly-owned subsidiaries FinWise Bank and FinWise Investment, LLC. FinWise Bank was incorporated in the state of Utah on May 7, 1999. FinWise Bancorp was incorporated in the state of Utah on October 22, 2002 after which it acquired 100% of FinWise Bank. As of March 4, 2016, FinWise Bank’s articles of incorporation were amended to rename the entity FinWise Bank. As of March 15, 2021, FinWise Bancorp’s articles of incorporation were amended and restated to rename the entity FinWise Bancorp. References herein to “FinWise Bancorp,” “Bancorp” or the “holding company,” refer to FinWise Bancorp on a standalone basis. The word “Company” refers to FinWise Bancorp, FinWise Investment, LLC, and FinWise Bank collectively and on a consolidated basis. References to the “Bank” refer to FinWise Bank on a standalone basis.</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Bank provides a full range of banking services to individual and commercial customers. The Bank’s primary source of revenue is from loans including Small Business Administration ("SBA"), commercial leases, residential real estate, and commercial real estate. The Bank also has established Strategic Programs with various third-party loan origination platforms that use technology to streamline the origination of unsecured consumer and secured or unsecured business loans to borrowers within certain approved credit profiles. The Bank earns monthly program fees based on the volume of loans originated in these Strategic Programs, as well as interest during the time the Bank holds the loans.</w:t>
      </w:r>
    </w:p>
    <w:p>
      <w:pPr>
        <w:spacing w:after="0" w:line="14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is subject to competition from other financial institutions and to the regulations of certain federal and state agencies and undergoes periodic examinations by those agencies.</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interim consolidated financial statements have been prepared in accordance with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generally accepted in the United States of America (“GAAP”) for interim financial information and with rules and regulations of the Securities and Exchange Commission (“SEC”) and include the activity of the Company and its wholly owned subsidiaries, FinWise Investment, LLC and the Bank. The statements do not include all of the information and footnotes required by GAAP for complete financial statements. All significant inter-company transactions have been eliminated in consolidation. In the opinion of management, all the adjustments (consisting of normal and recurring adjustments) necessary for the fair statement of the consolidated financial condition and the consolidated results of operations for the periods presented have been included. The results of operations and other data presented for the three and six months ended June 30, 2024 are not necessarily indicative of the results of operations that may be expected for subsequent periods or the full year results. The consolidated balance sheet data as of December 31, 2023 was derived from audited financial statements; however, the accompanying notes to the unaudited consolidated financial statements do not include all of the annual disclosures required by GAAP and should be read in conjunction with the Company’s audited consolidated financial statements and related notes included in the Company’s Annual Report on Form 10-K for the year ended December 31, 2023. Certain prior period amounts have been reclassified to conform to the current period presentation.</w:t>
      </w:r>
    </w:p>
    <w:p>
      <w:pPr>
        <w:spacing w:after="0" w:line="1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Repurchase Program </w:t>
      </w:r>
      <w:r>
        <w:rPr>
          <w:rFonts w:ascii="Times New Roman" w:cs="Times New Roman" w:eastAsia="Times New Roman" w:hAnsi="Times New Roman"/>
          <w:sz w:val="18"/>
          <w:szCs w:val="18"/>
          <w:color w:val="auto"/>
        </w:rPr>
        <w:t>– On March 7, 2024, the Company announced that its Board of Directors (the “Board”) had authorized, effective March 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 common stock repurchase program to purchase up to 641,832 shares of the Company’s common stock in the aggregate. The repurchase program authorizes the repurchase by the Company of its common stock in open market transactions, including pursuant to a trading plan in accordance with Rule 10b-18 promulgated under the Securities Exchange Act of 1934, as amended (the “Exchange Act”), or privately negotiated transactions. The authorization permits management to repurchase shares of the Company’s common stock from time to time at management’s discretion. Repurchases could also be made pursuant to a trading plan under Rule 10b5-1 under the Exchange Act, which would permit shares to be repurchased when the Company might otherwise be precluded from doing so because of self-imposed trading blackout periods or other regulatory restrictions. The actual means and timing of any shares purchased under the program will depend on a variety of factors, including the market price of the Company’s common stock, general market and economic conditions, and applicable legal and regulatory requirements. The repurchase program does not obligate the Company to purchase any particular number of shares. Since commencement of the repurchase program, the Company has repurchased and subsequently retired a total of 44,608 shares for $0.5 million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 740): Improvements to Income Tax Disclosures”. ASU 2023-09 improves the transparency of income tax disclosures by requiring entities to provide greater disaggregation of information on income taxes paid and on the rate reconciliation disclosures. This pronouncement also requires qualitative discussion of the primary state and local jurisdictions for income taxes and the type of reconciling categories. For public business entities, this ASU is effective for fiscal years beginning after December 15, 2024. The guidance will be applied on a prospective basis with the option to apply the standard retrospectively. Early adoption is permitted. The Company does not expect that the adoption of this standard will have a material impact on its consolidated financial statements.</w:t>
      </w:r>
    </w:p>
    <w:p>
      <w:pPr>
        <w:spacing w:after="0" w:line="14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disclosure, on an annual and interim basis, of significant segment expenses that are regularly provided to the chief operating decision maker (“CODM”), as well as the aggregate amount of other segment items included in the reported measure of segment profit or loss. The ASU requires that a public entity disclose the title and position of the CODM and an explanation of how the CODM uses the reported measure(s) of segment profit or loss. Public entities will be required to provide all annual disclosures currently required by Topic 280 in interim periods, and entities with a single reportable segment are required to provide all the disclosures required by the amendments in the update and existing segment disclosures in Topic 280. The ASU is effective for fiscal years beginning after December 15, 2023, and interim periods within fiscal years beginning after December 15, 2024. Entities must adopt this ASU on a retrospective basis. Early adoption is permitted. The Company does not expect that the adoption of this standard will have a material impact on its consolidated financial statements.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 Held-to-Maturity, at Cost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Company's held-to-maturity (“HTM”) investment portfolio consists of agency mortgage-backed securities and agency collateralized mortgage obligations. The Company reports HTM debt securities on the Company's consolidated balance sheets at carrying value which is amortized cost. The amortized cost, unrealized gains and losses, and estimated fair values of the Company’s HTM debt securities at June 30, 2024 and December 31, 2023,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8"/>
                <w:szCs w:val="18"/>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Gain</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7,667</w:t>
            </w:r>
          </w:p>
        </w:tc>
      </w:tr>
      <w:tr>
        <w:trPr>
          <w:trHeight w:val="27"/>
        </w:trPr>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 &amp; Allowance for Credit Losses - HTM</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January 1, 2023, the Company adopted ASU 2016-13, which replaced the legacy GAAP other-than-temporary impairment (“OTTI”) model with an expected credit loss model (“CECL”). ASU 2016-13 requires an allowance on lifetime expected credit losses on HTM debt securities but retains the concept from the OTTI model that credit losses are recognized once securities become impaired. For HTM debt securities, the Company evaluates the credit risk of its securities on at least a quarterly basis. The Company estimates expected credit losses on HTM debt securities on a collective basis by major security type. Accrued interest receivable on HTM debt securities is excluded from the estimate of credit losses. At June 30, 2024 and at adoption of CECL on January 1, 2023, there was no ACL related to HTM debt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securities due to the composition of the portfolio which is generally considered not to have credit risk given the United States government guarantee associated with these agency securities.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had twenty securities, consisting of ten collateralized mortgage obligations and ten mortgage-backed securities, in an unrealized loss position at June 30, 2024 and nineteen securities, consisting of nine collateralized mortgage obligations and ten mortgage-backed securities, in an unrealized loss position at December 31, 2023. The following table presents the estimated fair value and gross unrealized losses of HTM debt securities, aggregated by category and length of time in a continuous unrealized loss position at June 30, 2024 and and December 31,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7"/>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12 Months or More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securities held-to-</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11,727</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54"/>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gridSpan w:val="2"/>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124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0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0" w:type="dxa"/>
            <w:vAlign w:val="bottom"/>
          </w:tcPr>
          <w:p>
            <w:pPr>
              <w:spacing w:after="0"/>
              <w:rPr>
                <w:sz w:val="1"/>
                <w:szCs w:val="1"/>
                <w:color w:val="auto"/>
              </w:rPr>
            </w:pPr>
          </w:p>
        </w:tc>
      </w:tr>
      <w:tr>
        <w:trPr>
          <w:trHeight w:val="238"/>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0"/>
                <w:szCs w:val="20"/>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Mortgage-backed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25"/>
        </w:trPr>
        <w:tc>
          <w:tcPr>
            <w:tcW w:w="1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7"/>
        </w:trPr>
        <w:tc>
          <w:tcPr>
            <w:tcW w:w="1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securities held-to-</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8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54"/>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maturity</w:t>
            </w:r>
          </w:p>
        </w:tc>
        <w:tc>
          <w:tcPr>
            <w:tcW w:w="220" w:type="dxa"/>
            <w:vAlign w:val="bottom"/>
            <w:vMerge w:val="continue"/>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vMerge w:val="continue"/>
            <w:shd w:val="clear" w:color="auto" w:fill="CCEEFF"/>
          </w:tcPr>
          <w:p>
            <w:pPr>
              <w:spacing w:after="0"/>
              <w:rPr>
                <w:sz w:val="22"/>
                <w:szCs w:val="22"/>
                <w:color w:val="auto"/>
              </w:rPr>
            </w:pPr>
          </w:p>
        </w:tc>
        <w:tc>
          <w:tcPr>
            <w:tcW w:w="12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vMerge w:val="continue"/>
            <w:shd w:val="clear" w:color="auto" w:fill="CCEEFF"/>
          </w:tcPr>
          <w:p>
            <w:pPr>
              <w:spacing w:after="0"/>
              <w:rPr>
                <w:sz w:val="22"/>
                <w:szCs w:val="22"/>
                <w:color w:val="auto"/>
              </w:rPr>
            </w:pPr>
          </w:p>
        </w:tc>
        <w:tc>
          <w:tcPr>
            <w:tcW w:w="124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market value of debt securities at June 30, 2024 and December 31, 2023, by contractual maturity are shown below. Actual maturities may differ from contractual maturities because borrowers may have the right to call or prepay obligations with or without call or prepayment penalties.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28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held-to-maturity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At June 30, 2024, HTM debt securities in the amount of $12.4 million were pledged as collateral for a credit line held by the Bank. There were no sales or transfers of investment securities and no realized gains or losses on these securities during the three and six months ended June 30, 2024 or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FHLB Stock</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Bank is a member of the FHLB system. Members are required to own FHLB stock of at least the greater of 0.06% of FHLB membership asset value or 4.50% of outstanding FHLB advances. At June 30, 2024 and December 31, 2023, the Bank owned $0.3 million and $0.2 million, respectively, of FHLB stock, which is carried at cost. The Company evaluated the carrying value of its FHLB stock investment at June 30, 2024 and determined that it was not impaired. This evaluation considered the long-term nature of the investment, the current financial and liquidity position of the FHLB, repurchase activity of excess stock by the FHLB at its carrying value, the return on the investment from recurring and special dividends, and the Company’s intent and ability to hold this investment for a period of time sufficient to recover its recorded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Loans Held for Investment and Allowance for Credit Losses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held for investment outstanding by general ledger classification as of June 30, 2024 and December 31,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Owner occupied</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0" w:type="dxa"/>
            <w:vAlign w:val="bottom"/>
          </w:tcPr>
          <w:p>
            <w:pPr>
              <w:spacing w:after="0"/>
              <w:rPr>
                <w:sz w:val="1"/>
                <w:szCs w:val="1"/>
                <w:color w:val="auto"/>
              </w:rPr>
            </w:pPr>
          </w:p>
        </w:tc>
      </w:tr>
      <w:tr>
        <w:trPr>
          <w:trHeight w:val="243"/>
        </w:trPr>
        <w:tc>
          <w:tcPr>
            <w:tcW w:w="8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Non-owner occupied</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 gross</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loan fees,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43"/>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spacing w:after="0" w:line="236" w:lineRule="exact"/>
        <w:rPr>
          <w:sz w:val="20"/>
          <w:szCs w:val="20"/>
          <w:color w:val="auto"/>
        </w:rPr>
      </w:pPr>
    </w:p>
    <w:p>
      <w:pPr>
        <w:ind w:left="180" w:right="260" w:firstLine="8"/>
        <w:spacing w:after="0" w:line="280" w:lineRule="auto"/>
        <w:tabs>
          <w:tab w:leader="none" w:pos="40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SBA loans held for investment above are $147.8 million and $131.7 million of loans guaranteed by the SBA as of June 30, 2024 and December 31, 2023, respectively.</w:t>
      </w:r>
    </w:p>
    <w:p>
      <w:pPr>
        <w:spacing w:after="0" w:line="2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Bank sells participation interests in some loans it originates and may acquire a participation interest in loans originated by others. All reported amounts reflect only the Bank’s ownership interest in the loans.</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Strategic Program Loans </w:t>
      </w:r>
      <w:r>
        <w:rPr>
          <w:rFonts w:ascii="Times New Roman" w:cs="Times New Roman" w:eastAsia="Times New Roman" w:hAnsi="Times New Roman"/>
          <w:sz w:val="18"/>
          <w:szCs w:val="18"/>
          <w:color w:val="auto"/>
        </w:rPr>
        <w:t>– In 2016, the Company began originating loans with various third-party loan origination platforms that use technology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innovative systems to streamline the origination of unsecured consumer and secured or unsecured business loans to a wide array of borrowers within certain approved credit profiles. Loans issued by the Company through these programs follow and are limited to specific predetermined underwriting criteria. The Company earns monthly minimum program fees from these third parties. Based on the volume of loans originated by the Company related to each Strategic Program, an additional fee equal to a percentage of the loans generated under the Strategic Program may be collected. The program fee is included within non-interest income on the consolidated statements of income.</w:t>
      </w:r>
    </w:p>
    <w:p>
      <w:pPr>
        <w:spacing w:after="0" w:line="15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generally retains the loans and/or receivables for a number of business days after origination before selling the loans and/or receivables to the Strategic Program platform or another investor. Interest income is earned by the Company while holding the loans. These loans are classified as held-for-sale on the balance sheet.</w:t>
      </w:r>
    </w:p>
    <w:p>
      <w:pPr>
        <w:spacing w:after="0" w:line="13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may also hold loans or a portion of the loans or receivables and sell the remainder directly to the Strategic Programs or other investors. The Company generally services the loans originated through the Strategic Programs in consideration of servicing fees equal to a percentage of the loans generated under the Strategic Programs. In turn,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Strategic Program service providers, subject to the Company’s approval and oversight, typically serve as sub-servicer and perform typical primary servicing duties including loan collections, modifications, charging-off, reporting and monitoring.</w:t>
      </w:r>
    </w:p>
    <w:p>
      <w:pPr>
        <w:spacing w:after="0" w:line="12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7"/>
          <w:szCs w:val="17"/>
          <w:color w:val="auto"/>
        </w:rPr>
        <w:t>Each Strategic Program establishes a “reserve” deposit account with the Company to reasonably ensure the strategic programs will have sufficient funds available to purchase the loans. The agreements generally require that the reserve account deposit balance does not fall below an agreed upon dollar or percentage threshold related to the total loans currently outstanding as held-for-sale by the Company for the specific Strategic Program. If necessary, the Company has the right to withdraw amounts from the reserve account to fulfill loan purchaser obligations created under the program agreements. Total cash held in reserve by Strategic Programs at the Company at June 30, 2024 and December 31, 2023, was $34.8 million and $29.8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Strategic Program loans retained and held-for-sale as of June 30, 2024 and December 31, 2023,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360" w:type="dxa"/>
            <w:vAlign w:val="bottom"/>
            <w:vMerge w:val="continue"/>
          </w:tcPr>
          <w:p>
            <w:pPr>
              <w:spacing w:after="0"/>
              <w:rPr>
                <w:sz w:val="20"/>
                <w:szCs w:val="20"/>
                <w:color w:val="auto"/>
              </w:rPr>
            </w:pPr>
          </w:p>
        </w:tc>
        <w:tc>
          <w:tcPr>
            <w:tcW w:w="17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780" w:type="dxa"/>
            <w:vAlign w:val="bottom"/>
            <w:tcBorders>
              <w:bottom w:val="single" w:sz="8" w:color="CCEEFF"/>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 held-for-sale</w:t>
            </w:r>
          </w:p>
        </w:tc>
        <w:tc>
          <w:tcPr>
            <w:tcW w:w="17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Strategic Program loans</w:t>
            </w:r>
          </w:p>
        </w:tc>
        <w:tc>
          <w:tcPr>
            <w:tcW w:w="1780" w:type="dxa"/>
            <w:vAlign w:val="bottom"/>
            <w:tcBorders>
              <w:bottom w:val="single" w:sz="8" w:color="auto"/>
            </w:tcBorders>
            <w:shd w:val="clear" w:color="auto" w:fill="CCEEFF"/>
          </w:tcPr>
          <w:p>
            <w:pPr>
              <w:jc w:val="right"/>
              <w:ind w:right="15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Credit Losses: </w:t>
      </w:r>
      <w:r>
        <w:rPr>
          <w:rFonts w:ascii="Times New Roman" w:cs="Times New Roman" w:eastAsia="Times New Roman" w:hAnsi="Times New Roman"/>
          <w:sz w:val="18"/>
          <w:szCs w:val="18"/>
          <w:color w:val="auto"/>
        </w:rPr>
        <w:t>In determining an appropriate amount for the allowance, the Bank segmented and aggregated the loan portfolio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Deposit Insurance Corporation (“FDIC”) Consolidated Reports of Condition and Income (“Call Report”) codes. These classifications, which in general are based upon the nature of the collateral and type of borrower, are different than the classifications adopted for other financial reporting purposes, which are based upon the proposed use of the loan proceeds. The following pool segments identified as of June 30, 2024 and December 31, 2023 are based on the CECL methodology: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2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4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43"/>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 gross</w:t>
            </w:r>
          </w:p>
        </w:tc>
        <w:tc>
          <w:tcPr>
            <w:tcW w:w="2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2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ACL by common characteristic loan pools based on the CECL methodology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5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Charge-Offs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 Balance</w:t>
            </w: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534"/>
        </w:trPr>
        <w:tc>
          <w:tcPr>
            <w:tcW w:w="3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2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35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Charge-Offs</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 Balance</w:t>
            </w: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r>
      <w:tr>
        <w:trPr>
          <w:trHeight w:val="243"/>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7"/>
        </w:trPr>
        <w:tc>
          <w:tcPr>
            <w:tcW w:w="3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r>
      <w:tr>
        <w:trPr>
          <w:trHeight w:val="27"/>
        </w:trPr>
        <w:tc>
          <w:tcPr>
            <w:tcW w:w="35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7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6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13,267</w:t>
            </w:r>
          </w:p>
        </w:tc>
      </w:tr>
      <w:tr>
        <w:trPr>
          <w:trHeight w:val="21"/>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98"/>
        </w:trPr>
        <w:tc>
          <w:tcPr>
            <w:tcW w:w="3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5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00" w:type="dxa"/>
            <w:vAlign w:val="bottom"/>
            <w:gridSpan w:val="8"/>
          </w:tcPr>
          <w:p>
            <w:pPr>
              <w:ind w:left="78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3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4"/>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4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20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 Balance</w:t>
            </w: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3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7"/>
        </w:trPr>
        <w:tc>
          <w:tcPr>
            <w:tcW w:w="3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3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w:t>
            </w:r>
          </w:p>
        </w:tc>
      </w:tr>
      <w:tr>
        <w:trPr>
          <w:trHeight w:val="21"/>
        </w:trPr>
        <w:tc>
          <w:tcPr>
            <w:tcW w:w="3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2023</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4"/>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Impact of ASU</w:t>
            </w:r>
          </w:p>
        </w:tc>
        <w:tc>
          <w:tcPr>
            <w:tcW w:w="1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Provision for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80" w:type="dxa"/>
            <w:vAlign w:val="bottom"/>
          </w:tcPr>
          <w:p>
            <w:pPr>
              <w:spacing w:after="0"/>
              <w:rPr>
                <w:sz w:val="18"/>
                <w:szCs w:val="18"/>
                <w:color w:val="auto"/>
              </w:rPr>
            </w:pPr>
          </w:p>
        </w:tc>
        <w:tc>
          <w:tcPr>
            <w:tcW w:w="10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(Reversal of)</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8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Adoption</w:t>
            </w:r>
          </w:p>
        </w:tc>
        <w:tc>
          <w:tcPr>
            <w:tcW w:w="12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Charge-Offs</w:t>
            </w:r>
          </w:p>
        </w:tc>
        <w:tc>
          <w:tcPr>
            <w:tcW w:w="1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20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lending commitments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12,363</w:t>
            </w:r>
          </w:p>
        </w:tc>
      </w:tr>
      <w:tr>
        <w:trPr>
          <w:trHeight w:val="21"/>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Nonaccrual and past due loans are summarized below as of June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Loans 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190,375</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25,842</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379,968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414,341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440" w:hanging="25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nonaccrual loan balances are $15.8 million of SBA 7(a) loan balances guaranteed by the SBA.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4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Loans Past Due and Still Accruing</w:t>
            </w: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30-89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Non-Accrual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Past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90 Days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Loans with no</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Loans with</w:t>
            </w: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Greater</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2"/>
              </w:rPr>
              <w:t>ACL</w:t>
            </w:r>
            <w:r>
              <w:rPr>
                <w:rFonts w:ascii="Times New Roman" w:cs="Times New Roman" w:eastAsia="Times New Roman" w:hAnsi="Times New Roman"/>
                <w:sz w:val="23"/>
                <w:szCs w:val="23"/>
                <w:b w:val="1"/>
                <w:bCs w:val="1"/>
                <w:color w:val="auto"/>
                <w:w w:val="92"/>
                <w:vertAlign w:val="superscript"/>
              </w:rPr>
              <w:t>(1)</w:t>
            </w:r>
          </w:p>
        </w:tc>
        <w:tc>
          <w:tcPr>
            <w:tcW w:w="8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ACL</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5"/>
              </w:rPr>
              <w:t>Total Loans</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Non-owner occupied</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21,399</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Strategic Program loans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341,558</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Included in the nonaccrual loan balances are $15.0 million of SBA 7(a) loan balances guaranteed by the SBA.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interest income for the three and six months ended June 30, 2024 and 2023, recognized on nonaccrual loans.</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allowance for credit losses represents management’s estimate of lifetime credit losses inherent in loans as of the balance sheet date. The allowance for credit losses is estimated by management using relevant available information, from both internal and external sources, relating to past events, current conditions, and reasonable and supportable forecasts. The Bank measures expected credit losses for loans on a pooled basis when similar risk characteristics exist. Generally, collectively assessed loans are grouped by Call Report code and then risk grade grouping.</w:t>
      </w:r>
    </w:p>
    <w:p>
      <w:pPr>
        <w:spacing w:after="0" w:line="13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to past due and nonaccrual status criteria, the Company also evaluates loans using a loan grading system. Internal loan grades are based on current financial information, historical payment experience, and credit documentation, among other factors. Performance-based grades are summarized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Pass </w:t>
      </w:r>
      <w:r>
        <w:rPr>
          <w:rFonts w:ascii="Times New Roman" w:cs="Times New Roman" w:eastAsia="Times New Roman" w:hAnsi="Times New Roman"/>
          <w:sz w:val="18"/>
          <w:szCs w:val="18"/>
          <w:color w:val="auto"/>
        </w:rPr>
        <w:t>– A Pass asset is higher quality and does not fit any of the other categories described below. The likelihood of loss is believed to be remote.</w:t>
      </w:r>
    </w:p>
    <w:p>
      <w:pPr>
        <w:spacing w:after="0" w:line="185"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Watch </w:t>
      </w:r>
      <w:r>
        <w:rPr>
          <w:rFonts w:ascii="Times New Roman" w:cs="Times New Roman" w:eastAsia="Times New Roman" w:hAnsi="Times New Roman"/>
          <w:sz w:val="18"/>
          <w:szCs w:val="18"/>
          <w:color w:val="auto"/>
        </w:rPr>
        <w:t>– A Watch asset may be a larger loan or one that places a heavier reliance on collateral due to the relative financial strength of the borrower.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may be maintenance intensive requiring closer monitoring. The obligor is believed to have an adequate primary source of repayment.</w:t>
      </w:r>
    </w:p>
    <w:p>
      <w:pPr>
        <w:spacing w:after="0" w:line="118"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Mention </w:t>
      </w:r>
      <w:r>
        <w:rPr>
          <w:rFonts w:ascii="Times New Roman" w:cs="Times New Roman" w:eastAsia="Times New Roman" w:hAnsi="Times New Roman"/>
          <w:sz w:val="18"/>
          <w:szCs w:val="18"/>
          <w:color w:val="auto"/>
        </w:rPr>
        <w:t>– A Special Mention asset has potential weaknesses that may be temporary or, if left uncorrected, may result in a loss. While concerns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the Company believes that it is currently protected against a default and loss is considered unlikely and not imminent.</w:t>
      </w:r>
    </w:p>
    <w:p>
      <w:pPr>
        <w:spacing w:after="0" w:line="13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Substandard </w:t>
      </w:r>
      <w:r>
        <w:rPr>
          <w:rFonts w:ascii="Times New Roman" w:cs="Times New Roman" w:eastAsia="Times New Roman" w:hAnsi="Times New Roman"/>
          <w:sz w:val="18"/>
          <w:szCs w:val="18"/>
          <w:color w:val="auto"/>
        </w:rPr>
        <w:t>– A Substandard asset is believed to be inadequately protected by the current sound worth and paying capacity of the obligor 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collateral pledged, if any. Assets so classified have identified weaknesses and are characterized by the possibility that the Company may sustain some loss if deficiencies are not corrected.</w:t>
      </w:r>
    </w:p>
    <w:p>
      <w:pPr>
        <w:spacing w:after="0" w:line="133"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Not Rated </w:t>
      </w:r>
      <w:r>
        <w:rPr>
          <w:rFonts w:ascii="Times New Roman" w:cs="Times New Roman" w:eastAsia="Times New Roman" w:hAnsi="Times New Roman"/>
          <w:sz w:val="18"/>
          <w:szCs w:val="18"/>
          <w:color w:val="auto"/>
        </w:rPr>
        <w:t>– For certain Strategic Program and consumer loans, the Company does not evaluate and risk rate the loans in the same manner as other loans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portfolio. The Not Rated loans are typically homogenous, smaller dollar balances approved using abridged underwriting methods that allow the Company to streamline the loan approval process and increase efficiency</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Credit quality for Strategic Program loans is highly correlated with delinquency levels.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ending balances of the Company's loan and lease portfolio including nonperforming loans by CECL segment of receivable and originating year and considering certain credit quality indicators as of the date indicated along with gross charge-offs for the six months ended June 30,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40" w:type="dxa"/>
            <w:vAlign w:val="bottom"/>
          </w:tcPr>
          <w:p>
            <w:pPr>
              <w:spacing w:after="0"/>
              <w:rPr>
                <w:sz w:val="20"/>
                <w:szCs w:val="20"/>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 and land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58,296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 - owner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136,232</w:t>
            </w:r>
          </w:p>
        </w:tc>
        <w:tc>
          <w:tcPr>
            <w:tcW w:w="0" w:type="dxa"/>
            <w:vAlign w:val="bottom"/>
          </w:tcPr>
          <w:p>
            <w:pPr>
              <w:spacing w:after="0"/>
              <w:rPr>
                <w:sz w:val="1"/>
                <w:szCs w:val="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0" w:type="dxa"/>
            <w:vAlign w:val="bottom"/>
          </w:tcPr>
          <w:p>
            <w:pPr>
              <w:spacing w:after="0"/>
              <w:rPr>
                <w:sz w:val="1"/>
                <w:szCs w:val="1"/>
                <w:color w:val="auto"/>
              </w:rPr>
            </w:pPr>
          </w:p>
        </w:tc>
      </w:tr>
      <w:tr>
        <w:trPr>
          <w:trHeight w:val="237"/>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55,459</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20,511</w:t>
            </w: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190,375</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 - non-owner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565150</wp:posOffset>
            </wp:positionV>
            <wp:extent cx="52292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Pr>
          <w:p>
            <w:pPr>
              <w:spacing w:after="0"/>
              <w:rPr>
                <w:sz w:val="20"/>
                <w:szCs w:val="20"/>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18,437</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0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w:t>
            </w: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80" w:type="dxa"/>
            <w:vAlign w:val="bottom"/>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25,842</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50"/>
        </w:trPr>
        <w:tc>
          <w:tcPr>
            <w:tcW w:w="30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15,807</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15,819</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30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1"/>
                <w:szCs w:val="21"/>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27,002</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50"/>
        </w:trPr>
        <w:tc>
          <w:tcPr>
            <w:tcW w:w="30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Strategic Program loans</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0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17,861</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r>
      <w:tr>
        <w:trPr>
          <w:trHeight w:val="237"/>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w:t>
            </w:r>
          </w:p>
        </w:tc>
      </w:tr>
      <w:tr>
        <w:trPr>
          <w:trHeight w:val="27"/>
        </w:trPr>
        <w:tc>
          <w:tcPr>
            <w:tcW w:w="3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30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r>
      <w:tr>
        <w:trPr>
          <w:trHeight w:val="898"/>
        </w:trPr>
        <w:tc>
          <w:tcPr>
            <w:tcW w:w="3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30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565150</wp:posOffset>
            </wp:positionV>
            <wp:extent cx="52292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portfolio loans receivable, gross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182,017</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28,309</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414,341</w:t>
            </w:r>
          </w:p>
        </w:tc>
      </w:tr>
      <w:tr>
        <w:trPr>
          <w:trHeight w:val="27"/>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current-period gross writeoffs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ending balances of the Company's loan and lease portfolio including nonperforming loans by class of receivable and originating year and considering certain credit quality indicators as of the date indicated along with gross charge-offs for the year ended December 31,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120" w:type="dxa"/>
            <w:vAlign w:val="bottom"/>
          </w:tcPr>
          <w:p>
            <w:pPr>
              <w:spacing w:after="0"/>
              <w:rPr>
                <w:sz w:val="20"/>
                <w:szCs w:val="20"/>
                <w:color w:val="auto"/>
              </w:rPr>
            </w:pPr>
          </w:p>
        </w:tc>
        <w:tc>
          <w:tcPr>
            <w:tcW w:w="130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Construction and land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0" w:type="dxa"/>
            <w:vAlign w:val="bottom"/>
          </w:tcPr>
          <w:p>
            <w:pPr>
              <w:spacing w:after="0"/>
              <w:rPr>
                <w:sz w:val="1"/>
                <w:szCs w:val="1"/>
                <w:color w:val="auto"/>
              </w:rPr>
            </w:pPr>
          </w:p>
        </w:tc>
      </w:tr>
      <w:tr>
        <w:trPr>
          <w:trHeight w:val="237"/>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37"/>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Residential real estate multifamily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 - 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26,861</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135,717</w:t>
            </w:r>
          </w:p>
        </w:tc>
        <w:tc>
          <w:tcPr>
            <w:tcW w:w="0" w:type="dxa"/>
            <w:vAlign w:val="bottom"/>
          </w:tcPr>
          <w:p>
            <w:pPr>
              <w:spacing w:after="0"/>
              <w:rPr>
                <w:sz w:val="1"/>
                <w:szCs w:val="1"/>
                <w:color w:val="auto"/>
              </w:rPr>
            </w:pPr>
          </w:p>
        </w:tc>
      </w:tr>
      <w:tr>
        <w:trPr>
          <w:trHeight w:val="243"/>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22,282</w:t>
            </w:r>
          </w:p>
        </w:tc>
        <w:tc>
          <w:tcPr>
            <w:tcW w:w="0" w:type="dxa"/>
            <w:vAlign w:val="bottom"/>
          </w:tcPr>
          <w:p>
            <w:pPr>
              <w:spacing w:after="0"/>
              <w:rPr>
                <w:sz w:val="1"/>
                <w:szCs w:val="1"/>
                <w:color w:val="auto"/>
              </w:rPr>
            </w:pPr>
          </w:p>
        </w:tc>
      </w:tr>
      <w:tr>
        <w:trPr>
          <w:trHeight w:val="236"/>
        </w:trPr>
        <w:tc>
          <w:tcPr>
            <w:tcW w:w="41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91,392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13,791</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186,550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50"/>
        </w:trPr>
        <w:tc>
          <w:tcPr>
            <w:tcW w:w="41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real estate - non-owner occupied</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Watch</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w:t>
            </w:r>
          </w:p>
        </w:tc>
        <w:tc>
          <w:tcPr>
            <w:tcW w:w="0" w:type="dxa"/>
            <w:vAlign w:val="bottom"/>
          </w:tcPr>
          <w:p>
            <w:pPr>
              <w:spacing w:after="0"/>
              <w:rPr>
                <w:sz w:val="1"/>
                <w:szCs w:val="1"/>
                <w:color w:val="auto"/>
              </w:rPr>
            </w:pPr>
          </w:p>
        </w:tc>
      </w:tr>
      <w:tr>
        <w:trPr>
          <w:trHeight w:val="27"/>
        </w:trPr>
        <w:tc>
          <w:tcPr>
            <w:tcW w:w="4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15,354</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21,399</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50"/>
        </w:trPr>
        <w:tc>
          <w:tcPr>
            <w:tcW w:w="4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10,964</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period gross writeoff</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0"/>
        </w:trPr>
        <w:tc>
          <w:tcPr>
            <w:tcW w:w="4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financing receivables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38,110</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1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Strategic Program loans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Pass</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Watch</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Mention</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Substandard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 Rated</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4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r>
      <w:tr>
        <w:trPr>
          <w:trHeight w:val="237"/>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Current-period gross writeoffs</w:t>
            </w: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1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r>
      <w:tr>
        <w:trPr>
          <w:trHeight w:val="23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portfolio loans receivable, gross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203,741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31,272</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372,215</w:t>
            </w:r>
          </w:p>
        </w:tc>
      </w:tr>
      <w:tr>
        <w:trPr>
          <w:trHeight w:val="27"/>
        </w:trPr>
        <w:tc>
          <w:tcPr>
            <w:tcW w:w="4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3"/>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current-period gross writeoffs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(12,425)</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there were two and three loan modifications with principal totaling $0.4 million and $0.6 million, respectively. The loan modifications deferred payments of principal and interest for six months or more. No concessions were made related to principal or interest reductions or to maturity dates on these loans. The table below reflects the current principal balance outstanding as of June 30, 2024 along with the concession granted for loans that were modified during the three and six months ended June 30, 2024. During the three and six months ended June 30, 2023 there were no material loan modifications.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565150</wp:posOffset>
            </wp:positionV>
            <wp:extent cx="39001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00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Principal deferment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00" w:type="dxa"/>
            <w:vAlign w:val="bottom"/>
            <w:vMerge w:val="continue"/>
          </w:tcPr>
          <w:p>
            <w:pPr>
              <w:spacing w:after="0"/>
              <w:rPr>
                <w:sz w:val="20"/>
                <w:szCs w:val="20"/>
                <w:color w:val="auto"/>
              </w:rPr>
            </w:pPr>
          </w:p>
        </w:tc>
        <w:tc>
          <w:tcPr>
            <w:tcW w:w="24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(Months)</w:t>
            </w:r>
          </w:p>
        </w:tc>
        <w:tc>
          <w:tcPr>
            <w:tcW w:w="1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Outstanding Balance</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of Total Loan Type</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4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11 months  $</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0.13 %</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 owner occupied</w:t>
            </w:r>
          </w:p>
        </w:tc>
        <w:tc>
          <w:tcPr>
            <w:tcW w:w="2480" w:type="dxa"/>
            <w:vAlign w:val="bottom"/>
            <w:tcBorders>
              <w:bottom w:val="single" w:sz="8" w:color="CCEEFF"/>
            </w:tcBorders>
            <w:gridSpan w:val="3"/>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11 months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0.94 %</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w:t>
            </w:r>
          </w:p>
        </w:tc>
        <w:tc>
          <w:tcPr>
            <w:tcW w:w="2480" w:type="dxa"/>
            <w:vAlign w:val="bottom"/>
            <w:gridSpan w:val="3"/>
          </w:tcPr>
          <w:p>
            <w:pPr>
              <w:ind w:left="1400"/>
              <w:spacing w:after="0"/>
              <w:rPr>
                <w:sz w:val="20"/>
                <w:szCs w:val="20"/>
                <w:color w:val="auto"/>
              </w:rPr>
            </w:pPr>
            <w:r>
              <w:rPr>
                <w:rFonts w:ascii="Times New Roman" w:cs="Times New Roman" w:eastAsia="Times New Roman" w:hAnsi="Times New Roman"/>
                <w:sz w:val="18"/>
                <w:szCs w:val="18"/>
                <w:color w:val="auto"/>
              </w:rPr>
              <w:t>11 months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0.27 %</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Collateral-Dependent Financial Loans</w:t>
      </w:r>
    </w:p>
    <w:p>
      <w:pPr>
        <w:spacing w:after="0" w:line="18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 collateral-dependent financial loan relies substantially on the operation or sale of the collateral for repayment. In evaluating the overall risk associated with a loan, the Company considers (1) character, overall financial condition and resources, and payment record of the borrower; (2) the prospects for support from any financially responsible guarantors; and (3) the nature and degree of protection provided by the cash flow and value of any underlying collateral. The loan may become collateral-dependent when foreclosure is probable or the borrower is experiencing financial difficulty and its sources of repayment become inadequate over time. At such time, the Company develops an expectation that repayment will be provided substantially through the operation or sale of the collateral.</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amortized cost basis of collateral-dependent loans by class of loans as of the dates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Property</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6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26,965</w:t>
            </w:r>
          </w:p>
        </w:tc>
      </w:tr>
      <w:tr>
        <w:trPr>
          <w:trHeight w:val="20"/>
        </w:trPr>
        <w:tc>
          <w:tcPr>
            <w:tcW w:w="5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loans as of June 30, 2024 include $15.8 million of SBA 7(a) loan balances that are guaranteed by the SBA.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Type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200" w:type="dxa"/>
            <w:vAlign w:val="bottom"/>
          </w:tcPr>
          <w:p>
            <w:pPr>
              <w:spacing w:after="0"/>
              <w:rPr>
                <w:sz w:val="20"/>
                <w:szCs w:val="20"/>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Personal Property</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spacing w:after="0"/>
              <w:rPr>
                <w:sz w:val="21"/>
                <w:szCs w:val="21"/>
                <w:color w:val="auto"/>
              </w:rPr>
            </w:pPr>
          </w:p>
        </w:tc>
        <w:tc>
          <w:tcPr>
            <w:tcW w:w="128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21,643</w:t>
            </w:r>
          </w:p>
        </w:tc>
      </w:tr>
      <w:tr>
        <w:trPr>
          <w:trHeight w:val="27"/>
        </w:trPr>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1"/>
                <w:szCs w:val="21"/>
                <w:color w:val="auto"/>
              </w:rPr>
            </w:pPr>
          </w:p>
        </w:tc>
        <w:tc>
          <w:tcPr>
            <w:tcW w:w="138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5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collateral-dependent loans as of December 31, 2023 include $15.0 million of SBA 7(a) loan balances that are guaranteed by the SBA.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as a Lessor</w:t>
      </w:r>
    </w:p>
    <w:p>
      <w:pPr>
        <w:spacing w:after="0" w:line="18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includes commercial operating leases within premises and equipment. The net book value of the commercial operating leases was $8.7 million and $8.2 million as of June 30, 2024 and December 31, 2023, respectively. Rental income from commercial operating leases for the three and six months ended June 30, 2024 and 2023 was $0.5 million, $0.2 million, $1.1 million and $0.3 million, respectively. Depreciation expense for the related premises and equipment was $0.4 million and $0.1 million for the three months ended June 30, 2024 and 2023, respectively, and $0.8 million and $0.3 million for the six months ended June 30, 2024 and 2023, respectively.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as a Lessee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its facilities under noncancelable operating leases. Rent expense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10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1020" w:type="dxa"/>
            <w:vAlign w:val="bottom"/>
          </w:tcPr>
          <w:p>
            <w:pPr>
              <w:spacing w:after="0"/>
              <w:rPr>
                <w:sz w:val="21"/>
                <w:szCs w:val="21"/>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rent expense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annual undiscounted rental payments for the Company’s operating leases are as follows as of June 30, 2024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Six Months Ended December 31, 2024</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Year Ended 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future minimum lease payments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lease term and discount rate used are as follows:.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720"/>
        <w:spacing w:after="0"/>
        <w:tabs>
          <w:tab w:leader="none" w:pos="38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1,086</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1,118</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1,152</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1,186</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1,017</w:t>
      </w:r>
    </w:p>
    <w:p>
      <w:pPr>
        <w:spacing w:after="0" w:line="7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6,097</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(309)</w:t>
      </w:r>
    </w:p>
    <w:p>
      <w:pPr>
        <w:spacing w:after="0" w:line="77" w:lineRule="exact"/>
        <w:rPr>
          <w:sz w:val="20"/>
          <w:szCs w:val="20"/>
          <w:color w:val="auto"/>
        </w:rPr>
      </w:pPr>
    </w:p>
    <w:p>
      <w:pPr>
        <w:ind w:left="2720"/>
        <w:spacing w:after="0"/>
        <w:tabs>
          <w:tab w:leader="none" w:pos="36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5,788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1711325</wp:posOffset>
            </wp:positionH>
            <wp:positionV relativeFrom="paragraph">
              <wp:posOffset>60325</wp:posOffset>
            </wp:positionV>
            <wp:extent cx="9429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36830</wp:posOffset>
            </wp:positionV>
            <wp:extent cx="30175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18"/>
          <w:szCs w:val="18"/>
          <w:b w:val="1"/>
          <w:bCs w:val="1"/>
          <w:color w:val="auto"/>
        </w:rPr>
        <w:t>June 30, 2024</w:t>
      </w:r>
      <w:r>
        <w:rPr>
          <w:sz w:val="20"/>
          <w:szCs w:val="20"/>
          <w:color w:val="auto"/>
        </w:rPr>
        <w:tab/>
      </w:r>
      <w:r>
        <w:rPr>
          <w:rFonts w:ascii="Times New Roman" w:cs="Times New Roman" w:eastAsia="Times New Roman" w:hAnsi="Times New Roman"/>
          <w:sz w:val="18"/>
          <w:szCs w:val="18"/>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36830</wp:posOffset>
            </wp:positionV>
            <wp:extent cx="30175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720"/>
            <w:col w:w="4180"/>
          </w:cols>
          <w:pgMar w:left="320" w:top="290" w:right="339" w:bottom="1440" w:gutter="0" w:footer="0" w:header="0"/>
          <w:type w:val="continuous"/>
        </w:sectPr>
      </w:pP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 (in years)</w:t>
            </w:r>
          </w:p>
        </w:tc>
        <w:tc>
          <w:tcPr>
            <w:tcW w:w="450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5.3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450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1.9 %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1"/>
                <w:szCs w:val="21"/>
                <w:color w:val="auto"/>
              </w:rPr>
            </w:pPr>
          </w:p>
        </w:tc>
      </w:tr>
      <w:tr>
        <w:trPr>
          <w:trHeight w:val="931"/>
        </w:trPr>
        <w:tc>
          <w:tcPr>
            <w:tcW w:w="5240" w:type="dxa"/>
            <w:vAlign w:val="bottom"/>
          </w:tcPr>
          <w:p>
            <w:pPr>
              <w:spacing w:after="0"/>
              <w:rPr>
                <w:sz w:val="24"/>
                <w:szCs w:val="24"/>
                <w:color w:val="auto"/>
              </w:rPr>
            </w:pPr>
          </w:p>
        </w:tc>
        <w:tc>
          <w:tcPr>
            <w:tcW w:w="4500" w:type="dxa"/>
            <w:vAlign w:val="bottom"/>
          </w:tcPr>
          <w:p>
            <w:pPr>
              <w:jc w:val="right"/>
              <w:ind w:right="393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320" w:type="dxa"/>
            <w:vAlign w:val="bottom"/>
          </w:tcPr>
          <w:p>
            <w:pPr>
              <w:spacing w:after="0"/>
              <w:rPr>
                <w:sz w:val="18"/>
                <w:szCs w:val="18"/>
                <w:color w:val="auto"/>
              </w:rPr>
            </w:pPr>
          </w:p>
        </w:tc>
        <w:tc>
          <w:tcPr>
            <w:tcW w:w="27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For the Six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SBA Servicing Asset, Net</w:t>
      </w:r>
    </w:p>
    <w:p>
      <w:pPr>
        <w:spacing w:after="0" w:line="20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periodically sells portions of SBA loans and retains rights to service the loans. Loans serviced for others are not included in the accompanying balance sheet. The unpaid principal balances of SBA loans serviced for others was $240.7 million and $275.2 million at June 30, 2024 and December 31, 2023,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SBA servicing asset, net activity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27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servicing asset</w:t>
            </w:r>
          </w:p>
        </w:tc>
        <w:tc>
          <w:tcPr>
            <w:tcW w:w="2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Recovery of SBA servicing asset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servicing asset</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fair market value of the SBA servicing asset as of June 30, 2024 and December 31, 2023, was $3.7 million and $4.2 million, respectively. Recovery or impairment adjustments to servicing rights are mainly due to market-based assumptions associated with discounted cash flows, loan prepayment speeds, and changes in interest rates. A significant change in prepayments of the loans in the servicing portfolio could result in significant changes in the valuation adjustments, thus creating potential volatility in the carrying amount of servicing rights.</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20.4%, weighted average term of 3.36 years, and a weighted average discount rate of 12.6% at June 30, 2024.</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assumed a weighted average prepayment rate of 18.2%, weighted average term of 3.72 years, and a weighted average discount rate of 15.4% at December 31,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Capital Requirements</w:t>
      </w:r>
    </w:p>
    <w:p>
      <w:pPr>
        <w:spacing w:after="0" w:line="20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federal and State of Utah banking agencies (the regulators). Failure to meet minimum capital requirements can initiate certain mandatory, and possibly additional discretionary, actions by regulators that, if undertaken, could have a direct material effect on the Bank’s financial statements. Under capital adequacy guidelines and the regulatory framework for prompt corrective action, the Bank must meet specific capital guidelines that involve quantitative measures of the Bank’s assets, liabilities, and certain off -balance-sheet items as calculated under regulatory accounting practices. The Bank’s capital amounts and classification are also subject to qualitative judgments by the regulators about components, risk -weighting, and other factors. Prompt corrective action provisions are not applicable to the bank holding company.</w:t>
      </w:r>
    </w:p>
    <w:p>
      <w:pPr>
        <w:spacing w:after="0" w:line="14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Beginning January 1, 2020, the bank qualified and elected to use the community bank leverage ratio (“CBLR”) framework for quantitative measures which requires the Bank to maintain minimum amounts and ratios of Tier 1 capital to average total consolidated assets. Management believes, as of June 30, 2024 and December 31, 2023, that the Bank’s capital levels exceed the regulatory floors required to be classified as a well-capitalized bank.</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most recent notification from the FDIC categorized the Bank as well-capitalized under the regulatory framework for prompt corrective action (there are no conditions or events since that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notification that management believes have changed the Bank’s category). The following table sets forth the actual capital amounts and ratios for the Bank and the minimum amount and ratio of capital required to be categorized as well-capitalized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Well-Capitalized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8"/>
              </w:rPr>
              <w:t>Requirement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6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0" w:type="dxa"/>
            <w:vAlign w:val="bottom"/>
          </w:tcPr>
          <w:p>
            <w:pPr>
              <w:spacing w:after="0"/>
              <w:rPr>
                <w:sz w:val="1"/>
                <w:szCs w:val="1"/>
                <w:color w:val="auto"/>
              </w:rPr>
            </w:pPr>
          </w:p>
        </w:tc>
      </w:tr>
      <w:tr>
        <w:trPr>
          <w:trHeight w:val="27"/>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(CBLR election)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50,441</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7"/>
        </w:trPr>
        <w:tc>
          <w:tcPr>
            <w:tcW w:w="4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Federal Reserve Board Regulations can require maintenance of certain minimum reserve balances based on certain average deposits. The Bank had no reserve requirements as of June 30, 2024 and December 31, 2023.</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Federal Reserve’s policy statement and supervisory guidance on the payment of cash dividends by a Bank Holding Company (“BHC”), such as FinWise Bancorp, expresses the view that a BHC should generally pay cash dividends on common stock only to the extent that (1) the BHC’s net income available over the past year is sufficient to cover the cash dividend, (2) the rate of earnings retention is consistent with the organization’s expected future needs and financial condition, and (3) the regulatory capital adequacy ratios are met. Should an insured depository institution controlled by a bank holding company be “significantly undercapitalized” under the applicable federal bank capital ratios, or if the bank subsidiary is “undercapitalized” and has failed to submit an acceptable capital restoration plan or has materially failed to implement such a plan, federal banking regulators (in the case of the Bank, the FDIC) may choose to require prior Federal Reserve approval for any capital distribution by the BHC.</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since FinWise Bancorp is a legal entity separate and distinct from the Bank and does not conduct stand-alone operations, an ability to pay dividends depends on the ability of the Bank to pay dividends to FinWise Bancorp. The FDIC and the Utah Department of Financial Institutions (“UDFI”) may, under certain circumstances, prohibit the payment of dividends to FinWise Bancorp from the Bank. Utah corporate law also requires that dividends can only be paid out of funds legally available.</w:t>
      </w:r>
    </w:p>
    <w:p>
      <w:pPr>
        <w:spacing w:after="0" w:line="1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its common stock since inception and it currently has no plans to pay cash dividends in the foreseeable future. However, the Company’s Board of Directors may declare a cash or stock dividend out of retained earnings provided the regulatory capital ratio requirements are met. The Company plans to maintain capital ratios that meet or exceed the well-capitalized standards per the regulations and, therefore, would limit dividends to amounts that are appropriate to maintain those well-capitalized regulatory capital ratios.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Home Loan Bank Secured Line of Credit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the Bank’s available line of credit with the FHLB to borrow in overnight funds was $21.2 million and $30.5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All borrowings are short-term and the interest rate is equal to the correspondent bank’s daily federal funds purchase rate.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and December 31, 2023, no amounts were outstanding under the line of credit. Loans totaling $32.6 million and $46.9 million were pledged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secure the FHLB line of credit as of June 30, 2024 and December 31, 2023,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Lines of Credit</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June 30, 2024 and December 31, 2023, the Bank had the ability to access $10.6 million and $11.4 million, respectively, from the Federal Reserve Bank’s Discount Window on a collateralized basis. At June 30, 2024, the Federal Reserve Bank’s Bank Term Funding Program was no longer active. At December 31, 2023, the Bank had the ability to access $0.8 million from the Federal Reserve Bank’s Bank Term Funding Program on a collateralized basis. Through Zions Bank, the Bank had an available unsecured line of credit of $5.0 million at June 30, 2024 and December 31, 2023. The Bank had an available line of credit with Bankers’ Bank of the West to borrow up to $1.1 million in overnight funds at June 30, 2024 and December 31, 2023. The Bank had no outstanding balances on such unsecured or secured lines of credit as of June 30, 2024 and December 31,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Liquidity Facility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20, 2020, the Bank was approved by the Federal Reserve to access its SBA Paycheck Protection Program Liquidity Facility (“PPPLF”) through the discount window. The PPPLF enables the Company to fund Paycheck Protection Program (“PPP”) loans without taking on additional liquidity or funding risks because the Company is able to pledge PPP loans as collateral to secure extensions of credit under the PPPLF on a non-recourse basis. Borrowings under the PPPLF have a fixed-rate of 0.35%, with a term that matches the underlying loans. The Bank pledged $0.1 million and $0.2 million of</w:t>
      </w:r>
    </w:p>
    <w:p>
      <w:pPr>
        <w:spacing w:after="0" w:line="3" w:lineRule="exact"/>
        <w:rPr>
          <w:sz w:val="20"/>
          <w:szCs w:val="20"/>
          <w:color w:val="auto"/>
        </w:rPr>
      </w:pPr>
    </w:p>
    <w:p>
      <w:pPr>
        <w:ind w:right="200" w:firstLine="8"/>
        <w:spacing w:after="0" w:line="260" w:lineRule="auto"/>
        <w:tabs>
          <w:tab w:leader="none" w:pos="3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as eligible collateral under the PPPLF borrowing arrangement at June 30, 2024 and December 31, 2023, respectively. The average outstanding borrowings were $0.2 million during the six months ended June 30, 2024 and $0.3 million during the six months ended June 30,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 to Extend Credit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to customers which have not yet been exercised. These financial instruments include commitments to extend credit in the form of loans. Those instruments involve to varying degrees, elements of credit and interest rate risk in excess of the amount recognized in the balance sheets.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2024 and December 31, 2023, financial instruments with off-balance-sheet risk were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6"/>
        </w:trPr>
        <w:tc>
          <w:tcPr>
            <w:tcW w:w="8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3"/>
                <w:szCs w:val="23"/>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7"/>
        </w:trPr>
        <w:tc>
          <w:tcPr>
            <w:tcW w:w="8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37"/>
        </w:trPr>
        <w:tc>
          <w:tcPr>
            <w:tcW w:w="80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r>
      <w:tr>
        <w:trPr>
          <w:trHeight w:val="27"/>
        </w:trPr>
        <w:tc>
          <w:tcPr>
            <w:tcW w:w="8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Unfunded Commitments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expected credit losses over the contractual period in which the Company is exposed to credit risk via a contractual obligation to extend credit, unless that obligation is unconditionally cancelable by the Company. The allowance for credit losses on unfunded commitments is included in other liabilities on the consolidated balance sheets and is adjusted through a charge to provision for credit loss expense on the consolidated statements of income. The allowance for credit losses on unfunded commitments estimate includes consideration of the likelihood that funding will occur and an estimate of expected credit losses on commitments expected to be funded over its estimated life. The allowance for credit losses on unfunded commitments was $0.1 million as of June 30, 2024 and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Investment in Business Funding Group, LLC</w:t>
      </w:r>
    </w:p>
    <w:p>
      <w:pPr>
        <w:spacing w:after="0" w:line="18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December 31, 2019, the Company purchased from certain members of BFG a 10% membership interest in exchange for an aggregate of 950,784 shares of the Company’s common stock The exchange was accounted for at fair value based on the fair value of the Company’s shares of approximately $3.5 million. On July 25, 2023 the Company entered into a definitive agreement, as amended, to purchase from certain members of BFG an additional 10% membership interest in exchange for shares of common stock of the Company. On February 5, 2024, the transaction was consummated and the Company issued in the aggregate 339,176 shares of common stock of the Company in a private placement to the sellers in exchange for the additional membership interest in BFG. The second transaction increased the Company’s total ownership interest in BFG to 20%. The ownership interest consists of Class A Voting Units representing 4.7% of the aggregate membership interests of BFG and Class B Non-Voting Unites representing 15.3% of the aggregate membership interests of BFG.</w:t>
      </w:r>
    </w:p>
    <w:p>
      <w:pPr>
        <w:spacing w:after="0" w:line="1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other existing members of BFG jointly own the remaining 80% of the outstanding membership interests, on a fully-diluted basis – all of which membership interests are Class A Voting Units. Based on the Company’s accounting policy with respect to investments in limited liability companies, the Company concluded that its level of ownership was indicative of significant influence and, as a result, the investment would be accounted for using the equity method. However, the Company elected the fair value option for its investment due to cost-benefit considerations. The Company received distributions from BFG in the amounts of $0.2 million and $0.1 million for the three months ended June 30, 2024 and 2023, respectively, and $0.4 million and $0.3 million for the six months ended June 30, 2024 and 2023, respectively. These distributions were recorded in the consolidated statements of income in other miscellaneous income.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March 31, 2020, the Company entered into a right of first refusal and option agreement with the members of BFG whereby the Company has the right of first refusal to purchase additional interests in BFG from any selling members and the option to purchase all, but not less than all, of the interests in BFG from the remaining members. The purchase price for the remaining members’ interests is based on an earnings multiple between 10 times and 15 times BFG’s net profit for the fiscal year ended immediately prior to the exercise of the option. The option period begins on January 1, 2021 and expires on January 1, 2028. The Company issued an aggregate 270,000 warrants to the BFG members as consideration for entering into the agreement. The warrants have an exercise price of $6.67 per share and the warrants expire on March 31, 2028. The warrants are free-standing equity instruments and, as a result, are classified within equity at the fair value on the issuance date. The fair value of the warrants was determined by our board of directors with input from management, relying in part upon valuation reports prepared by a third-party valuation firm using a Black-Scholes option pricing model adjusted for a lack of marketability since the Company’s stock was not publicly traded at that time. The resulting fair value of the warrants was $0.19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discussion on the Company’s investment in BFG, see Note 12 Related Party Transactions.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18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Company utilizes stock-based compensation plans, as well as discretionary grants, for employees, directors and consultants to attract and retain the best available personnel for positions of substantial responsibility, to provide additional incentives and to promote the success of the Company’s business.</w:t>
      </w:r>
    </w:p>
    <w:p>
      <w:pPr>
        <w:spacing w:after="0" w:line="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2019 Stock Option Plan (“2019 Plan”) was adopted on June 20, 2019 following approval by the Company’s Board of Directors and shareholders. The 2019 Plan will terminate as to future awards 10 years from the later of the effective date or the earlier of the most recent Board or stockholder approval of an increase in the number of shares reserved for issuance under the 2019 Plan. On June 27, 2024, the shareholders of the Company approved an amendment to the 2019 Plan increasing the number of shares of common stock reserved for issuance under the plan by an additional 500,000 shares to 1,780,000. At June 30, 2024, 509,880 shares under the 2019 Plan were available for future issuance.</w:t>
      </w:r>
    </w:p>
    <w:p>
      <w:pPr>
        <w:spacing w:after="0" w:line="15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2016 Stock Option Plan (“2016 Plan”) was adopted on April 20, 2017 following approval by the Company’s Board of Directors and shareholders. The 2016 Plan authorizes the issuance of 299,628 common shares. The 2016 Plan will terminate as to future awards 10 years from the later of the effective date or the earlier of the most recent Board or stockholder approval of an increase in the number of shares reserved for issuance under the 2016 Plan. No shares were granted under the 2016 Plan prior to 2018. At June 30, 2024, 2,189 shares under the 2016 Plan were available for future issuance.</w:t>
      </w:r>
    </w:p>
    <w:p>
      <w:pPr>
        <w:spacing w:after="0" w:line="13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2019 Plan and the 2016 Plan (collectively, the “Plans”) provide for the issuance of non-statutory stock options and restricted stock to employees, directors and consultants. The Plans also provide for the issuance of incentive stock options only to employees. The stock-based incentive awards for the Plans are granted at an exercise price not less than the fair market value of the Company’s common stock on the date of grant in the case of stock options. Restricted stock is valued based on the fair market value of the Company’s common stock on the grant date. Vesting of the options vary by employee or director and can have a term no more than 10 years, with the options generally having vesting periods ranging from 1 to 5 years.</w:t>
      </w:r>
    </w:p>
    <w:p>
      <w:pPr>
        <w:spacing w:after="0" w:line="14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Under the Plans, if an award expires or becomes un-exercisable without having been exercised in full, or is surrendered pursuant to an exchange program, the unpurchased shares that were subject thereto shall become available for future grant or sale under the Plans. However, shares that have actually been issued under the Plans, upon exercise of an award, shall not be returned to the Plans and shall not become available for future distribution under the Plans, except that if unvested shares of restricted stock are repurchased by the Company at their original purchase price, such shares shall become available for future grant under the Plans.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grant date fair value is determined using the Black-Scholes option valuation model.</w:t>
      </w:r>
    </w:p>
    <w:p>
      <w:pPr>
        <w:spacing w:after="0" w:line="18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assumptions for expected life reflected management’s judgment and include consideration of historical experience. Expected volatility is based on data from comparable public companies for the expected option term. The risk-free interest rate is based on the U.S. Treasury yield curve in effect at the time of grant for periods corresponding with the expected life of the option. Management believes that the assumptions used in the option-pricing model are highly subjective and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represent only one estimate of possible value, as there is no active market for the options granted. No options were granted during the first six months of 2024. The table below summarizes the assumptions used for the options granted during the six months ended June 30,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2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- 4.0%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 – 7.5</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44.0% – 44.9%</w:t>
            </w:r>
          </w:p>
        </w:tc>
        <w:tc>
          <w:tcPr>
            <w:tcW w:w="0" w:type="dxa"/>
            <w:vAlign w:val="bottom"/>
          </w:tcPr>
          <w:p>
            <w:pPr>
              <w:spacing w:after="0"/>
              <w:rPr>
                <w:sz w:val="1"/>
                <w:szCs w:val="1"/>
                <w:color w:val="auto"/>
              </w:rPr>
            </w:pPr>
          </w:p>
        </w:tc>
      </w:tr>
      <w:tr>
        <w:trPr>
          <w:trHeight w:val="486"/>
        </w:trPr>
        <w:tc>
          <w:tcPr>
            <w:tcW w:w="76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summarizes stock option activity for the six months ended June 30, 2024 and 2023:</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981,488</w:t>
            </w:r>
          </w:p>
        </w:tc>
        <w:tc>
          <w:tcPr>
            <w:tcW w:w="1120" w:type="dxa"/>
            <w:vAlign w:val="bottom"/>
            <w:tcBorders>
              <w:bottom w:val="single" w:sz="8" w:color="CCEEFF"/>
            </w:tcBorders>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(41,940)</w:t>
            </w:r>
          </w:p>
        </w:tc>
        <w:tc>
          <w:tcPr>
            <w:tcW w:w="112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c>
          <w:tcPr>
            <w:tcW w:w="1120" w:type="dxa"/>
            <w:vAlign w:val="bottom"/>
            <w:tcBorders>
              <w:bottom w:val="single" w:sz="8" w:color="CCEEFF"/>
            </w:tcBorders>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June 30, 2024</w:t>
            </w:r>
          </w:p>
        </w:tc>
        <w:tc>
          <w:tcPr>
            <w:tcW w:w="14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908,822</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22"/>
                <w:szCs w:val="22"/>
                <w:color w:val="auto"/>
              </w:rPr>
            </w:pPr>
          </w:p>
        </w:tc>
        <w:tc>
          <w:tcPr>
            <w:tcW w:w="14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4,300,470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2024</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767,328</w:t>
            </w:r>
          </w:p>
        </w:tc>
        <w:tc>
          <w:tcPr>
            <w:tcW w:w="1120" w:type="dxa"/>
            <w:vAlign w:val="bottom"/>
            <w:gridSpan w:val="3"/>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24"/>
                <w:szCs w:val="24"/>
                <w:color w:val="auto"/>
              </w:rPr>
            </w:pPr>
          </w:p>
        </w:tc>
        <w:tc>
          <w:tcPr>
            <w:tcW w:w="14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3,997,890</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4"/>
        </w:trPr>
        <w:tc>
          <w:tcPr>
            <w:tcW w:w="4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Life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124,906</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gridSpan w:val="2"/>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June 30, 2023</w:t>
            </w:r>
          </w:p>
        </w:tc>
        <w:tc>
          <w:tcPr>
            <w:tcW w:w="14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981,467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5.72</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3,546,581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June 30,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689,418</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tcPr>
          <w:p>
            <w:pPr>
              <w:spacing w:after="0"/>
              <w:rPr>
                <w:sz w:val="21"/>
                <w:szCs w:val="21"/>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3,000,920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grant-date fair value of options granted during the six months ended June 30, 2023 was $9.46</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total intrinsic value of options exercised during the three and six months ended June 30, 2024 was $0.2 million and $0.3 million, respectively, and was </w:t>
      </w:r>
      <w:r>
        <w:rPr>
          <w:rFonts w:ascii="Times New Roman" w:cs="Times New Roman" w:eastAsia="Times New Roman" w:hAnsi="Times New Roman"/>
          <w:sz w:val="18"/>
          <w:szCs w:val="18"/>
          <w:i w:val="1"/>
          <w:iCs w:val="1"/>
          <w:color w:val="auto"/>
        </w:rPr>
        <w:t xml:space="preserve">de minimis </w:t>
      </w:r>
      <w:r>
        <w:rPr>
          <w:rFonts w:ascii="Times New Roman" w:cs="Times New Roman" w:eastAsia="Times New Roman" w:hAnsi="Times New Roman"/>
          <w:sz w:val="18"/>
          <w:szCs w:val="18"/>
          <w:color w:val="auto"/>
        </w:rPr>
        <w:t>for the three and six months ended June 30, 2023. During the three and six months ended June 30, 2024 and the three and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June 30, 2023, the Company received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proceeds from the exercise of stock options and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actual tax benefit for the tax deductions from the exercise of stock options. Upon exercise of the stock options, the Company will issue new authorized shares.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tables present pre-tax and after-tax stock-based compensation expense recognized: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24"/>
                <w:szCs w:val="24"/>
                <w:color w:val="auto"/>
              </w:rPr>
            </w:pPr>
          </w:p>
        </w:tc>
        <w:tc>
          <w:tcPr>
            <w:tcW w:w="27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Pre-tax</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After-tax</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2024 and the three and six months ended June 30, 2023, the Company recognized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income tax benefit for stock-based compensation. As of June 30, 2024, the Company had unrecognized stock-based compensation expense related to stock options and restricted stock of approximately $0.2 million and $3.8 million, respectively, which is expected to be recognized over the remaining weighted average recognition period of 1.4 years and 1.9 years,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of Financial Instruments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measures and discloses certain assets and liabilities at fair value. Fair value is defined as the price that would be received to sell an asset or paid to transfer a liability in an orderly transaction between market participants at the measurement date (that is, not a forced liquidation or distressed sale). GAAP establishes a consistent framework for measuring fair value and disclosure requirements about fair value measurements. Among other things, the standard requires us to maximize the use of observable inputs and minimize the use of unobservable inputs when measuring fair value. Observable inputs reflect market data obtained from independent sources, while unobservable inputs reflect the Company’s estimates for market assumptions. These two types of inputs create the following fair value hierarchy.</w:t>
      </w:r>
    </w:p>
    <w:p>
      <w:pPr>
        <w:spacing w:after="0" w:line="14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instruments. An active market is a market in which transactions occur with sufficient frequency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to provide pricing information on an ongoing basis. A quoted price in an active market provides the most reliable evidence of fair value and shall be used to measure fair value whenever available.</w:t>
      </w:r>
    </w:p>
    <w:p>
      <w:pPr>
        <w:spacing w:after="0" w:line="14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Observable inputs other than Level 1 including quoted prices in active markets for similar instruments, quoted prices in less active markets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identical or similar instruments, or other observable inputs that can be corroborated by observable market data.</w:t>
      </w:r>
    </w:p>
    <w:p>
      <w:pPr>
        <w:spacing w:after="0" w:line="114"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supported by little or no market activity for financial instruments whose value is determined using pricing models,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discounted cash flow methodologies, or similar techniques, as well as instruments for which the determination of fair value requires significant management judgment or estimation also includes observable inputs from nonbinding single dealer quotes not corroborated by observable market data. In developing Level 3 measurements, management incorporates whatever market data might be available and uses discounted cash flow models where appropriate. These calculations include projections of future cash flows, including appropriate default and loss assumptions, and market-based discount rates.</w:t>
      </w:r>
    </w:p>
    <w:p>
      <w:pPr>
        <w:spacing w:after="0" w:line="146"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estimated fair value amounts of financial instruments have been determined by the Company using available market information and appropriate valuation methodologies. However, considerable judgment is required to interpret data to develop the estimates of fair value. Accordingly, the estimates presented herein are not necessarily indicative of the amounts the Company could realize at a future date. The use of different market assumptions and/or estimation methodologies may have a material effect on the estimated fair value amounts. In addition, reasonable comparability between financial institutions may not be likely due to the wide range of permitted valuation techniques and numerous estimates that must be made given the absence of active secondary markets for many of the financial instruments. This lack of uniform valuation methodologies also introduces a greater degree of subjectivity to these estimated fair values. Transfers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between levels of the fair value hierarchy are deemed to occur at the end of the reporting period. There were no transfers between fair value levels for the three and six months ended June 20, 2024 and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were used to estimate the fair value of each class of financial instruments: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The carrying amount of these items is a reasonable estimate of their fair value.</w:t>
      </w:r>
    </w:p>
    <w:p>
      <w:pPr>
        <w:spacing w:after="0" w:line="198"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b w:val="1"/>
          <w:bCs w:val="1"/>
          <w:color w:val="auto"/>
        </w:rPr>
        <w:t>Investment securities held-to-maturity</w:t>
      </w:r>
      <w:r>
        <w:rPr>
          <w:rFonts w:ascii="Times New Roman" w:cs="Times New Roman" w:eastAsia="Times New Roman" w:hAnsi="Times New Roman"/>
          <w:sz w:val="18"/>
          <w:szCs w:val="18"/>
          <w:color w:val="auto"/>
        </w:rPr>
        <w:t>: The estimated fair values of investment securities are priced using current active market quotes, if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considered Level 1 measurements. For most of the portfolio, matrix pricing based on the securities’ relationship to other benchmark quoted prices is used to establish the fair value. These measurements are considered Level 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Federal Home Loan Bank stock</w:t>
      </w:r>
      <w:r>
        <w:rPr>
          <w:rFonts w:ascii="Times New Roman" w:cs="Times New Roman" w:eastAsia="Times New Roman" w:hAnsi="Times New Roman"/>
          <w:sz w:val="18"/>
          <w:szCs w:val="18"/>
          <w:color w:val="auto"/>
        </w:rPr>
        <w:t>: The fair value is based upon the redemption value of the stock, which equates to the carrying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Program loans held-for-sale</w:t>
      </w:r>
      <w:r>
        <w:rPr>
          <w:rFonts w:ascii="Times New Roman" w:cs="Times New Roman" w:eastAsia="Times New Roman" w:hAnsi="Times New Roman"/>
          <w:sz w:val="18"/>
          <w:szCs w:val="18"/>
          <w:color w:val="auto"/>
        </w:rPr>
        <w:t>: The carrying amount of these items is a reasonable estimate of their fair value.</w:t>
      </w:r>
    </w:p>
    <w:p>
      <w:pPr>
        <w:spacing w:after="0" w:line="198"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Loans held for investment, net</w:t>
      </w:r>
      <w:r>
        <w:rPr>
          <w:rFonts w:ascii="Times New Roman" w:cs="Times New Roman" w:eastAsia="Times New Roman" w:hAnsi="Times New Roman"/>
          <w:sz w:val="18"/>
          <w:szCs w:val="18"/>
          <w:color w:val="auto"/>
        </w:rPr>
        <w:t>: The fair value is estimated by discounting the future cash flows and estimated prepayments using the current rates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similar loans would be made to borrowers with similar credit ratings and for the same remaining term. Some loan types’ fair value approximated carrying value because of their floating rate or expected maturity characteristics.</w:t>
      </w:r>
    </w:p>
    <w:p>
      <w:pPr>
        <w:spacing w:after="0" w:line="130"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color w:val="auto"/>
        </w:rPr>
        <w:t>SBA servicing asset, net</w:t>
      </w:r>
      <w:r>
        <w:rPr>
          <w:rFonts w:ascii="Times New Roman" w:cs="Times New Roman" w:eastAsia="Times New Roman" w:hAnsi="Times New Roman"/>
          <w:sz w:val="18"/>
          <w:szCs w:val="18"/>
          <w:color w:val="auto"/>
        </w:rPr>
        <w:t>: The fair value of servicing assets is based on, in part, third-party valuations that project estimated future cash inflows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servicing fees and outflows that include market rates for costs of servicing. The present value of the future cash flows are calculated utilizing market-based discount rates. The market-based discount rates represent risk spreads based on secondary market transactions utilizing calculated prepayment curves. Because observable loan transactions are used to determine the risk spreads, the Company considers the measurement to be Level 2.</w:t>
      </w:r>
    </w:p>
    <w:p>
      <w:pPr>
        <w:spacing w:after="0" w:line="13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Investment in BFG</w:t>
      </w:r>
      <w:r>
        <w:rPr>
          <w:rFonts w:ascii="Times New Roman" w:cs="Times New Roman" w:eastAsia="Times New Roman" w:hAnsi="Times New Roman"/>
          <w:sz w:val="18"/>
          <w:szCs w:val="18"/>
          <w:color w:val="auto"/>
        </w:rPr>
        <w:t>: The Company’s valuation technique utilized the average of the discounted cash flow method and the Guideline Public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The valuation was also adjusted using a Guideline Transaction method based on the transaction announced on July 25, 2023 and the share price on September 30, 2023. A 20% lack of marketability discount was applied to the valuation as well as a 4.5% discount to non-voting shares to arrive at fair value as of June 30, 2024 and December 31, 2023. The calculation of fair value utilized significant unobservable inputs, including projected cash flows, growth rates, and discount rates. The fair value of the investment in BFG was $8.0 million and $4.2 million as of June 30, 2024 and December 31, 2023, respectively. The following table summarizes investment in BFG activity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8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BFG ownership interest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BFG</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The carrying amount of deposits with no stated maturity, such as savings and checking accounts, is a reasonable estimate of their fair value.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certificates of deposit is based upon the discounted value of contractual cash flows. The discount rate is determined using the rates currently offered on comparable instruments.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interest receivable and payable</w:t>
      </w:r>
      <w:r>
        <w:rPr>
          <w:rFonts w:ascii="Times New Roman" w:cs="Times New Roman" w:eastAsia="Times New Roman" w:hAnsi="Times New Roman"/>
          <w:sz w:val="18"/>
          <w:szCs w:val="18"/>
          <w:color w:val="auto"/>
        </w:rPr>
        <w:t>: The fair value of accrued interest receivable and payable approximates their carrying amount.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0" w:firstLine="8"/>
        <w:spacing w:after="0" w:line="286" w:lineRule="auto"/>
        <w:tabs>
          <w:tab w:leader="none" w:pos="375"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Facility</w:t>
      </w:r>
      <w:r>
        <w:rPr>
          <w:rFonts w:ascii="Times New Roman" w:cs="Times New Roman" w:eastAsia="Times New Roman" w:hAnsi="Times New Roman"/>
          <w:sz w:val="18"/>
          <w:szCs w:val="18"/>
          <w:color w:val="auto"/>
        </w:rPr>
        <w:t>: The fair value of PPPLF is estimated using a discounted cash flow based on the remaining contractual term and current borrowing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rates for similar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carrying amount and fair value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280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4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116,975</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securities held-to-maturity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FHLB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429,774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360,032</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held-for-sale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SBA servicing asset, net</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BFG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412,459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394,195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43"/>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PPP Liquidity Facility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measured at fair value on a nonrecurring basis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4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Financial Instrument</w:t>
            </w:r>
          </w:p>
        </w:tc>
        <w:tc>
          <w:tcPr>
            <w:tcW w:w="220" w:type="dxa"/>
            <w:vAlign w:val="bottom"/>
          </w:tcPr>
          <w:p>
            <w:pPr>
              <w:spacing w:after="0"/>
              <w:rPr>
                <w:sz w:val="2"/>
                <w:szCs w:val="2"/>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Nonrecurring assets:</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00" w:type="dxa"/>
            <w:vAlign w:val="bottom"/>
          </w:tcPr>
          <w:p>
            <w:pPr>
              <w:spacing w:after="0"/>
              <w:rPr>
                <w:sz w:val="21"/>
                <w:szCs w:val="21"/>
                <w:color w:val="auto"/>
              </w:rPr>
            </w:pPr>
          </w:p>
        </w:tc>
        <w:tc>
          <w:tcPr>
            <w:tcW w:w="104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Individually evaluated loans </w:t>
      </w:r>
      <w:r>
        <w:rPr>
          <w:rFonts w:ascii="Times New Roman" w:cs="Times New Roman" w:eastAsia="Times New Roman" w:hAnsi="Times New Roman"/>
          <w:sz w:val="18"/>
          <w:szCs w:val="18"/>
          <w:color w:val="auto"/>
        </w:rPr>
        <w:t>– The loan amount above represents loans individually evaluated that have been adjusted to the lower of cost or fair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 collateral dependent loans are individually evaluated, they are measured using the current fair value of the collateral securing these loans, less selling costs. The fair value of real estate collateral is determined using collateral valuations or a discounted cash flow analysis using inputs such as discount rates, sale prices of similar assets, and term of expected disposition. Some appraised values are adjusted based on management’s review and analysis, which may include historical knowledge, changes in market conditions, estimated selling and other anticipated costs, and/or expertise and knowledge. The loss, if any, represents charge-offs on loans when the fair value of the collateral is less than the carrying amount of the loan.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Quantitative information for Level 3 fair value measurements </w:t>
      </w:r>
      <w:r>
        <w:rPr>
          <w:rFonts w:ascii="Times New Roman" w:cs="Times New Roman" w:eastAsia="Times New Roman" w:hAnsi="Times New Roman"/>
          <w:sz w:val="18"/>
          <w:szCs w:val="18"/>
          <w:color w:val="auto"/>
        </w:rPr>
        <w:t>– The range and weighted average of the significant unobservable inputs used to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Level 3 nonrecurring assets as of June 30, 2024 and as of December 31, 2023, along with the valuation techniques used, are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16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1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6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Adjustment to</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27,138</w:t>
            </w:r>
          </w:p>
        </w:tc>
        <w:tc>
          <w:tcPr>
            <w:tcW w:w="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16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appraisal value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11.40 %</w:t>
            </w:r>
          </w:p>
        </w:tc>
        <w:tc>
          <w:tcPr>
            <w:tcW w:w="0" w:type="dxa"/>
            <w:vAlign w:val="bottom"/>
          </w:tcPr>
          <w:p>
            <w:pPr>
              <w:spacing w:after="0"/>
              <w:rPr>
                <w:sz w:val="1"/>
                <w:szCs w:val="1"/>
                <w:color w:val="auto"/>
              </w:rPr>
            </w:pPr>
          </w:p>
        </w:tc>
      </w:tr>
      <w:tr>
        <w:trPr>
          <w:trHeight w:val="29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Market</w:t>
            </w:r>
          </w:p>
        </w:tc>
        <w:tc>
          <w:tcPr>
            <w:tcW w:w="164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Adjustment to</w:t>
            </w: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Individually evaluated loans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comparable</w:t>
            </w:r>
          </w:p>
        </w:tc>
        <w:tc>
          <w:tcPr>
            <w:tcW w:w="1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appraisal value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The range and weighted average of the significant unobservable inputs used to fair value the investment in BFG Level 3 recurring asset as of June 30, 2024 and as of December 31, 2023 are shown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Range</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7"/>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Discounted Cash Flows</w:t>
            </w:r>
          </w:p>
        </w:tc>
        <w:tc>
          <w:tcPr>
            <w:tcW w:w="2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60" w:type="dxa"/>
            <w:vAlign w:val="bottom"/>
            <w:vMerge w:val="continue"/>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Revenue growth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43"/>
        </w:trPr>
        <w:tc>
          <w:tcPr>
            <w:tcW w:w="55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Expense growth rate</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80" w:type="dxa"/>
            <w:vAlign w:val="bottom"/>
          </w:tcPr>
          <w:p>
            <w:pPr>
              <w:spacing w:after="0"/>
              <w:rPr>
                <w:sz w:val="21"/>
                <w:szCs w:val="21"/>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Discount rate</w:t>
            </w: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51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Guideline Public Company</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Multiples of enterprise value</w:t>
            </w:r>
          </w:p>
        </w:tc>
        <w:tc>
          <w:tcPr>
            <w:tcW w:w="2880" w:type="dxa"/>
            <w:vAlign w:val="bottom"/>
            <w:gridSpan w:val="2"/>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3.5x to 5.5x</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3.5x to 5.5x</w:t>
            </w:r>
          </w:p>
        </w:tc>
        <w:tc>
          <w:tcPr>
            <w:tcW w:w="0" w:type="dxa"/>
            <w:vAlign w:val="bottom"/>
          </w:tcPr>
          <w:p>
            <w:pPr>
              <w:spacing w:after="0"/>
              <w:rPr>
                <w:sz w:val="1"/>
                <w:szCs w:val="1"/>
                <w:color w:val="auto"/>
              </w:rPr>
            </w:pPr>
          </w:p>
        </w:tc>
      </w:tr>
      <w:tr>
        <w:trPr>
          <w:trHeight w:val="27"/>
        </w:trPr>
        <w:tc>
          <w:tcPr>
            <w:tcW w:w="55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valuation as of December 31, 2023 was adjusted using a Guideline Transaction method based on the potential transaction announced on July 25, 2023 and the share price on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8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and 2023, income tax expense was $1.0 million and $1.6 million, respectively, resulting in an effective income tax rate of 23.9% and 26.1%, respectively. For the six months ended June 30, 2024 and 2023, income tax expense was $2.2 million and $3.0 million, respectively, resulting in an effective income tax rate of 25.2% and 26.1%, respectively. The effective tax rate differs from the statutory rate of 21.0% during the three and six months ended June 30, 2024 due primarily to the resolution of state tax matters, state taxes and the tax effect of stock-based compensation. The effective tax rate differs from the statutory rate of 21.0% during the three and six months ended June 30, 2023 due primarily to state taxes, the tax effect of nondeductible wages and stock-based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0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 the ordinary course of business, the Bank may grant loans to certain executive officers and directors and the companies with which they are associated. The Company had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loans outstanding to related parties as of June 30, 2024 and December 31, 2023. Total deposits from certain executive officers and directors and the companies with which they are associated were $1.9 million and $1.5 million as of June 30, 2024 and December 31, 2023, respectively.</w:t>
      </w:r>
    </w:p>
    <w:p>
      <w:pPr>
        <w:spacing w:after="0" w:line="13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BFG is a small business loan broker, primarily under the SBA’s 7(a) loan program. As noted in Note 8 Investment in Business Funding Group, the Company has a 20% ownership in the outstanding membership units of BFG. The Company underwrites loans sourced by BFG in its normal course of business. If approved and funded, the Company pays BFG a commission fee based on the amount funded. There is no guarantee or commitment made by the Company to BFG to approve or fund loans referred by BFG. The Company is able to use its sole discretion in deciding to approve and fund loans referred by BFG.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the components used to derive basic and diluted earnings per share for the three and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2023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18"/>
                <w:szCs w:val="18"/>
                <w:color w:val="auto"/>
              </w:rPr>
            </w:pPr>
          </w:p>
        </w:tc>
        <w:tc>
          <w:tcPr>
            <w:tcW w:w="27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0" w:type="dxa"/>
            <w:vAlign w:val="bottom"/>
          </w:tcPr>
          <w:p>
            <w:pPr>
              <w:spacing w:after="0"/>
              <w:rPr>
                <w:sz w:val="1"/>
                <w:szCs w:val="1"/>
                <w:color w:val="auto"/>
              </w:rPr>
            </w:pPr>
          </w:p>
        </w:tc>
      </w:tr>
      <w:tr>
        <w:trPr>
          <w:trHeight w:val="270"/>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Amount allocated to participating common shareholders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allocated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8,377</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12,627,800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12,603,463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12,565,124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12,655,605</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387,663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359,632</w:t>
            </w:r>
          </w:p>
        </w:tc>
        <w:tc>
          <w:tcPr>
            <w:tcW w:w="0" w:type="dxa"/>
            <w:vAlign w:val="bottom"/>
          </w:tcPr>
          <w:p>
            <w:pPr>
              <w:spacing w:after="0"/>
              <w:rPr>
                <w:sz w:val="1"/>
                <w:szCs w:val="1"/>
                <w:color w:val="auto"/>
              </w:rPr>
            </w:pPr>
          </w:p>
        </w:tc>
      </w:tr>
      <w:tr>
        <w:trPr>
          <w:trHeight w:val="24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65,383</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13,109,708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12,989,530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13,060,783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13,080,620</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270"/>
        </w:trPr>
        <w:tc>
          <w:tcPr>
            <w:tcW w:w="5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excluded from the calculation of diluted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621,835</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earnings attributable to holders of unvested restricted stock issued to the Company’s directors and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02"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Subsequent to June 30, 2024, three SBA loans with aggregate outstanding principal of $6.3 million were placed into nonaccrual status. $4.4 million of the outstanding principal is guaranteed by the SBA. Two loans totaling $4.1 million were accruing interest and categorized as 30-89 days past due at June 30, 2024 (see Note 3 – Loans Held for Investment and Allowance for Credit Losses). The third loan in the amount of $2.3 million was performing as of June 30, 2024. The pledge of other collateral also secures each of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is intended as a review of significant factors affecting our financial condition and results of operations for the periods indicated and should be read together with our consolidated financial statements and related notes thereto and the 2023 Form 10-K. In addition to historical information, this discussion and analysis contains forward-looking statements that involve risks, uncertainties and assumptions that could cause actual results to differ materially from our expectations. Factors that could cause such differences are discussed in the sections of this Report and our most recently filed 2023 Form 10-K entitled “Risk Factors,” “Cautionary Note Regarding Forward-Looking Statements” and elsewhere in this Report. We assume no obligation to update any of these forward-looking statements except to the extent required by law.</w:t>
      </w:r>
    </w:p>
    <w:p>
      <w:pPr>
        <w:spacing w:after="0" w:line="142"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pertains to our historical results, on a consolidated basis. However, because we conduct all material business operations through our wholly owned subsidiary, FinWise Bank, the discussion and analysis relates to activities primarily conducted at the subsidiary level.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The accompanying management’s discussion and analysis of financial condition and results of operations is based upon our unaudited consolidated financial statements included in Part I, Item 1 of this Report. The preparation of these unaudited consolidated financial statements in accordance with GAAP requires management to make estimates and judgments that affect the reported amounts of assets, liabilities, revenues, expenses and related disclosure of contingent assets and liabilities. We base our estimates on historical experience and on various other assumptions that are believed to be reasonable under current circumstances, results of which form the basis for making judgments about the carrying value of certain assets and liabilities that are not readily available from other sources. We evaluate our estimates on an ongoing basis. Actual results may differ from these estimates under different assumptions or conditions. There have been no material changes during the six months ended June 30, 2024 to the items that we disclosed as our critical accounting policies and estimates in “Management’s Discussion and Analysis of Financial Condition and Results of Operations” in the 2023 Form 10-K.</w:t>
      </w:r>
    </w:p>
    <w:p>
      <w:pPr>
        <w:spacing w:after="0" w:line="13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Accounting policies, as described in detail in the notes to our consolidated financial statements, included in the 2023 Form 10-K, are an integral part of our financial statements. A thorough understanding of these accounting policies is essential when reviewing our reported results of operations and our financial position. We believe that those critical accounting policies and estimates require us to make difficult, subjective or complex judgments about matters that are inherently uncertain. Changes in these estimates, which are likely to occur from period to period, or use of different estimates that we could have reasonably used in the current period, would have a material impact on our financial position, results of operations or liquidity.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FinWise Bancorp is a Utah corporation and the parent company of FinWise Bank and FinWise Investment, LLC. Our assets consist primarily of our investment in the Bank and all of our material business activities are conducted through the Bank.</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gather deposits in the Salt Lake City, Utah MSA through our one branch and nationwide from our Strategic Program service providers, SBA 7(a) borrowers, demand deposits sourced through Lively, Inc., Institutional Deposit exchanges, and brokered deposit arrangements. Attracting nationwide deposits from the general public, businesses and other financial institutions, and investing those deposits, together with borrowings and other sources of funds, is also critical to our banking business. Our banking business offers a diverse range of commercial and retail banking products and services, and consists primarily of originating loans in a variety of sectors. While our commercial and residential real estate lending and other products and services offered from our branch continue to be concentrated in and around the Salt Lake City, Utah MSA, our third-party loan origination relationships have allowed us to expand into new markets across the United States. These relationships support our ability to generate significant loan volume across diverse consumer and commercial markets and have been the primary source of our significant growth and superior profitability.</w:t>
      </w:r>
    </w:p>
    <w:p>
      <w:pPr>
        <w:spacing w:after="0" w:line="16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financial condition and results of operations depend primarily on our ability to originate loans using our strategic relationships with third-party loan origination platforms to earn interest and non-interest income. We focus on four main lending areas: (i) SBA 7(a) loans, (ii) Strategic Programs, (iii) residential and commercial real estate and (iv) commercial leasing. For a description and analysis of our loan categories, see “Financial Condition.”</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executive summary provides highlights from the discussion and analysis that follows:</w:t>
      </w:r>
    </w:p>
    <w:p>
      <w:pPr>
        <w:spacing w:after="0" w:line="25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June 30, 2024 decreased $1.5 million to $3.2 million when compared to the three months ended June 30, 2023 due primarily to a $2.9 million increase in non-interest expense driven by increased spending on business infrastructure which was offset in part by a $0.9 million increase in net interest income and a $0.6 million decrease in the provision for income taxes.</w:t>
      </w:r>
    </w:p>
    <w:p>
      <w:pPr>
        <w:spacing w:after="0" w:line="129"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Net income for the six months ended June 30, 2024 decreased $2.0 million to $6.5 million when compared to the six months ended June 30, 2023 due primarily to a $6.0 million increase in non-interest expense driven by increased spending on business infrastructure, which was offset in part by a $2.8 million increase in net interest income, an increase in non-interest income of $0.5 million, and a $0.8 million decrease in the provision for income taxes.</w:t>
      </w:r>
    </w:p>
    <w:p>
      <w:pPr>
        <w:spacing w:after="0" w:line="13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net interest margin was 10.31% for the three months ended June 30, 2024, compared to 12.14% for the three months ended June 30, 2023. The decline in net interest margin was due primarily to decreases in the yields of the loans held-for-sale and loans held for investment portfolios.</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net interest margin was 10.19% for the six months ended June 30, 2024, compared to 12.31% for the six months ended June 30, 2023. The decline in net interest margin was due primarily to a decrease in yield on interest-earning assets coupled with an increase in costs of funds on interest-bearing liabilities and offset in part by an increase in earning assets.</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Total assets increased by $31.6 million to $617.8 million as of June 30, 2024 compared to December 31, 2023. This increase was primarily attributable to a $40.0 million increase in net loans receivable and a $19.0 million increase in Strategic Program loans held-for-sale, partially offset by a $28.0 million decrease in our interest-bearing deposits.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 remained substantially flat at $1.2 billion for the three months ended June 30, 2024 when compared to the three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originations increased $0.2 billion to $2.3 billion when compared to the six months ended June 30,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Overview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components of net income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4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3440" w:type="dxa"/>
            <w:vAlign w:val="bottom"/>
            <w:gridSpan w:val="6"/>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Interest Income and Net Interest Margin Analysis</w:t>
      </w:r>
    </w:p>
    <w:p>
      <w:pPr>
        <w:spacing w:after="0" w:line="187"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interest income was the primary contributor to our earnings in 2024 and 2023. Net interest income is affected by changes in the amount and mix of interest-earning assets and interest-bearing liabilities, referred to as “volume changes.” It is also affected by changes in yields earned on interest-earning assets and rates paid on interest-bearing deposits and other borrowed funds, referred to as “rate changes.”</w:t>
      </w:r>
    </w:p>
    <w:p>
      <w:pPr>
        <w:spacing w:after="0" w:line="14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our net interest income increased $0.9 million, or 6.9%, to $14.6 million compared to the three months ended June 30, 2023. This increase was primarily due to increases in the Bank’s average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balances on its loans held for investment portfolio partially offset by increases in the interest rates paid and average interest-bearing liability balances and reductions in the average yields on our loans held for investment and loans held-for-sale portfolios over the same periods. Average interest-earning assets increased by $118.4 million, or 26.2%, to $570.3 million for the three months ended June 30, 2024 compared to the three months ended June 30, 2023, while the related yield on average interest-earning assets decreased by 109 basis points to 12.99%. The cost of funds on interest- bearing liabilities for the three months ended June 30, 2024 increased by 79 basis points to 4.80%, and the average balance in interest-bearing liabilities increased by $99.7 million, or 45.4%, to $319.0 million compared to the prior year period. The increase in cost of funds was primarily due to rate increases in time deposits. Our net interest margin decreased to 10.31% for the three months ended June 30, 2024 from 12.14% for the three months ended June 30, 2023 primarily due to decreases in the yields of the loans held-for-sale and loans held for investment portfolios reflecting the Bank’s efforts to increase loans outstanding to borrowers with lower credit risk and lower average yields.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2024, our net interest income increased $2.8 million, or 11.0%, to $28.6 million compared to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This increase was primarily due to volume increases in the loans held for investment and loans held-for-sale portfolios and was partially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 by increased volume and rate in the certificates of deposit portfolio. Average interest-earning assets increased by $142.5 million, or 33.7%,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$564.9 million for the six months ended June 30, 2024 compared to the six months ended June 30, 2023, while the related yield on average interest-earning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decreased by 113 basis points to 12.84%. The cost of funds on interest-bearing liabilities for the six months ended June 30, 2024 increased by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points to 4.75%, and the average balance in interest-bearing liabilities increased by $122.4 million, or 63.6%, to $314.9 million compared to the prior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period. The increase in cost of funds was primarily due to volume growth as well as rate increases in time deposits. Our net interest margin decreased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10.19% for the six months ended June 30, 2024 from 12.31% for the six months ended June 30, 2023.</w:t>
      </w:r>
    </w:p>
    <w:p>
      <w:pPr>
        <w:spacing w:after="0" w:line="1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Average Balances and Yields. </w:t>
      </w:r>
      <w:r>
        <w:rPr>
          <w:rFonts w:ascii="Times New Roman" w:cs="Times New Roman" w:eastAsia="Times New Roman" w:hAnsi="Times New Roman"/>
          <w:sz w:val="18"/>
          <w:szCs w:val="18"/>
          <w:color w:val="auto"/>
        </w:rPr>
        <w:t>The following table presents average balances for assets and liabilities, the total dollar amounts of interest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interest-earning assets, the total dollar amounts of interest expense on interest-bearing liabilities, and the resulting average yields and costs. The yields and costs for the periods indicated are derived by dividing the income or expense by the average balances for assets or liabilities, respectively, for the periods presented. Loan fees are included in interest income on loans and represent net fees of approximately $1.2 million and $0.4 million for the six months ended June 30, 2024 and 2023, respectively. Average balances have been calculated using daily averages.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12,861</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18,422</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3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95,257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616,818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14,615</w:t>
            </w: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13,675</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average interest-earning assets to</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178.76 %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206.04 %</w:t>
            </w:r>
          </w:p>
        </w:tc>
        <w:tc>
          <w:tcPr>
            <w:tcW w:w="0" w:type="dxa"/>
            <w:vAlign w:val="bottom"/>
          </w:tcPr>
          <w:p>
            <w:pPr>
              <w:spacing w:after="0"/>
              <w:rPr>
                <w:sz w:val="1"/>
                <w:szCs w:val="1"/>
                <w:color w:val="auto"/>
              </w:rPr>
            </w:pPr>
          </w:p>
        </w:tc>
      </w:tr>
      <w:tr>
        <w:trPr>
          <w:trHeight w:val="23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Interest-earning assets: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36,067</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13.97 %</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Noninterest-earning assets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0.53 %</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0.35 %</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93,489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608,513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interest income and interest rate spread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28,621</w:t>
            </w: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10.32 %</w:t>
            </w:r>
          </w:p>
        </w:tc>
        <w:tc>
          <w:tcPr>
            <w:tcW w:w="0" w:type="dxa"/>
            <w:vAlign w:val="bottom"/>
          </w:tcPr>
          <w:p>
            <w:pPr>
              <w:spacing w:after="0" w:line="20" w:lineRule="exact"/>
              <w:rPr>
                <w:sz w:val="1"/>
                <w:szCs w:val="1"/>
                <w:color w:val="auto"/>
              </w:rPr>
            </w:pPr>
          </w:p>
        </w:tc>
      </w:tr>
      <w:tr>
        <w:trPr>
          <w:trHeight w:val="217"/>
        </w:trPr>
        <w:tc>
          <w:tcPr>
            <w:tcW w:w="32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10.19 %</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 of average interest-earning assets to</w:t>
            </w: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179.37 %</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219.39 %</w:t>
            </w:r>
          </w:p>
        </w:tc>
        <w:tc>
          <w:tcPr>
            <w:tcW w:w="0" w:type="dxa"/>
            <w:vAlign w:val="bottom"/>
          </w:tcPr>
          <w:p>
            <w:pPr>
              <w:spacing w:after="0"/>
              <w:rPr>
                <w:sz w:val="1"/>
                <w:szCs w:val="1"/>
                <w:color w:val="auto"/>
              </w:rPr>
            </w:pPr>
          </w:p>
        </w:tc>
      </w:tr>
      <w:tr>
        <w:trPr>
          <w:trHeight w:val="23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average interest- bearing liabilities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Rate/Volume Analysis. </w:t>
      </w:r>
      <w:r>
        <w:rPr>
          <w:rFonts w:ascii="Times New Roman" w:cs="Times New Roman" w:eastAsia="Times New Roman" w:hAnsi="Times New Roman"/>
          <w:sz w:val="18"/>
          <w:szCs w:val="18"/>
          <w:color w:val="auto"/>
        </w:rPr>
        <w:t>The following table sets forth the effects of changing rates and volumes on our net interest income based on average balances.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column shows the effects attributable to changes in average rate. The volume column shows the effects attributable to changes in average volume. For purposes of this table, changes attributable to changes in both average rate and average volume that cannot be segregated have been allocated proportionally based on the changes due to rate and the changes due to volume.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4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280" w:type="dxa"/>
            <w:vAlign w:val="bottom"/>
          </w:tcPr>
          <w:p>
            <w:pPr>
              <w:spacing w:after="0"/>
              <w:rPr>
                <w:sz w:val="20"/>
                <w:szCs w:val="20"/>
                <w:color w:val="auto"/>
              </w:rPr>
            </w:pPr>
          </w:p>
        </w:tc>
        <w:tc>
          <w:tcPr>
            <w:tcW w:w="276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6"/>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6"/>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Increase (Decrease) Due to</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Increase (Decrease) Due to</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36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Pr>
          <w:p>
            <w:pPr>
              <w:spacing w:after="0"/>
              <w:rPr>
                <w:sz w:val="20"/>
                <w:szCs w:val="20"/>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Volume</w:t>
            </w:r>
          </w:p>
        </w:tc>
        <w:tc>
          <w:tcPr>
            <w:tcW w:w="3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with the Federal</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 non-U.S. central banks and other</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held-for-sale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Income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20" w:type="dxa"/>
            <w:vAlign w:val="bottom"/>
          </w:tcPr>
          <w:p>
            <w:pPr>
              <w:spacing w:after="0"/>
              <w:rPr>
                <w:sz w:val="20"/>
                <w:szCs w:val="20"/>
                <w:color w:val="auto"/>
              </w:rPr>
            </w:pPr>
          </w:p>
        </w:tc>
        <w:tc>
          <w:tcPr>
            <w:tcW w:w="174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fees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 servicing fees and servicing asset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150.3 %</w:t>
            </w:r>
          </w:p>
        </w:tc>
      </w:tr>
      <w:tr>
        <w:trPr>
          <w:trHeight w:val="26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total non-interest income decreased $0.5 million, or 8.5%, to $4.8 million compared to the three months ended June 30, 2023. This decrease was primarily due to a decrease in SBA loan servicing fees and servicing asset amortization of $0.3 million due to accelerated amortization of the related SBA servicing asset as a result of accelerated payoffs of participated SBA loans, the lower gain on sale of loans of $0.3 million, and a decrease in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fair value of our investment in BFG of $0.2 million. The decreases were partially offset by an increase in other miscellaneous income of $0.5 million primarily related to increased rental income on our commercial 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0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60" w:type="dxa"/>
            <w:vAlign w:val="bottom"/>
          </w:tcPr>
          <w:p>
            <w:pPr>
              <w:spacing w:after="0"/>
              <w:rPr>
                <w:sz w:val="20"/>
                <w:szCs w:val="20"/>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3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fees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 loan servicing fees and servicing asset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on investment in BFG</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7"/>
        </w:trPr>
        <w:tc>
          <w:tcPr>
            <w:tcW w:w="4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miscellaneous income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125.1 %</w:t>
            </w:r>
          </w:p>
        </w:tc>
      </w:tr>
      <w:tr>
        <w:trPr>
          <w:trHeight w:val="26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total non-interest income increased $0.5 million, or 5.0%, to $10.3 million compared to the six months ended June 30, 2023. This increase was primarily due to an increase in other miscellaneous income of $0.8 million attributable, in part, to the increased rental income on our commercial operating leases and was partially offset by a decrease in SBA loan servicing fee income of $0.5 million due to accelerated amortization of the related SBA servicing asset as a result of accelerated payoffs of participated SBA loans.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Non-interest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for the periods indicated, the major categories of non-interest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1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June 30,</w:t>
            </w: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SBA servicing asset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total non-interest expense increased $2.9 million, or 28.9%, to $12.9 million compared to the three months ended June 30, 2023. This increase was primarily due to an increase in salaries and employee benefits of $1.9 million, or 28.9%, other operating expenses of $0.6 million, or 35.0%, and occupancy and equipment expenses of $0.4 million, or 56.1%, primarily pertaining to increased spending on business infrastructure reflecting the growth in our business.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40" w:type="dxa"/>
            <w:vAlign w:val="bottom"/>
          </w:tcPr>
          <w:p>
            <w:pPr>
              <w:spacing w:after="0"/>
              <w:rPr>
                <w:sz w:val="20"/>
                <w:szCs w:val="20"/>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20" w:type="dxa"/>
            <w:vAlign w:val="bottom"/>
          </w:tcPr>
          <w:p>
            <w:pPr>
              <w:spacing w:after="0"/>
              <w:rPr>
                <w:sz w:val="20"/>
                <w:szCs w:val="20"/>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49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equipment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of SBA servicing asset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(11.1 %)</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6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24,697</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31.8 %</w:t>
            </w:r>
          </w:p>
        </w:tc>
      </w:tr>
      <w:tr>
        <w:trPr>
          <w:trHeight w:val="21"/>
        </w:trPr>
        <w:tc>
          <w:tcPr>
            <w:tcW w:w="49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total non-interest expense increased $6.0 million, or 31.8%, to $24.7 million compared to the six months ended June 30, 2023. This increase was primarily due to an increase in salaries and employee benefits of $4.2 million, or 35.5%, other operating expenses of $0.9 million, or 29.0%, and occupancy and equipment expense of $0.7 million, or 46.9%, primarily pertaining to increased spending on business infrastructure reflecting the growth in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87"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Our provision for credit losses was $2.4 million and $2.7 million for the three months ended June 30, 2024 and 2023, respectively. The decrease from the prior year period was attributed to lower levels of charge-offs. Our provision for credit losses was $5.5 million and $5.4 million for the six months ended June 30, 2024 and 2023, respectively. The increase from the prior year period was primarily due to qualitative factor adjustments based on the increase in nonperforming assets primarily related to the SBA portfolio in the fourth quarter of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Net income for the three months ended June 30, 2024 was $3.2 million, a decrease of $1.5 million, or 31.4%, from net income of $4.6 million for the three months ended June 30, 2023. The decrease was primarily attributable to an increase of $2.9 million, or 28.9%, in salaries and employee benefits expense and other expenses driven primarily by increased spending on business infrastructure and was offset in part by a $0.9 million, or 6.9%, increase in net interest income driven primarily by growth in the loans held for investment portfolio and a decrease in provision for income taxes of $0.6 million, or 39.0%, resulting primarily from a more favorable resolution of historical state tax matters.</w:t>
      </w:r>
    </w:p>
    <w:p>
      <w:pPr>
        <w:spacing w:after="0" w:line="14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income for the six months ended June 30, 2024 was $6.5 million, a decrease of $2.0 million, or 23.6%, from net income of $8.5 million for the six months ended June 30, 2023. The decrease was primarily attributable to an increase in non-interest expense of $6.0 million, or 31.8%, associated with a $4.2 million, or 35.5%, increase in salaries and employee benefits and a $0.9 million, or 29.0%, increase in other operating expenses both of which were driven primarily by increased spending on business infrastructure reflecting growth in our business. Partially offsetting these increased expenses was an increase in net interest income of $2.8 million, or 11.0%, and a decrease in provision for income taxes of $0.8 million, or 27.0%.</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selected components of our consolidated balance sheets as of June 30, 2024 and December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other banks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83,851</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securities held-to-maturity, at cost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398,512</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617,820</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586,221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429,195</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452,024</w:t>
            </w: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431,165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165,796</w:t>
            </w:r>
          </w:p>
        </w:tc>
        <w:tc>
          <w:tcPr>
            <w:tcW w:w="5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 to total assets</w:t>
            </w:r>
          </w:p>
        </w:tc>
        <w:tc>
          <w:tcPr>
            <w:tcW w:w="32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Interest-Bearing Deposits in Other Banks</w:t>
      </w:r>
    </w:p>
    <w:p>
      <w:pPr>
        <w:spacing w:after="0" w:line="20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Interest-bearing deposits in other banks decreased $32.7 million, or 28.1%, to $83.9 million at June 30, 2024 from $116.6 million at December 31, 2023. This decrease was primarily due to the funding of loans held for investment. Interest-bearing deposits have generally been the primary source of the liquidity we use to fund our operations. Aside from minimal balances held with our correspondent banks, the majority of our interest-bearing deposits are at the Federal Reserve.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use our securities portfolio to provide a source of liquidity, provide an appropriate return on funds invested, manage interest rate risk, meet collateral requirements and meet regulatory capital requirements.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classify investment securities as either held-to-maturity or available-for-sale based on our intentions and our ability to hold such securities until maturity. In determining such classifications, securities that we have the positive intent and the ability to hold until maturity are classified as held-to-maturity and carried at amortized cost. All other securities are designated as available-for-sale and carried at estimated fair value with unrealized gains and losses included in shareholders’ equity on an after-tax basis. For the periods presented, all securities were classified as held-to-maturity.</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contractual maturities and weighted average yields of investment securities held-to- maturity, at cost at June 30, 2024, and the amortized cost of those securities as of the indicated dates.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gridSpan w:val="7"/>
          </w:tcPr>
          <w:p>
            <w:pPr>
              <w:ind w:left="100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4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237"/>
        </w:trPr>
        <w:tc>
          <w:tcPr>
            <w:tcW w:w="4160" w:type="dxa"/>
            <w:vAlign w:val="bottom"/>
          </w:tcPr>
          <w:p>
            <w:pPr>
              <w:spacing w:after="0"/>
              <w:rPr>
                <w:sz w:val="20"/>
                <w:szCs w:val="20"/>
                <w:color w:val="auto"/>
              </w:rPr>
            </w:pPr>
          </w:p>
        </w:tc>
        <w:tc>
          <w:tcPr>
            <w:tcW w:w="3120" w:type="dxa"/>
            <w:vAlign w:val="bottom"/>
            <w:gridSpan w:val="4"/>
          </w:tcPr>
          <w:p>
            <w:pPr>
              <w:ind w:left="108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After One to Five Years</w:t>
            </w:r>
          </w:p>
        </w:tc>
      </w:tr>
      <w:tr>
        <w:trPr>
          <w:trHeight w:val="27"/>
        </w:trPr>
        <w:tc>
          <w:tcPr>
            <w:tcW w:w="41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4"/>
        </w:trPr>
        <w:tc>
          <w:tcPr>
            <w:tcW w:w="4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416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0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Yield</w:t>
            </w:r>
          </w:p>
        </w:tc>
      </w:tr>
      <w:tr>
        <w:trPr>
          <w:trHeight w:val="27"/>
        </w:trPr>
        <w:tc>
          <w:tcPr>
            <w:tcW w:w="4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60" w:type="dxa"/>
            <w:vAlign w:val="bottom"/>
            <w:tcBorders>
              <w:bottom w:val="single" w:sz="8" w:color="CCEEFF"/>
            </w:tcBorders>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360" w:type="dxa"/>
            <w:vAlign w:val="bottom"/>
          </w:tcPr>
          <w:p>
            <w:pPr>
              <w:spacing w:after="0"/>
              <w:rPr>
                <w:sz w:val="21"/>
                <w:szCs w:val="21"/>
                <w:color w:val="auto"/>
              </w:rPr>
            </w:pPr>
          </w:p>
        </w:tc>
        <w:tc>
          <w:tcPr>
            <w:tcW w:w="17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82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83"/>
        </w:trPr>
        <w:tc>
          <w:tcPr>
            <w:tcW w:w="4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shd w:val="clear" w:color="auto" w:fill="CCEEFF"/>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June 30, 2024</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After Ten Years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After Five to Ten Years Weighted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0" w:type="dxa"/>
            <w:vAlign w:val="bottom"/>
          </w:tcPr>
          <w:p>
            <w:pPr>
              <w:spacing w:after="0"/>
              <w:rPr>
                <w:sz w:val="1"/>
                <w:szCs w:val="1"/>
                <w:color w:val="auto"/>
              </w:rPr>
            </w:pPr>
          </w:p>
        </w:tc>
      </w:tr>
      <w:tr>
        <w:trPr>
          <w:trHeight w:val="23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8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1.3 %</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0.9 %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1.6 %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00" w:type="dxa"/>
            <w:vAlign w:val="bottom"/>
          </w:tcPr>
          <w:p>
            <w:pPr>
              <w:spacing w:after="0"/>
              <w:rPr>
                <w:sz w:val="21"/>
                <w:szCs w:val="21"/>
                <w:color w:val="auto"/>
              </w:rPr>
            </w:pPr>
          </w:p>
        </w:tc>
        <w:tc>
          <w:tcPr>
            <w:tcW w:w="146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99"/>
              </w:rPr>
              <w:t>1.8 %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1.4 %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9"/>
              </w:rPr>
              <w:t>1.5 %</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yield of investment securities is the sum of all interest that the investments generate, divided by the sum of the book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calls, sales or maturities of securities during the six months ended June 30, 2024 and June 30, 2023.</w:t>
      </w:r>
    </w:p>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At June 30, 2024, there were twenty securities, consisting of ten collateralized mortgage obligations and ten mortgage-backed securities, in an unrealized loss position at June 30, 2024 and nineteen securities, consisting of nine collateralized mortgage obligations and ten mortgage-backed securities, in an unrealized loss position as of December 31, 2023.</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Loan Portfolio Program Summary</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2480" w:type="dxa"/>
            <w:vAlign w:val="bottom"/>
            <w:shd w:val="clear" w:color="auto" w:fill="000000"/>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12"/>
        </w:trPr>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summarizes our gross loan portfolio held for investment by loan program as of the dates indicated:</w:t>
            </w:r>
          </w:p>
        </w:tc>
        <w:tc>
          <w:tcPr>
            <w:tcW w:w="1600" w:type="dxa"/>
            <w:vAlign w:val="bottom"/>
          </w:tcPr>
          <w:p>
            <w:pPr>
              <w:spacing w:after="0"/>
              <w:rPr>
                <w:sz w:val="24"/>
                <w:szCs w:val="24"/>
                <w:color w:val="auto"/>
              </w:rPr>
            </w:pPr>
          </w:p>
        </w:tc>
      </w:tr>
      <w:tr>
        <w:trPr>
          <w:trHeight w:val="445"/>
        </w:trPr>
        <w:tc>
          <w:tcPr>
            <w:tcW w:w="2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60" w:type="dxa"/>
            <w:vAlign w:val="bottom"/>
          </w:tcPr>
          <w:p>
            <w:pPr>
              <w:spacing w:after="0"/>
              <w:rPr>
                <w:sz w:val="24"/>
                <w:szCs w:val="24"/>
                <w:color w:val="auto"/>
              </w:rPr>
            </w:pPr>
          </w:p>
        </w:tc>
        <w:tc>
          <w:tcPr>
            <w:tcW w:w="288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2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4"/>
        </w:trPr>
        <w:tc>
          <w:tcPr>
            <w:tcW w:w="2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2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486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3"/>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249,281</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239,922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42,317</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38,123</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7"/>
        </w:trPr>
        <w:tc>
          <w:tcPr>
            <w:tcW w:w="4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17,861</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20,798</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3"/>
        </w:trPr>
        <w:tc>
          <w:tcPr>
            <w:tcW w:w="4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48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63"/>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 gross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414,341</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24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60" w:right="420" w:hanging="252"/>
        <w:spacing w:after="0" w:line="282" w:lineRule="auto"/>
        <w:tabs>
          <w:tab w:leader="none" w:pos="2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SBA loans as of June 30, 2024 and December 31, 2023 include $147.8 million and $131.7 million, respectively, of SBA 7(a) loan balances that are guaranteed by the SBA.</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manage our loan portfolio based on factors that include concentrations per loan program and aggregated portfolio, industry of operation and geographies. We also monitor the impact of identified and estimated losses on capital as well as the pricing characteristics of each product. The following provides a general description and the risk characteristics relevant to each of the business lines. Each loan is assigned a risk grade during the origination and closing process by credit administration personnel based on criteria described later in this section. We analyze the resulting ratings, as well as other external statistics and factors such as delinquency, to track the migration performance of the portfolio balances. This ratings analysis is performed at least quarterly.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SBA Loans</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originate and service loans partially guaranteed by the SBA under its Section 7(a) loan program for small businesses and professionals throughout the USA. Through our diversification efforts, we have built an SBA 7(a) portfolio that we believe positions us to better withstand economic shifts. For example, we focus on industries such as non-store retailers (e-commerce), ambulatory healthcare services, professional, scientific and technical services (including law firms), and merchant wholesalers.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and December 31, 2023, we had total SBA 7(a) loans of $249.3 million and $239.9 million, respectively, representing 60.2% and</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64.5% of our total loans held for investment, respectively. Loans are sourced primarily through our referral relationship with BFG. Although BFG actively markets throughout the USA, because of its physical location in the New York area we have developed a lending presence in the New York and New Jersey geographies. The maximum SBA 7(a) loan amount is $5 million. Underwriting is generally based on commercial credit metrics where the primary repayment source is borrower cash flow, secondary is personal guarantor cash flow and tertiary is the sale of collateral pledged. These loans may be secured by commercial and residential mortgages as well as liens on business assets. In addition to typical underwriting metrics, we review the nature of the business, use of proceeds, length of time in business and management experience to help us target loans that we believe have lower credit risk. The SBA 7(a) program generally provides 50%, 75%, 85% and 90% guarantees for eligible SBA 7(a) loans. The guaranty is conditional and covers a portion of the risk of payment default by the borrower, but not the risk of improper underwriting, closing or servicing by the lender. As such, prudent underwriting, closing and servicing processes are essential to effective utilization of the SBA 7(a) program. Historically, we have generally sold the SBA-guaranteed portion (typically 75% of the principal balance) of a majority of the loans we originate at a premium in the secondary market while retaining all servicing rights and the unguaranteed portion; however, beginning in 2020, we made the decision to drive interest income by retaining a larger amount of the guaranteed portion of these loans. In light of suppressed gain-on-sale premiums and increasing variable loan rates during 2023, we retained on our balance sheet a greater percentage of the guaranteed portion of certain SBA loans that we originated than we have historically, which we believe will benefit us through stronger government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guaranteed held for investment loan growth and an increased recurring stream of interest income and partially offset the decline in gain-on-sale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leases</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June 30, 2024 and December 31, 2023, we had total commercial leases of $56.5 million and $38.1 million, respectively, representing 13.7% and 10.2% of our total loans held for investment, respectively. Underwriting for smaller credit requests from customers is generally based on an internal credit scorecard, incorporating several customer and structure attributes including: severity and aging of delinquency; number of credit inquiries; LTV ratio; term; and payment-to-income ratio. We periodically update our underwriting scorecard, which can have an impact on our credit tier scoring. Underwriting for larger credit requests from customers is generally based on commercial credit metrics where the primary repayment source considered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also considerations. These leases are generally secured by liens on business assets leased or purchased with Company funds. Historically, we have retained these leases on our balance sheet for investment; however, we may sell leases to certain purchasers from time to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non-real estate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Commercial non-real estate loans consist of loans and leases made to commercial enterprises that are not secured by real estate. As of June 30, 2024 and December 31, 2023, we had total commercial non-real estate loans of $2.0 million and $2.5 million, respectively, representing 0.5% and 0.7% of our total loans held for investment, respectively. Any loan, lease, line of credit, or letter of credit (including any unfunded commitments) and any interest obtained in such loans made by another lender to individuals, sole proprietorships, partnerships, corporations, or other business enterprises for commercial, industrial, agricultural, or professional purposes, not secured by real estate, but not for personal expenditure purposes are included in this category. For example, commercial vehicle term loans and commercial working capital term loans.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These loans are generally secured by liens on business assets. Historically, we have retained these loans on our balance sheet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Residential real estate</w:t>
      </w:r>
    </w:p>
    <w:p>
      <w:pPr>
        <w:spacing w:after="0" w:line="20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Residential real estate loans include construction, lot and land development loans that are for the purpose of acquisition and development of property to be improved through the construction of residential buildings, and loans secured by other residential real estate. As of June 30, 2024 and December 31, 2023, we had total residential real estate loans of $42.3 million and $38.1 million, respectively, representing 10.2% and 10.2% of our total loans held for investment, respectively. Construction loans are usually paid off through the conversion to permanent financing from third-party lending institutions. Lot loans may be paid off as the borrower converts to a construction loan. At the completion of the construction project, if the loan is converted to permanent financing by us or if scheduled loan amortization begins, it is then reclassified from construction to single-family dwelling. Underwriting of construction and development loans typically includes analysis of not only the borrower’s financial condition and ability to meet the required debt obligations, but also the general market conditions associated with the area and type of project being funded. These loans are generally secured by mortgages for residential property located primarily in the Salt Lake City, Utah MSA, and we obtain guarantees from responsible parties. Historically, we have retained these loans on our balance sheet for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Strategic Program loans</w:t>
      </w:r>
    </w:p>
    <w:p>
      <w:pPr>
        <w:spacing w:after="0" w:line="18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through our Strategic Program service providers, issue, on a nationwide basis, unsecured consumer and secured or unsecured business loans to borrowers within certain approved credit profiles. Although we have generally sold most of these loans, we may choose to hold more of the funded loans and/or receivables based on a number of factors including the amount of our available capital. As of June 30, 2024 and December 31, 2023, we had total Strategic Program loans held for investment of $17.9 million and $19.4 million, respectively, representing 4.3% and 5.2% of our total loans held for investment, respectively. Loans originated through these programs are limited to predetermined Bank underwriting criterion, which has been approved by our board of directors. The primary form of repayment on these loans is from personal or business cash flow. Business loans may be secured by liens on business assets, as applicable. We reserve the right to sell any portion of funded loans and/or receivables directly to the Strategic Program service providers or other</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investors. We generally retain the legal right to service all these loans, but contract with the Strategic Program service provider or another approved sub-servicer to service these loans on our behalf.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real estate</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Commercial real estate loans include loans to individuals, sole proprietors, partnerships, corporations, or other business enterprises for commercial, industrial, agricultural, or professional purposes, secured by real estate, but not for personal expenditure purposes. As of June 30, 2024 and December 31, 2023, we had total commercial real estate loans of $30.5 million and $22.8 million, respectively, representing 7.4% and 6.1% of our total loans held for investment, respectively. Of these amounts, $28.3 million and $20.8 million represented owner occupied properties as of June 30, 2024 and December 31, 2023, respectively. Underwriting is generally based on commercial credit metrics where the primary repayment source is borrower cash flow, secondary is personal guarantor cash flow (when applicable) and tertiary is the sale of collateral pledged. The nature of the business, use of proceeds, length of time in business, management experience, repayment ability, credit history, ratio calculations and assessment of collateral adequacy are all considerations. In addition to real estate, these loans may also be secured by liens on business assets. Historically, we have retained these loans on our balance sheet for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Consumer</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Consumer lending provides financing for personal, family, or household purposes on a nationwide basis. Most of these loans are originated through our POS platform and come from a variety of sources, including other approved merchant or dealer relationships and lending platforms. As of June 30, 2024 and December 31, 2023, we had total consumer loans of $15.9 million and $11.4 million, respectively, representing 3.8% and 3.1% of our total loans held for investment, respectively. We use a debt-to-income (“DTI”) ratio to determine whether an applicant will be able to service the debt. The DTI ratio compares the applicant’s anticipated monthly expenses and total monthly obligations to the applicant’s monthly gross income. Our policy is to limit the DTI ratio to 45% after calculating interest payments related to the new loan. Loan officers, at their discretion, may make exceptions to this ratio if the loan is within their authorized lending limit. DTI ratios of no more than 50% may be approved subject to an increase in interest rate. Strong offsetting factors such as higher discretionary income or large down payments are used to justify exceptions to these guidelines. All exceptions are documented and reported. While the loans are generally for the purchase of goods which may afford us a purchase money security interest, they are underwritten as if they were unsecured. On larger loans, we may file a Uniform Commercial Code financing form. Historically, we have retained these loans on our balance sheet for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Maturity and Sensitivity to Changes in Interest Rates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June 30, 2024, $231.4 million, or 55.8%, of the total held for investment loan balance matures in less than five years. Loans maturing in greater than five years totaled $183.0 million, or 44.2%, as of June 30, 2024. The variable rate portion of our total held for investment loan portfolio at June 30, 2024 was $302.3 million, or 72.9%. As of December 31, 2023, $196.0 million, or 52.7%, of the total held for investment loan balance matures in less than five years. Loans maturing in greater than five years totaled $176.2 million as of December 31, 2023. The variable rate portion of our total held for investment loan portfolio at December 31, 2023 was $300.3 million, or 80.7%.</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maturities and sensitivity to interest rate changes for our loan portfolio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After One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After Five</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 and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Years and</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2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Fifteen Years</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14,774</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62,008</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78,236</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117,755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91,128</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140,244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580" w:type="dxa"/>
            <w:vAlign w:val="bottom"/>
          </w:tcPr>
          <w:p>
            <w:pPr>
              <w:spacing w:after="0"/>
              <w:rPr>
                <w:sz w:val="20"/>
                <w:szCs w:val="20"/>
                <w:color w:val="auto"/>
              </w:rPr>
            </w:pPr>
          </w:p>
        </w:tc>
        <w:tc>
          <w:tcPr>
            <w:tcW w:w="5200" w:type="dxa"/>
            <w:vAlign w:val="bottom"/>
            <w:gridSpan w:val="8"/>
          </w:tcPr>
          <w:p>
            <w:pPr>
              <w:ind w:left="94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After Fifteen Years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360" w:type="dxa"/>
            <w:vAlign w:val="bottom"/>
          </w:tcPr>
          <w:p>
            <w:pPr>
              <w:spacing w:after="0"/>
              <w:rPr>
                <w:sz w:val="20"/>
                <w:szCs w:val="20"/>
                <w:color w:val="auto"/>
              </w:rPr>
            </w:pPr>
          </w:p>
        </w:tc>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5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7.43 %</w:t>
            </w: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5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0" w:type="dxa"/>
            <w:vAlign w:val="bottom"/>
          </w:tcPr>
          <w:p>
            <w:pPr>
              <w:spacing w:after="0"/>
              <w:rPr>
                <w:sz w:val="1"/>
                <w:szCs w:val="1"/>
                <w:color w:val="auto"/>
              </w:rPr>
            </w:pPr>
          </w:p>
        </w:tc>
      </w:tr>
      <w:tr>
        <w:trPr>
          <w:trHeight w:val="237"/>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5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5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5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5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5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5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5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58,668</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59,755</w:t>
            </w: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414,341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80" w:type="dxa"/>
            <w:vAlign w:val="bottom"/>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After Five</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and</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Years and</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Through</w:t>
            </w: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Five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Fifteen</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Yield/Rate</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0" w:type="dxa"/>
            <w:vAlign w:val="bottom"/>
          </w:tcPr>
          <w:p>
            <w:pPr>
              <w:spacing w:after="0"/>
              <w:rPr>
                <w:sz w:val="1"/>
                <w:szCs w:val="1"/>
                <w:color w:val="auto"/>
              </w:rPr>
            </w:pPr>
          </w:p>
        </w:tc>
      </w:tr>
      <w:tr>
        <w:trPr>
          <w:trHeight w:val="27"/>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5.79 %</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62,367</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14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41,922</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68,074</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109,785</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78,853</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117,162</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113,095</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10.48 %</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0" w:type="dxa"/>
            <w:vAlign w:val="bottom"/>
          </w:tcPr>
          <w:p>
            <w:pPr>
              <w:spacing w:after="0"/>
              <w:rPr>
                <w:sz w:val="20"/>
                <w:szCs w:val="20"/>
                <w:color w:val="auto"/>
              </w:rPr>
            </w:pPr>
          </w:p>
        </w:tc>
        <w:tc>
          <w:tcPr>
            <w:tcW w:w="5460" w:type="dxa"/>
            <w:vAlign w:val="bottom"/>
            <w:gridSpan w:val="8"/>
          </w:tcPr>
          <w:p>
            <w:pPr>
              <w:ind w:left="1200"/>
              <w:spacing w:after="0"/>
              <w:rPr>
                <w:sz w:val="20"/>
                <w:szCs w:val="20"/>
                <w:color w:val="auto"/>
              </w:rPr>
            </w:pPr>
            <w:r>
              <w:rPr>
                <w:rFonts w:ascii="Times New Roman" w:cs="Times New Roman" w:eastAsia="Times New Roman" w:hAnsi="Times New Roman"/>
                <w:sz w:val="18"/>
                <w:szCs w:val="18"/>
                <w:b w:val="1"/>
                <w:bCs w:val="1"/>
                <w:color w:val="auto"/>
              </w:rPr>
              <w:t>Remaining Contractual Maturity Held for Investment</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Fifteen</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Yield/Rate</w:t>
            </w:r>
          </w:p>
        </w:tc>
        <w:tc>
          <w:tcPr>
            <w:tcW w:w="360" w:type="dxa"/>
            <w:vAlign w:val="bottom"/>
          </w:tcPr>
          <w:p>
            <w:pPr>
              <w:spacing w:after="0"/>
              <w:rPr>
                <w:sz w:val="20"/>
                <w:szCs w:val="20"/>
                <w:color w:val="auto"/>
              </w:rPr>
            </w:pPr>
          </w:p>
        </w:tc>
        <w:tc>
          <w:tcPr>
            <w:tcW w:w="17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Fixed rate loans:</w:t>
            </w: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SBA</w:t>
            </w:r>
            <w:r>
              <w:rPr>
                <w:rFonts w:ascii="Times New Roman" w:cs="Times New Roman" w:eastAsia="Times New Roman" w:hAnsi="Times New Roman"/>
                <w:sz w:val="11"/>
                <w:szCs w:val="11"/>
                <w:color w:val="auto"/>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237"/>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fixed rate loans</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rate loans:</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SBA</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78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non-real estate</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3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Subtotal variable rate loans</w:t>
            </w: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10.42 %</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63,105</w:t>
            </w:r>
          </w:p>
        </w:tc>
        <w:tc>
          <w:tcPr>
            <w:tcW w:w="1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10.43 %</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contractually due. Loans are placed on nonaccrual status when, in management’s opinion, the borrower may be unable to meet payment obligations as they become due, as well as when required by regulatory provisions. Loans may be placed on nonaccrual status regardless of whether such loans are actually past due. In general, we place loans on nonaccrual status when they become 90 days past due. We also generally place loans on nonaccrual status if they are less than 90 days past due if the collection of principal or interest is in doubt. When interest accrual is discontinued, all unpaid accrued interest is reversed from income. Interest income is subsequently recognized only to the extent recoveries received (either from payments received from the customer, derived from the disposition of collateral or from legal action, such as judgment enforcement) exceed liquidation expenses incurred and outstanding principal.</w:t>
      </w:r>
    </w:p>
    <w:p>
      <w:pPr>
        <w:spacing w:after="0" w:line="14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 non-accrual asset may be restored to accrual status when (1) none of its principal and interest is due and unpaid, and we expect repayment of the remaining contractual principal and interest, or (2) when asset otherwise becomes well secured and is not in the process of collection.</w:t>
      </w:r>
    </w:p>
    <w:p>
      <w:pPr>
        <w:spacing w:after="0" w:line="13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Any loan which we deem to be uncollectible, in whole or in part, is charged off to the extent of the anticipated loss. In general, loans that are past due for 90 days or more are charged off unless the loan is both well secured and in the process of collection. We believe our disciplined lending approach and focused management of nonperforming assets has resulted in sound asset quality and timely resolution of problem assets. We have several procedures in place to assist us in maintaining the overall quality of our loan portfolio. We have established underwriting guidelines to be followed by our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loan officers, and we also monitor our delinquency levels for any negative or adverse trends. There can be no assurance, however, that our loan portfolio will not become subject to increasing pressures from deteriorating borrower credit due to general economic conditions.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had a total of $27.9 million in nonperforming assets which included $0.9 million in material loan modifications at June 30, 2024. The amount of nonperforming assets as of June 30, 2024 includes $16.0 million of SBA 7(a) loan balances that are guaranteed by the SBA. We had $27.1 million in nonperforming assets which included $0.4 million in material loan modifications at December 31, 2023. The amount of nonperforming assets as of December 31, 2023 includes $15.0 million of SBA 7(a) loan balances that are guaranteed by the SBA. The increase in nonperforming assets and material loan modifications from the prior period was primarily attributable to several loans in the SBA 7(a) loan portfolio moving to nonperforming status. Due to elevated interest rates, the slowdown of consumer spending and the variable rate nature of our SBA portfolio, the risk of default is elevated and may result in additional delinquencies in future periods.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Profile</w:t>
      </w:r>
    </w:p>
    <w:p>
      <w:pPr>
        <w:spacing w:after="0" w:line="20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believe that we underwrite loans carefully and thoroughly, limiting our lending activities to those products and services where we have the resources and expertise to lend profitably without undue credit risk. We require all loans to conform to policy (or otherwise be identified as exceptions to policy and monitored and reported on, at minimum, quarterly) and be granted on a sound basis. Loans are made with a primary emphasis on loan profitability, credit risk and concentration exposures.</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proactive in our approach to identifying and resolving problem loans and are focused on working with the borrowers and guarantors of problem loans to provide loan modifications when warranted. When considering how to best diversify our loan portfolio, we consider several factors including our aggregate and product-line specific concentration risks, our business line expertise, and the ability of our infrastructure to appropriately support the product. While certain product lines generate higher net charge-offs, our exposure is carefully monitored and mitigated by our concentration policies and reserved for by the loan loss allowance we maintain. Specifically, retention of certain Strategic Program loans with higher default rates accounts for a disproportionate amount of our charge-offs. In addition to our oversight of the credit policies and processes associated with these programs, we limit within our concentration policies the aggregate exposure of these loans as a percentage of the total loan portfolio, carefully monitor certain vintage loss-indicative factors such as first payment default and marketing channels, and appropriately provision for these balances so that the cumulative charge-off rates remain consistent with management expectations. While the level of nonperforming assets fluctuates in response to changing economic and market conditions, the relative size and composition of the loan portfolio, and our management’s degree of success in resolving problem assets, we believe our proactive stance to early identification and intervention is the key to successfully managing our loan portfolio.</w:t>
      </w:r>
    </w:p>
    <w:p>
      <w:pPr>
        <w:spacing w:after="0" w:line="15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Accurate and timely loan risk grading is considered a critical component of an effective credit risk management system. Loan grades take into consideration the borrower’s financial condition, industry trends, and the economic environment. Loan risk grades are changed as necessary to reflect the risk inherent in the loan. Among other things, we use loan risk grading information for loan pricing, risk and collection management and determining monthly credit loss reserve adequacy. Further, on a quarterly basis, the Loan Committee holds a Loan Risk Grade meeting, wherein all loans in our portfolio are reviewed for accurate risk grading. Any changes are made after the Loan Risk Grade meeting to provide for accurate reporting. Reporting is achieved in Loan Committee minutes, which minutes are reviewed by the Board. We supplement credit department supervision of the loan underwriting, approval, closing, servicing and risk grading process with periodic loan reviews by risk department personnel specific to the testing of controls.</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use a grading system to rank the quality of each loan. The grade is periodically evaluated and adjusted as performance dictates. Internal loan grades are based on current financial information, historical payment experience, and credit documentation, among other factors. The following guidelines govern the assignment of these risk grades. We do not currently grade Strategic Program loans held for investment due to their small balances and homogenous nature. As credit quality for Strategic Program loans have been highly correlated with delinquency levels, the Strategic Program loans are evaluated collectively for impairment.</w:t>
      </w:r>
    </w:p>
    <w:p>
      <w:pPr>
        <w:spacing w:after="0" w:line="143" w:lineRule="exact"/>
        <w:rPr>
          <w:sz w:val="20"/>
          <w:szCs w:val="20"/>
          <w:color w:val="auto"/>
        </w:rPr>
      </w:pPr>
    </w:p>
    <w:p>
      <w:pPr>
        <w:ind w:right="340"/>
        <w:spacing w:after="0" w:line="360" w:lineRule="auto"/>
        <w:rPr>
          <w:sz w:val="20"/>
          <w:szCs w:val="20"/>
          <w:color w:val="auto"/>
        </w:rPr>
      </w:pPr>
      <w:r>
        <w:rPr>
          <w:rFonts w:ascii="Times New Roman" w:cs="Times New Roman" w:eastAsia="Times New Roman" w:hAnsi="Times New Roman"/>
          <w:sz w:val="18"/>
          <w:szCs w:val="18"/>
          <w:color w:val="auto"/>
        </w:rPr>
        <w:t>Pass - A Pass asset is higher quality and does not fit any of the other categories described below. The likelihood of loss is believed to be remote. Watch – A Watch asset may be a larger loan or one that places a heavier reliance on collateral due to the relative financial strength of the borrower. The</w:t>
      </w: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assets may be maintenance intensive requiring closer monitoring. The obligor is believed to have an adequate primary source of repayment. New loans pursuant to the SBA 7(a) program are classified as watch loans until they have a demonstrated period of satisfactory performance, typically 18 months.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Special Mention – A Special Mention asset has potential weaknesses that may be temporary or, if left uncorrected, may result in a loss. While concerns exist, we believe that it is currently protected against a default and loss is considered unlikely and not imminent.</w:t>
      </w:r>
    </w:p>
    <w:p>
      <w:pPr>
        <w:spacing w:after="0" w:line="12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Substandard – A Substandard asset is believed to be inadequately protected by the current sound worth and paying capacity of the obligor or of the collateral pledged, if any. Assets so classified have identified weaknesses and are characterized by the possibility that we may sustain some loss if deficiencies are not corrected.</w:t>
      </w:r>
    </w:p>
    <w:p>
      <w:pPr>
        <w:spacing w:after="0" w:line="13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Not Rated - For certain Strategic Program and consumer loans, we do not evaluate and risk rate the loans in the same manner as other loans in our portfolio. The Not Rated loans are typically homogenous, smaller dollar balances approved using abridged underwriting methods that allow us to streamline the loan approval process and increase efficiency</w:t>
      </w:r>
      <w:r>
        <w:rPr>
          <w:rFonts w:ascii="Calibri" w:cs="Calibri" w:eastAsia="Calibri" w:hAnsi="Calibri"/>
          <w:sz w:val="19"/>
          <w:szCs w:val="19"/>
          <w:color w:val="auto"/>
        </w:rPr>
        <w:t>.</w:t>
      </w:r>
      <w:r>
        <w:rPr>
          <w:rFonts w:ascii="Times New Roman" w:cs="Times New Roman" w:eastAsia="Times New Roman" w:hAnsi="Times New Roman"/>
          <w:sz w:val="18"/>
          <w:szCs w:val="18"/>
          <w:color w:val="auto"/>
        </w:rPr>
        <w:t xml:space="preserve"> Credit quality for Strategic Program loans has been highly correlated with delinquency levels.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98"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 xml:space="preserve">We adopted Financial Accounting Standards Board Accounting Standards Update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commonly referred to as the “CECL model,” on January 1, 2023.</w:t>
      </w:r>
    </w:p>
    <w:p>
      <w:pPr>
        <w:spacing w:after="0" w:line="12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estimate of credit loss incorporates assumptions for both the likelihood and amount of funding over the estimated life of the commitments, including adjustments for current conditions and reasonable and supportable forecasts. Management periodically reviews and updates its assumptions for estimated funding rates. Our judgment in determining the adequacy of the allowance is inherently subjective as it requires estimates that are susceptible to significant revision as more information becomes available and as situations and information change. We evaluate the ACL on at least a quarterly basis and take into consideration such factors as changes in the nature and volume of the loan portfolio, overall portfolio quality, review of specific problem loans and current economic conditions and trends that may affect the borrower’s ability to repay. The quality of the loan portfolio and the adequacy of the ACL is reviewed by regulatory examinations and our auditors.</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losses are charged against the ACL when we believe that the collectability of the principal loan balance is unlikely. Subsequent recoveries, if any, are credited to the ACL when received. The amortized cost basis of loans does not include accrued interest receivable, which is included in "accrued interest receivable" on the consolidated balance sheets. The “provision for credit losses” on the consolidated statements of income is a combination of the provision for credit losses and the provision for unfunded loan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summary of changes in the ACL for the periods and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0" w:type="dxa"/>
            <w:vAlign w:val="bottom"/>
          </w:tcPr>
          <w:p>
            <w:pPr>
              <w:spacing w:after="0"/>
              <w:rPr>
                <w:sz w:val="1"/>
                <w:szCs w:val="1"/>
                <w:color w:val="auto"/>
              </w:rPr>
            </w:pPr>
          </w:p>
        </w:tc>
      </w:tr>
      <w:tr>
        <w:trPr>
          <w:trHeight w:val="27"/>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ACL:</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11,985</w:t>
            </w: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ASU 2016-13 adoption</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beginning balance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Charge-offs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Recoveries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Owner occupied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Non-owner occupied</w:t>
            </w:r>
          </w:p>
        </w:tc>
        <w:tc>
          <w:tcPr>
            <w:tcW w:w="16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ASU 2016-13 (CECL) was adopted January 1, 2023.</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show the allocation of the ACL as of June 30, 2024 and December 31, 2023. The ACL related to Strategic Programs constitutes</w:t>
      </w:r>
    </w:p>
    <w:p>
      <w:pPr>
        <w:spacing w:after="0" w:line="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45.3% and 54.8% of the total ACL while comprising 4.3% and 5.2%, respectively, of total loans held for investment as of June 30, 2024 and December 31, 2023, respectively. The percentage of ACL related to Strategic Program loans retained reflects the increased credit risks associated with certain retained Strategic Program loans.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40" w:type="dxa"/>
            <w:vAlign w:val="bottom"/>
            <w:gridSpan w:val="3"/>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500" w:type="dxa"/>
            <w:vAlign w:val="bottom"/>
          </w:tcPr>
          <w:p>
            <w:pPr>
              <w:spacing w:after="0"/>
              <w:rPr>
                <w:sz w:val="20"/>
                <w:szCs w:val="20"/>
                <w:color w:val="auto"/>
              </w:rPr>
            </w:pPr>
          </w:p>
        </w:tc>
      </w:tr>
      <w:tr>
        <w:trPr>
          <w:trHeight w:val="27"/>
        </w:trPr>
        <w:tc>
          <w:tcPr>
            <w:tcW w:w="4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4"/>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740" w:type="dxa"/>
            <w:vAlign w:val="bottom"/>
          </w:tcPr>
          <w:p>
            <w:pPr>
              <w:spacing w:after="0"/>
              <w:rPr>
                <w:sz w:val="20"/>
                <w:szCs w:val="20"/>
                <w:color w:val="auto"/>
              </w:rPr>
            </w:pPr>
          </w:p>
        </w:tc>
        <w:tc>
          <w:tcPr>
            <w:tcW w:w="38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7"/>
        </w:trPr>
        <w:tc>
          <w:tcPr>
            <w:tcW w:w="4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31.2 %</w:t>
            </w:r>
          </w:p>
        </w:tc>
      </w:tr>
      <w:tr>
        <w:trPr>
          <w:trHeight w:val="24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7"/>
        </w:trPr>
        <w:tc>
          <w:tcPr>
            <w:tcW w:w="4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13,127</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gridSpan w:val="3"/>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500" w:type="dxa"/>
            <w:vAlign w:val="bottom"/>
          </w:tcPr>
          <w:p>
            <w:pPr>
              <w:spacing w:after="0"/>
              <w:rPr>
                <w:sz w:val="24"/>
                <w:szCs w:val="24"/>
                <w:color w:val="auto"/>
              </w:rPr>
            </w:pPr>
          </w:p>
        </w:tc>
      </w:tr>
      <w:tr>
        <w:trPr>
          <w:trHeight w:val="27"/>
        </w:trPr>
        <w:tc>
          <w:tcPr>
            <w:tcW w:w="41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14"/>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4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00" w:type="dxa"/>
            <w:vAlign w:val="bottom"/>
          </w:tcPr>
          <w:p>
            <w:pPr>
              <w:jc w:val="center"/>
              <w:ind w:right="99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740" w:type="dxa"/>
            <w:vAlign w:val="bottom"/>
          </w:tcPr>
          <w:p>
            <w:pPr>
              <w:spacing w:after="0"/>
              <w:rPr>
                <w:sz w:val="20"/>
                <w:szCs w:val="20"/>
                <w:color w:val="auto"/>
              </w:rPr>
            </w:pPr>
          </w:p>
        </w:tc>
        <w:tc>
          <w:tcPr>
            <w:tcW w:w="38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500" w:type="dxa"/>
            <w:vAlign w:val="bottom"/>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9"/>
              </w:rPr>
              <w:t>Allowance</w:t>
            </w:r>
          </w:p>
        </w:tc>
      </w:tr>
      <w:tr>
        <w:trPr>
          <w:trHeight w:val="27"/>
        </w:trPr>
        <w:tc>
          <w:tcPr>
            <w:tcW w:w="4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74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r>
      <w:tr>
        <w:trPr>
          <w:trHeight w:val="243"/>
        </w:trPr>
        <w:tc>
          <w:tcPr>
            <w:tcW w:w="4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4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leases</w:t>
            </w:r>
          </w:p>
        </w:tc>
        <w:tc>
          <w:tcPr>
            <w:tcW w:w="7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740" w:type="dxa"/>
            <w:vAlign w:val="bottom"/>
          </w:tcPr>
          <w:p>
            <w:pPr>
              <w:spacing w:after="0"/>
              <w:rPr>
                <w:sz w:val="21"/>
                <w:szCs w:val="21"/>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r>
      <w:tr>
        <w:trPr>
          <w:trHeight w:val="27"/>
        </w:trPr>
        <w:tc>
          <w:tcPr>
            <w:tcW w:w="4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88"/>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12,888</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loans held for investment (“LHFI”), nonaccrual loans to total loans held for investment, and the ACL to nonaccrual loans by CECL loan category as of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ACL to Total</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000" w:type="dxa"/>
            <w:vAlign w:val="bottom"/>
          </w:tcPr>
          <w:p>
            <w:pPr>
              <w:spacing w:after="0"/>
              <w:rPr>
                <w:sz w:val="20"/>
                <w:szCs w:val="20"/>
                <w:color w:val="auto"/>
              </w:rPr>
            </w:pPr>
          </w:p>
        </w:tc>
        <w:tc>
          <w:tcPr>
            <w:tcW w:w="17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LHFI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72.2 %</w:t>
            </w: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43"/>
        </w:trPr>
        <w:tc>
          <w:tcPr>
            <w:tcW w:w="5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368.5 %</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4"/>
        </w:trPr>
        <w:tc>
          <w:tcPr>
            <w:tcW w:w="5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24"/>
                <w:szCs w:val="24"/>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shd w:val="clear" w:color="auto" w:fill="CCEEFF"/>
          </w:tcPr>
          <w:p>
            <w:pPr>
              <w:spacing w:after="0"/>
              <w:rPr>
                <w:sz w:val="24"/>
                <w:szCs w:val="24"/>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ratios of the ACL to total loans held for investment, nonaccrual loans to total loans held for investment, and the ACL to nonaccrual loans by loan category as of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ACL to</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Nonaccrual Loans</w:t>
            </w:r>
          </w:p>
        </w:tc>
        <w:tc>
          <w:tcPr>
            <w:tcW w:w="23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ACL to</w:t>
            </w: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Total LHFI</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Total LHFI</w:t>
            </w:r>
          </w:p>
        </w:tc>
        <w:tc>
          <w:tcPr>
            <w:tcW w:w="23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Nonaccrual Loans</w:t>
            </w:r>
          </w:p>
        </w:tc>
      </w:tr>
      <w:tr>
        <w:trPr>
          <w:trHeight w:val="27"/>
        </w:trPr>
        <w:tc>
          <w:tcPr>
            <w:tcW w:w="40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1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r>
        <w:trPr>
          <w:trHeight w:val="27"/>
        </w:trPr>
        <w:tc>
          <w:tcPr>
            <w:tcW w:w="4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1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1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43"/>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1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
        </w:trPr>
        <w:tc>
          <w:tcPr>
            <w:tcW w:w="4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128.2 %</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1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16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16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80" w:type="dxa"/>
            <w:vAlign w:val="bottom"/>
          </w:tcPr>
          <w:p>
            <w:pPr>
              <w:spacing w:after="0"/>
              <w:rPr>
                <w:sz w:val="21"/>
                <w:szCs w:val="21"/>
                <w:color w:val="auto"/>
              </w:rPr>
            </w:pPr>
          </w:p>
        </w:tc>
        <w:tc>
          <w:tcPr>
            <w:tcW w:w="2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0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88"/>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Borders>
              <w:bottom w:val="single" w:sz="8" w:color="CCEEFF"/>
            </w:tcBorders>
            <w:shd w:val="clear" w:color="auto" w:fill="CCEEFF"/>
          </w:tcPr>
          <w:p>
            <w:pPr>
              <w:spacing w:after="0"/>
              <w:rPr>
                <w:sz w:val="24"/>
                <w:szCs w:val="24"/>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bottom w:val="single" w:sz="8" w:color="CCEEFF"/>
            </w:tcBorders>
            <w:shd w:val="clear" w:color="auto" w:fill="CCEEFF"/>
          </w:tcPr>
          <w:p>
            <w:pPr>
              <w:spacing w:after="0"/>
              <w:rPr>
                <w:sz w:val="24"/>
                <w:szCs w:val="24"/>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When comparing June 30, 2024 to December 31, 2023, the decrease in ACL to total loans held for investment for the periods presented above was primarily due to the reduction in Strategic Program loans held for investment. The decrease in nonaccrual loans to loans held for investment as shown above was primarily due to the growth in the loans held for investment portfolio. The decrease in the ACL to nonaccrual loans ratio as shown above primarily pertained to growth in the nonaccrual loans exceeding the growth in the ACL.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0"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charge-offs (“NCO”), average loans and the ratio of NCO to average loans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220" w:type="dxa"/>
            <w:vAlign w:val="bottom"/>
          </w:tcPr>
          <w:p>
            <w:pPr>
              <w:spacing w:after="0"/>
              <w:rPr>
                <w:sz w:val="20"/>
                <w:szCs w:val="20"/>
                <w:color w:val="auto"/>
              </w:rPr>
            </w:pPr>
          </w:p>
        </w:tc>
        <w:tc>
          <w:tcPr>
            <w:tcW w:w="4080" w:type="dxa"/>
            <w:vAlign w:val="bottom"/>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r>
      <w:tr>
        <w:trPr>
          <w:trHeight w:val="27"/>
        </w:trPr>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NCO to</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NCO to</w:t>
            </w: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Offs</w:t>
            </w:r>
          </w:p>
        </w:tc>
        <w:tc>
          <w:tcPr>
            <w:tcW w:w="2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25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55,129</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16,643</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43.4 %</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400,929</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282,686</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14"/>
        </w:trPr>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gridSpan w:val="7"/>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Pr>
          <w:p>
            <w:pPr>
              <w:spacing w:after="0"/>
              <w:rPr>
                <w:sz w:val="24"/>
                <w:szCs w:val="24"/>
                <w:color w:val="auto"/>
              </w:rPr>
            </w:pPr>
          </w:p>
        </w:tc>
        <w:tc>
          <w:tcPr>
            <w:tcW w:w="4080" w:type="dxa"/>
            <w:vAlign w:val="bottom"/>
            <w:gridSpan w:val="6"/>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7"/>
        </w:trPr>
        <w:tc>
          <w:tcPr>
            <w:tcW w:w="2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4"/>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NCO to</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NCO to</w:t>
            </w:r>
          </w:p>
        </w:tc>
      </w:tr>
      <w:tr>
        <w:trPr>
          <w:trHeight w:val="216"/>
        </w:trPr>
        <w:tc>
          <w:tcPr>
            <w:tcW w:w="2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Charge-</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8"/>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Offs</w:t>
            </w:r>
          </w:p>
        </w:tc>
        <w:tc>
          <w:tcPr>
            <w:tcW w:w="24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Offs</w:t>
            </w:r>
          </w:p>
        </w:tc>
        <w:tc>
          <w:tcPr>
            <w:tcW w:w="22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Loans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Loans</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25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Construction and land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41"/>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53,959</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multifamily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Owner occupied</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2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Non-owner occupied</w:t>
            </w:r>
          </w:p>
        </w:tc>
        <w:tc>
          <w:tcPr>
            <w:tcW w:w="22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16,074</w:t>
            </w:r>
          </w:p>
        </w:tc>
        <w:tc>
          <w:tcPr>
            <w:tcW w:w="100" w:type="dxa"/>
            <w:vAlign w:val="bottom"/>
          </w:tcPr>
          <w:p>
            <w:pPr>
              <w:spacing w:after="0"/>
              <w:rPr>
                <w:sz w:val="21"/>
                <w:szCs w:val="21"/>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7"/>
        </w:trPr>
        <w:tc>
          <w:tcPr>
            <w:tcW w:w="2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financing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Program loans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22,118</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r>
      <w:tr>
        <w:trPr>
          <w:trHeight w:val="27"/>
        </w:trPr>
        <w:tc>
          <w:tcPr>
            <w:tcW w:w="2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8"/>
        </w:trPr>
        <w:tc>
          <w:tcPr>
            <w:tcW w:w="2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392,561</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271,095</w:t>
            </w:r>
          </w:p>
        </w:tc>
        <w:tc>
          <w:tcPr>
            <w:tcW w:w="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total ratio of NCO to average loans outstanding was lower during the three months ended June 30, 2024 as compared to the three months ended June 30, 2023, primarily due to the increase in our average loans held for investment as well as the decrease in net charge-offs. When comparing the six months ended June 30, 2024 to June 30, 2023, the decrease in the total ratio of NCO to average loans outstanding was primarily due to the increase in our average loans held for investment.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Assets</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Total assets at June 30, 2024 were $617.8 million, an increase of $31.6 million from December 31, 2023. The increase in total assets was due primarily to the net increase in loans receivable, net, of $40.0 million mainly attributable to the growth in our commercial lease, SBA and commercial real estate - owner occupied, and Strategic Program loans held-for-sale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$19.0 million. These increases were partially offset by a decrease in interest-bearing deposits in other banks of $28.0 million used to fund our Strategic Program loans held-for-sale portfolio.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Deposits are the major source of funding for us. We offer a variety of deposit products including interest and noninterest bearing demand accounts, HSA demand deposits sourced through Lively, Inc., money market and savings accounts and certificates of deposit, all of which we market at competitive pricing. We generate deposits from our customers on a relationship basis and through access to national Institutional and brokered deposit sources. We also generate deposits in relation to our Strategic Programs in the form of reserve accounts as discussed above. These deposits add an element of flexibility in that they tend to increase or decrease in relation to the size of or Strategic Program loan portfolio. In addition to the reserve account, some Strategic Program loan originators maintain operating deposit accounts with us.</w:t>
      </w:r>
    </w:p>
    <w:p>
      <w:pPr>
        <w:spacing w:after="0" w:line="16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end of period and average balances of our deposit portfolio for the periods indicated (average balances have been calculated using daily averages):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Period end:</w:t>
            </w: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254,259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238,995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59.0 %</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period end deposits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429,195</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100.1 %</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404,833</w:t>
            </w: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4"/>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rate paid</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of total</w:t>
            </w:r>
          </w:p>
        </w:tc>
        <w:tc>
          <w:tcPr>
            <w:tcW w:w="0" w:type="dxa"/>
            <w:vAlign w:val="bottom"/>
          </w:tcPr>
          <w:p>
            <w:pPr>
              <w:spacing w:after="0"/>
              <w:rPr>
                <w:sz w:val="1"/>
                <w:szCs w:val="1"/>
                <w:color w:val="auto"/>
              </w:rPr>
            </w:pPr>
          </w:p>
        </w:tc>
      </w:tr>
      <w:tr>
        <w:trPr>
          <w:trHeight w:val="27"/>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Average:</w:t>
            </w: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deposits</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Interest-bearing deposits: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Demand</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47,900</w:t>
            </w:r>
          </w:p>
        </w:tc>
        <w:tc>
          <w:tcPr>
            <w:tcW w:w="14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47,784</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10,270</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0.65 %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4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4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certificates of deposit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251,142</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1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58.8 %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234,088</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average deposits</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427,396</w:t>
            </w:r>
          </w:p>
        </w:tc>
        <w:tc>
          <w:tcPr>
            <w:tcW w:w="14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3.58 %</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396,154</w:t>
            </w:r>
          </w:p>
        </w:tc>
        <w:tc>
          <w:tcPr>
            <w:tcW w:w="14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4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deposits increased to $429.2 million as of June 30, 2024 from $404.8 million as of December 31, 2023, an increase of $24.4 million, or 6.0%, and was primarily due to increases in noninterest-bearing demand deposits of $11.6 million, or 12.1%, and brokered time deposits of $8.1 million, or 3.8%, utilized in the funding of our lending programs. As of June 30, 2024, $200.3 million of time certificates of deposit were callable giving us the ability to terminate the callable deposits and replace them with lower cost callable or non-callable deposits should it be economically beneficial for us to do so.</w:t>
      </w:r>
    </w:p>
    <w:p>
      <w:pPr>
        <w:spacing w:after="0" w:line="13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an FDIC-insured institution, our deposits are insured up to applicable limits by the Deposit Insurance Fund (“DIF”) of the FDIC. The Dodd-Frank Act raised the limit for federal deposit insurance to $250,000 for most deposit accounts and increased the cash limit of Securities Investor Protection Corporation protection from $100,000 to $250,000. Our total uninsured deposits were $144.0 million and $136.9 million as of June 30, 2024 and December 31, 2023, respectively.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profile of our uninsured time deposits, those amounts that exceed the FDIC insurance limit, at June 30, 2024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4"/>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More than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Three</w:t>
            </w: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six months</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More than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 six</w:t>
            </w:r>
          </w:p>
        </w:tc>
        <w:tc>
          <w:tcPr>
            <w:tcW w:w="16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twelve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twelve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or less</w:t>
            </w: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uninsured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35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Liabilities</w:t>
      </w:r>
    </w:p>
    <w:p>
      <w:pPr>
        <w:spacing w:after="0" w:line="18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Total liabilities increased to $452.0 million, or 4.8%, as of June 30, 2024 from $431.2 million as of December 31, 2023 primarily due to an increase in deposits as discussed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Management</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Liquidity management is the ability to meet current and future financial obligations of a short-term nature. Our primary sources of funds consist of deposit inflows, the sale of loans, principal and interest repayments on loans and net profits. While maturities and scheduled amortization of loans and securities are predictable sources of funds, deposit flows, loan prepayments, loan sales and security sales are greatly influenced by general interest rates, economic conditions, and competition.</w:t>
      </w:r>
    </w:p>
    <w:p>
      <w:pPr>
        <w:spacing w:after="0" w:line="15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Our primary source of funds to originate new loans is derived from deposits. Deposits are comprised of core and non-core deposits. Non-core deposits generally include brokered deposits and deposits acquired through the utilization of a listing service. To attract core deposits from local and nationwide consumer and commercial markets, we historically paid rates at the higher end of the market, which we have been able to pay due to the higher margin of our technology oriented business model. We utilize rate listing services and website advertising to attract deposits from consumer and commercial sources.</w:t>
      </w:r>
    </w:p>
    <w:p>
      <w:pPr>
        <w:spacing w:after="0" w:line="124"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intend to have various term offerings to match our funding needs. With no current plans to expand our brick-and-mortar branch network, online and mobile banking offers a means to meet customer needs and better efficiency through technology compared to traditional branch networks. We believe that the rise of mobile and online banking provides us the opportunity to further leverage the technological competency we have demonstrated in recent years.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regularly adjust our investment in liquid assets based upon our assessment of (1) expected loan demand, (2) expected deposit flows, (3) yields available on interest-earning deposits and securities and (4) the objectives of our asset/liability management, funds management and liquidity policies. The objective of the liquidity policy is to control the risk to our earnings and capital arising from the inability to meet obligations in a timely manner. This entails ensuring sufficient funds are available at a reasonable cost to meet potential demands from both fund providers and borrowers. Liquid assets, defined as cash and due from banks and interest bearing deposits, were 14.4% of total assets at June 30, 2024.</w:t>
      </w:r>
    </w:p>
    <w:p>
      <w:pPr>
        <w:spacing w:after="0" w:line="1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primarily utilize short-term and long-term borrowings to supplement deposits to fund our lending and investment activities, each of which is discussed below. At June 30, 2024, we had the ability to access $10.6 million from the Federal Reserve Bank’s Discount Window on a collateralized basis. The Bank had an available unsecured line of credit with Bankers’ Bank of the West to borrow up to $1.1 million in overnight funds. We also maintain a $21.2 million line of credit with Federal Home Loan Bank, secured by specific pledged loans. We had no outstanding balances on such unsecured or secured lines of credit as of June 30, 2024. In long term borrowings, we had $0.1 million outstanding at June 30, 2024 related to the Paycheck Protection Program Liquidity Facility (“PPPLF”). The PPPLF is secured by pledged Paycheck Protection Program (“PPP”) loans.</w:t>
      </w:r>
    </w:p>
    <w:p>
      <w:pPr>
        <w:spacing w:after="0" w:line="14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most liquid assets are cash and cash equivalents. The levels of these assets depend on our operating, financing, lending and investing activities during any given period. At June 30, 2024, liquid assets (defined as cash and due from banks and interest-bearing deposits) totaled $89.0 million. We believe that our liquid assets combined with the available lines of credit and our ability to generate core and non-core funding provides adequate liquidity to meet our current financial obligations for at least the next 12 months.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Resources</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seek to maintain adequate capital to support anticipated asset growth, operating needs and unexpected risks, and to ensure that we are in compliance with all current and anticipated regulatory capital guidelines. Our primary sources of new capital include retained earnings and proceeds from the sale and issuance of capital stock or other securities. Expected future use or activities for which capital may be set aside include balance sheet growth and associated relative increases in market or credit exposure, investment activity, potential product and business expansions, acquisitions and strategic or infrastructure investments.</w:t>
      </w:r>
    </w:p>
    <w:p>
      <w:pPr>
        <w:spacing w:after="0" w:line="1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Shareholders’ equity increased $10.7 million to $165.8 million at June 30, 2024 compared to $155.1 million at December 31, 2023. The increase in shareholders’ equity is primarily attributable to the purchase of additional equity interests in BFG of $4.1 million and net income recognized of $6.5 million. Stock options exercised, and stock-based compensation increased additional paid-in capital in the aggregate by approximately $0.6 million while the repurchase of common stock reduced additional paid-in capital by approximately $0.5 million.</w:t>
      </w:r>
    </w:p>
    <w:p>
      <w:pPr>
        <w:spacing w:after="0" w:line="15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use several indicators of capital strength. The most commonly used measure is total equity to total assets, which was 26.8% and 26.5% as of June 30, 2024 and December 31, 2023, respectively.</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return on average equity was 7.9% and 11.1% for the six months ended June 30, 2024 and 2023, respectively. Our return on average assets was 2.1% and 3.8% for the six months ended June 30, 2024 and 2023,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 Requirements and Capital Ratios</w:t>
      </w:r>
    </w:p>
    <w:p>
      <w:pPr>
        <w:spacing w:after="0" w:line="20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material effect on our financial statements. Under capital adequacy guidelines and the regulatory framework for prompt corrective action, the Bank must meet specific capital guidelines that involve quantitative measures of its assets, liabilities, and certain off-balance-sheet items as calculated pursuant to regulatory definitions and requirements. The sufficiency of capital and the Bank’s capital classifications are also subject to qualitative judgments by the regulators about risk weightings and other factors.</w:t>
      </w:r>
    </w:p>
    <w:p>
      <w:pPr>
        <w:spacing w:after="0" w:line="14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prompt corrective action rules, an institution is deemed “well capitalized” if its Tier 1 leverage ratio, Common Equity Tier 1 ratio, Tier 1 Capital ratio, and Total Capital ratio meet or exceed 5%, 6.5%, 8%, and 10%, respectively. On September 17, 2019, the federal banking agencies jointly issued a rule intending to simplify the regulatory capital requirements described above for qualifying community banking organizations that opt into the Community Bank Leverage Ratio framework, as required by Section 201 of the Regulatory Relief Act. The Bank elected to opt into the Community Bank Leverage Ratio framework starting in 2020. Under these capital requirements the Bank must maintain a leverage ratio greater than 9.0% to be considered well-capitalized.</w:t>
      </w:r>
    </w:p>
    <w:p>
      <w:pPr>
        <w:spacing w:after="0" w:line="14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most recent notification from the FDIC categorized the Bank as well-capitalized under the regulatory framework for prompt corrective action (there are no conditions or events since that notification we believe have changed the Bank’s category).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regulatory capital ratios for the Bank as of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3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w:t>
            </w:r>
          </w:p>
        </w:tc>
        <w:tc>
          <w:tcPr>
            <w:tcW w:w="0" w:type="dxa"/>
            <w:vAlign w:val="bottom"/>
          </w:tcPr>
          <w:p>
            <w:pPr>
              <w:spacing w:after="0"/>
              <w:rPr>
                <w:sz w:val="1"/>
                <w:szCs w:val="1"/>
                <w:color w:val="auto"/>
              </w:rPr>
            </w:pPr>
          </w:p>
        </w:tc>
      </w:tr>
      <w:tr>
        <w:trPr>
          <w:trHeight w:val="201"/>
        </w:trPr>
        <w:tc>
          <w:tcPr>
            <w:tcW w:w="5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Capitalized</w:t>
            </w:r>
          </w:p>
        </w:tc>
        <w:tc>
          <w:tcPr>
            <w:tcW w:w="0" w:type="dxa"/>
            <w:vAlign w:val="bottom"/>
          </w:tcPr>
          <w:p>
            <w:pPr>
              <w:spacing w:after="0"/>
              <w:rPr>
                <w:sz w:val="1"/>
                <w:szCs w:val="1"/>
                <w:color w:val="auto"/>
              </w:rPr>
            </w:pPr>
          </w:p>
        </w:tc>
      </w:tr>
      <w:tr>
        <w:trPr>
          <w:trHeight w:val="2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Capital Ratios</w:t>
            </w:r>
          </w:p>
        </w:tc>
        <w:tc>
          <w:tcPr>
            <w:tcW w:w="1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Requirement</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 (under CBLR)</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2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904"/>
        </w:trPr>
        <w:tc>
          <w:tcPr>
            <w:tcW w:w="5520" w:type="dxa"/>
            <w:vAlign w:val="bottom"/>
          </w:tcPr>
          <w:p>
            <w:pPr>
              <w:spacing w:after="0"/>
              <w:rPr>
                <w:sz w:val="24"/>
                <w:szCs w:val="24"/>
                <w:color w:val="auto"/>
              </w:rPr>
            </w:pPr>
          </w:p>
        </w:tc>
        <w:tc>
          <w:tcPr>
            <w:tcW w:w="18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99"/>
              </w:rPr>
              <w:t>58</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contractual obligations to make future payments on debt and lease agreements. While our liquidity monitoring and management consider both present and future demands for and sources of liquidity, the following table of contractual commitments focuses only on future obligations and summarizes our contractual obligations as of June 30,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One to</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More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2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Three to</w:t>
            </w: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Than Five</w:t>
            </w:r>
          </w:p>
        </w:tc>
        <w:tc>
          <w:tcPr>
            <w:tcW w:w="0" w:type="dxa"/>
            <w:vAlign w:val="bottom"/>
          </w:tcPr>
          <w:p>
            <w:pPr>
              <w:spacing w:after="0"/>
              <w:rPr>
                <w:sz w:val="1"/>
                <w:szCs w:val="1"/>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22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24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7"/>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without stated maturity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borrowings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7"/>
        </w:trPr>
        <w:tc>
          <w:tcPr>
            <w:tcW w:w="3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520"/>
        <w:spacing w:after="0" w:line="461" w:lineRule="auto"/>
        <w:rPr>
          <w:sz w:val="20"/>
          <w:szCs w:val="20"/>
          <w:color w:val="auto"/>
        </w:rPr>
      </w:pPr>
      <w:r>
        <w:rPr>
          <w:rFonts w:ascii="Times New Roman" w:cs="Times New Roman" w:eastAsia="Times New Roman" w:hAnsi="Times New Roman"/>
          <w:sz w:val="18"/>
          <w:szCs w:val="18"/>
          <w:color w:val="auto"/>
        </w:rPr>
        <w:t xml:space="preserve">(1) Balances in this category pertain to the PPPLF and are fully-collateralized with PPP loans </w:t>
      </w:r>
      <w:r>
        <w:rPr>
          <w:rFonts w:ascii="Times New Roman" w:cs="Times New Roman" w:eastAsia="Times New Roman" w:hAnsi="Times New Roman"/>
          <w:sz w:val="18"/>
          <w:szCs w:val="18"/>
          <w:i w:val="1"/>
          <w:iCs w:val="1"/>
          <w:color w:val="auto"/>
        </w:rPr>
        <w:t>Off-Balance-Sheet Financing Arrangements</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we enter into various transactions, which, in accordance with GAAP, are not included in our consolidated statements of financial condition. We enter into these transactions to meet the financing needs of our customers. These transactions include commitments to extend credit, which involves, to varying degrees, elements of credit risk and interest rate risk exceeding the amounts recognized in our consolidated statements of financial condition. Our exposure to credit loss is represented by the contractual amounts of these commitments. The same credit policies and procedures are used in making these commitments as for on-balance sheet instruments.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an allowance for off-balance-sheet credit risk which is recorded in other liabilities on the consolidated balance sheets. The allowance for credit losses on off-balance-sheet credit exposures estimates expected credit losses over the contractual period in which there is exposure to credit risk via a contractual obligation to extend credit, except when an obligation is unconditionally cancellable by us. The allowance is adjusted by provisions for credit losses charged to earnings that increase the allowance, or by provision releases returned to earnings that decrease the allowance. The estimate includes consideration of the likelihood that funding will occur and an estimate of expected credit losses on the commitments expected to fund. The estimate of commitments expected to fund is affected by historical analysis of utilization rates. The expected credit loss rates applied to the commitments expected to fund are affected by the general valuation allowance utilized for outstanding balances with the same underlying assumptions and drivers. As of June 30, 2024 and December 31, 2023, we had $0.1 million and $0.1 million, respectively, in allowance for credit losses on off-balance-sheet credit exposures.</w:t>
      </w:r>
    </w:p>
    <w:p>
      <w:pPr>
        <w:spacing w:after="0" w:line="1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commitments to extend credit as of the dates indicated are summarized below. Since commitments associated with commitments to extend credit may expire unused, the amounts shown do not necessarily reflect the actual future cash funding requirements.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320" w:type="dxa"/>
            <w:vAlign w:val="bottom"/>
          </w:tcPr>
          <w:p>
            <w:pPr>
              <w:spacing w:after="0"/>
              <w:rPr>
                <w:sz w:val="20"/>
                <w:szCs w:val="20"/>
                <w:color w:val="auto"/>
              </w:rPr>
            </w:pPr>
          </w:p>
        </w:tc>
        <w:tc>
          <w:tcPr>
            <w:tcW w:w="23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00" w:type="dxa"/>
            <w:vAlign w:val="bottom"/>
          </w:tcPr>
          <w:p>
            <w:pPr>
              <w:spacing w:after="0"/>
              <w:rPr>
                <w:sz w:val="20"/>
                <w:szCs w:val="20"/>
                <w:color w:val="auto"/>
              </w:rPr>
            </w:pPr>
          </w:p>
        </w:tc>
        <w:tc>
          <w:tcPr>
            <w:tcW w:w="23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6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open-end lines of credit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43"/>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2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17,421</w:t>
            </w:r>
          </w:p>
        </w:tc>
      </w:tr>
      <w:tr>
        <w:trPr>
          <w:trHeight w:val="27"/>
        </w:trPr>
        <w:tc>
          <w:tcPr>
            <w:tcW w:w="6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unused commitments</w:t>
            </w:r>
          </w:p>
        </w:tc>
        <w:tc>
          <w:tcPr>
            <w:tcW w:w="32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6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commitments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19,775</w:t>
            </w:r>
          </w:p>
        </w:tc>
      </w:tr>
      <w:tr>
        <w:trPr>
          <w:trHeight w:val="20"/>
        </w:trPr>
        <w:tc>
          <w:tcPr>
            <w:tcW w:w="6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Under the filer category of “smaller reporting company,” as defined in Rule 12b-2 of the Exchange Act, we are not required to provide information requested by Part I, Item 3 of this Report.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have evaluated the effectiveness of our disclosure controls and procedures as defined in Rule 13a-15(e) under the Exchange Act as of the end of the period covered by this Report. Based on that evaluation, our Chief Executive Officer and Chief Financial Officer concluded that our disclosure controls and procedures were effective to ensure that information required to be disclosed in the reports we file and submit under the Exchange Act is (i) recorded, processed, summarized and reported as and when required and (ii) accumulated and communicated to our management, including our Chief Executive Officer and the Chief Financial Officer, as appropriate to allow timely decisions regarding required disclosures.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during the fiscal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90"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We are from time to time subject to claims and litigation arising in the ordinary course of business. These claims and litigation may include, among other things, allegations of violation of banking and other applicable regulations, competition law, labor laws and consumer protection laws, as well as claims or litigation relating to intellectual property, securities, breach of contract and tort. We intend to defend ourselves vigorously against any pending or future claims and litigation.</w:t>
      </w:r>
    </w:p>
    <w:p>
      <w:pPr>
        <w:spacing w:after="0" w:line="15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In the current opinion of management, the likelihood is remote that the impact of such ordinary course proceedings, either individually or in the aggregate, would have a material adverse effect on our results of operations, financial condition or cash flows. However, one or more unfavorable outcomes in any claim or litigation against us could have a material adverse effect for the period in which they are resolved. In addition, regardless of their merits or their ultimate outcomes, such matters are costly, divert management’s attention and may materially adversely affect our reputation, even if resolved in our favor.</w:t>
      </w:r>
    </w:p>
    <w:p>
      <w:pPr>
        <w:spacing w:after="0" w:line="12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There are a number of factors that may adversely affect our business, financial results or stock price. Refer to Part I, Item 1A. “Risk Factors” of the 2023 Form 10-K for a discussion of these risks. There have been no material changes to the risk factors disclosed in our 2023 Form 10-K, as filed with the SEC on March 25, 2024.</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our repurchases of shares of our common stock during the three months ended June 30,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w:t>
            </w: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Shares Purchased as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 that May Yet</w:t>
            </w:r>
          </w:p>
        </w:tc>
      </w:tr>
      <w:tr>
        <w:trPr>
          <w:trHeight w:val="216"/>
        </w:trPr>
        <w:tc>
          <w:tcPr>
            <w:tcW w:w="29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Part of Publicly</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 Purchased Under</w:t>
            </w:r>
          </w:p>
        </w:tc>
      </w:tr>
      <w:tr>
        <w:trPr>
          <w:trHeight w:val="213"/>
        </w:trPr>
        <w:tc>
          <w:tcPr>
            <w:tcW w:w="2980" w:type="dxa"/>
            <w:vAlign w:val="bottom"/>
          </w:tcPr>
          <w:p>
            <w:pPr>
              <w:spacing w:after="0"/>
              <w:rPr>
                <w:sz w:val="18"/>
                <w:szCs w:val="18"/>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Average Price Paid</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Announced Plans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Plans or</w:t>
            </w:r>
          </w:p>
        </w:tc>
      </w:tr>
      <w:tr>
        <w:trPr>
          <w:trHeight w:val="265"/>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8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80" w:type="dxa"/>
            <w:vAlign w:val="bottom"/>
            <w:tcBorders>
              <w:bottom w:val="single" w:sz="8" w:color="CCEEFF"/>
            </w:tcBorders>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Programs </w:t>
            </w:r>
            <w:r>
              <w:rPr>
                <w:rFonts w:ascii="Times New Roman" w:cs="Times New Roman" w:eastAsia="Times New Roman" w:hAnsi="Times New Roman"/>
                <w:sz w:val="23"/>
                <w:szCs w:val="23"/>
                <w:color w:val="auto"/>
                <w:w w:val="91"/>
                <w:vertAlign w:val="superscript"/>
              </w:rPr>
              <w:t>(1)</w:t>
            </w:r>
          </w:p>
        </w:tc>
        <w:tc>
          <w:tcPr>
            <w:tcW w:w="80" w:type="dxa"/>
            <w:vAlign w:val="bottom"/>
            <w:tcBorders>
              <w:bottom w:val="single" w:sz="8" w:color="CCEEFF"/>
            </w:tcBorders>
          </w:tcPr>
          <w:p>
            <w:pPr>
              <w:spacing w:after="0"/>
              <w:rPr>
                <w:sz w:val="23"/>
                <w:szCs w:val="23"/>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Programs </w:t>
            </w:r>
            <w:r>
              <w:rPr>
                <w:rFonts w:ascii="Times New Roman" w:cs="Times New Roman" w:eastAsia="Times New Roman" w:hAnsi="Times New Roman"/>
                <w:sz w:val="23"/>
                <w:szCs w:val="23"/>
                <w:color w:val="auto"/>
                <w:w w:val="94"/>
                <w:vertAlign w:val="superscript"/>
              </w:rPr>
              <w:t>(1)</w:t>
            </w: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9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0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w:t>
            </w: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624,135</w:t>
            </w:r>
          </w:p>
        </w:tc>
      </w:tr>
      <w:tr>
        <w:trPr>
          <w:trHeight w:val="24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15,279</w:t>
            </w:r>
          </w:p>
        </w:tc>
        <w:tc>
          <w:tcPr>
            <w:tcW w:w="8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10.37</w:t>
            </w:r>
          </w:p>
        </w:tc>
        <w:tc>
          <w:tcPr>
            <w:tcW w:w="80" w:type="dxa"/>
            <w:vAlign w:val="bottom"/>
          </w:tcPr>
          <w:p>
            <w:pPr>
              <w:spacing w:after="0"/>
              <w:rPr>
                <w:sz w:val="21"/>
                <w:szCs w:val="21"/>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15,279</w:t>
            </w: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608,856</w:t>
            </w:r>
          </w:p>
        </w:tc>
      </w:tr>
      <w:tr>
        <w:trPr>
          <w:trHeight w:val="27"/>
        </w:trPr>
        <w:tc>
          <w:tcPr>
            <w:tcW w:w="29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11,632</w:t>
            </w:r>
          </w:p>
        </w:tc>
        <w:tc>
          <w:tcPr>
            <w:tcW w:w="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$10.32</w:t>
            </w:r>
          </w:p>
        </w:tc>
        <w:tc>
          <w:tcPr>
            <w:tcW w:w="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11,632</w:t>
            </w:r>
          </w:p>
        </w:tc>
        <w:tc>
          <w:tcPr>
            <w:tcW w:w="8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597,224</w:t>
            </w:r>
          </w:p>
        </w:tc>
      </w:tr>
      <w:tr>
        <w:trPr>
          <w:trHeight w:val="23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26,911</w:t>
            </w:r>
          </w:p>
        </w:tc>
        <w:tc>
          <w:tcPr>
            <w:tcW w:w="8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$10.35</w:t>
            </w:r>
          </w:p>
        </w:tc>
        <w:tc>
          <w:tcPr>
            <w:tcW w:w="80" w:type="dxa"/>
            <w:vAlign w:val="bottom"/>
          </w:tcPr>
          <w:p>
            <w:pPr>
              <w:spacing w:after="0"/>
              <w:rPr>
                <w:sz w:val="20"/>
                <w:szCs w:val="20"/>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26,911</w:t>
            </w:r>
          </w:p>
        </w:tc>
        <w:tc>
          <w:tcPr>
            <w:tcW w:w="8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597,224</w:t>
            </w:r>
          </w:p>
        </w:tc>
      </w:tr>
      <w:tr>
        <w:trPr>
          <w:trHeight w:val="32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90" w:lineRule="exact"/>
        <w:rPr>
          <w:sz w:val="20"/>
          <w:szCs w:val="20"/>
          <w:color w:val="auto"/>
        </w:rPr>
      </w:pPr>
    </w:p>
    <w:p>
      <w:pPr>
        <w:ind w:left="260" w:right="20" w:hanging="252"/>
        <w:spacing w:after="0" w:line="253" w:lineRule="auto"/>
        <w:tabs>
          <w:tab w:leader="none" w:pos="2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7, 2024, we announced that the Board had authorized, effective March 6, 2024, a common stock repurchase program to purchase up to 641,832 shares of our common stock in the aggregate. The repurchase program expires on March 31, 2026, but may be limited or terminated at any time without prior notice. The repurchase program authorized the repurchase by us of our common stock in open market transactions, including pursuant to a trading plan in accordance with Rule 10b-18 promulgated under the Exchange Act of 1934, as amended (the "Exchange Act"), or privately negotiated transactions. The authorization permits management to repurchase shares of our common stock from time to time at management’s discretion. Repurchases may also be made pursuant to a trading plan under Rule 10b5-1 under the Exchange Act, which would permit shares to be repurchased when we might otherwise be precluded from doing so because of self-imposed trading blackout periods or other regulatory restrictions. The actual means and timing of any shares purchased under the program will depend on a variety of factors, including the market price of our common stock, general market and economic conditions, and applicable legal and regulatory requirements. The repurchase program does not obligate us to purchase any particular number of shares.</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0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None of our directors or officers have adopted, modified, or terminated a Rule 10b5-1(c) trading arrangement or, except as discussed below, a non-Rule 10b5-1 trading arrangement during the fiscal quarter ended June 30, 2024. Our directors and officers participate in certain of our benefit plans and may from time to time make elections to surrender shares or have shares withheld to cover withholding taxes or pay the exercise price of options granted thereunder. These elections may be designed to satisfy the affirmative defense conditions of Rule 10b5-1 under the Exchange Act or may constitute non-Rule 10b5-1 trading arrangements as defined in Item 408(c) of Regulation S-K.</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4"/>
                <w:szCs w:val="24"/>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3"/>
        </w:trPr>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3"/>
        </w:trPr>
        <w:tc>
          <w:tcPr>
            <w:tcW w:w="1480" w:type="dxa"/>
            <w:vAlign w:val="bottom"/>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1"/>
                <w:w w:val="97"/>
              </w:rPr>
              <w:t>3.</w:t>
            </w:r>
            <w:r>
              <w:rPr>
                <w:rFonts w:ascii="Times New Roman" w:cs="Times New Roman" w:eastAsia="Times New Roman" w:hAnsi="Times New Roman"/>
                <w:sz w:val="18"/>
                <w:szCs w:val="18"/>
                <w:u w:val="single" w:color="auto"/>
                <w:color w:val="0000F1"/>
                <w:w w:val="97"/>
              </w:rPr>
              <w:t>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Fourth Amended and Restated Articles of Incorporation (incorporated by reference to Exhibit 3.1 of the Registrant’s Registration</w:t>
              </w:r>
            </w:hyperlink>
          </w:p>
        </w:tc>
      </w:tr>
      <w:tr>
        <w:trPr>
          <w:trHeight w:val="244"/>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0000F1"/>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460" w:type="dxa"/>
            <w:vAlign w:val="bottom"/>
            <w:tcBorders>
              <w:top w:val="single" w:sz="8" w:color="0000FF"/>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96">
              <w:r>
                <w:rPr>
                  <w:rFonts w:ascii="Times New Roman" w:cs="Times New Roman" w:eastAsia="Times New Roman" w:hAnsi="Times New Roman"/>
                  <w:sz w:val="18"/>
                  <w:szCs w:val="18"/>
                  <w:color w:val="0000FF"/>
                  <w:w w:val="99"/>
                </w:rPr>
                <w:t>Statement on Form S-1 filed with the Securities and Exchange Commission on July 30, 2021 (File No. 333-257929)).</w:t>
              </w:r>
            </w:hyperlink>
          </w:p>
        </w:tc>
        <w:tc>
          <w:tcPr>
            <w:tcW w:w="84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0000F1"/>
                <w:w w:val="97"/>
              </w:rPr>
              <w:t>3.</w:t>
            </w:r>
            <w:r>
              <w:rPr>
                <w:rFonts w:ascii="Times New Roman" w:cs="Times New Roman" w:eastAsia="Times New Roman" w:hAnsi="Times New Roman"/>
                <w:sz w:val="18"/>
                <w:szCs w:val="18"/>
                <w:u w:val="single" w:color="auto"/>
                <w:color w:val="0000F1"/>
                <w:w w:val="97"/>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202"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Amended and Restated Bylaws (incorporated by reference to Exhibit 3.2 of the Registrant’s Registration Statement on Form S-1 filed</w:t>
              </w:r>
            </w:hyperlink>
          </w:p>
        </w:tc>
      </w:tr>
      <w:tr>
        <w:trPr>
          <w:trHeight w:val="196"/>
        </w:trPr>
        <w:tc>
          <w:tcPr>
            <w:tcW w:w="640" w:type="dxa"/>
            <w:vAlign w:val="bottom"/>
          </w:tcPr>
          <w:p>
            <w:pPr>
              <w:spacing w:after="0"/>
              <w:rPr>
                <w:sz w:val="17"/>
                <w:szCs w:val="17"/>
                <w:color w:val="auto"/>
              </w:rPr>
            </w:pPr>
          </w:p>
        </w:tc>
        <w:tc>
          <w:tcPr>
            <w:tcW w:w="220" w:type="dxa"/>
            <w:vAlign w:val="bottom"/>
            <w:tcBorders>
              <w:top w:val="single" w:sz="8" w:color="0000F1"/>
            </w:tcBorders>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with the Securities and Exchange Commission on July 30, 2021 (File No. 333-257929)).</w:t>
              </w:r>
            </w:hyperlink>
          </w:p>
        </w:tc>
        <w:tc>
          <w:tcPr>
            <w:tcW w:w="20" w:type="dxa"/>
            <w:vAlign w:val="bottom"/>
          </w:tcPr>
          <w:p>
            <w:pPr>
              <w:spacing w:after="0"/>
              <w:rPr>
                <w:sz w:val="17"/>
                <w:szCs w:val="17"/>
                <w:color w:val="auto"/>
              </w:rPr>
            </w:pP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480" w:type="dxa"/>
            <w:vAlign w:val="bottom"/>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40" w:type="dxa"/>
            <w:vAlign w:val="bottom"/>
            <w:gridSpan w:val="10"/>
            <w:shd w:val="clear" w:color="auto" w:fill="CCEEFF"/>
          </w:tcPr>
          <w:p>
            <w:pPr>
              <w:spacing w:after="0" w:line="202"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FinWise Bancorp 2019 Stock Option Plan, as amended and restated (incorporated by reference to Exhibit 10.1 of the Registrant's</w:t>
              </w:r>
            </w:hyperlink>
          </w:p>
        </w:tc>
      </w:tr>
      <w:tr>
        <w:trPr>
          <w:trHeight w:val="244"/>
        </w:trPr>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100" w:type="dxa"/>
            <w:vAlign w:val="bottom"/>
            <w:tcBorders>
              <w:top w:val="single" w:sz="8" w:color="0000FF"/>
              <w:bottom w:val="single" w:sz="8" w:color="0000FF"/>
            </w:tcBorders>
            <w:gridSpan w:val="5"/>
            <w:shd w:val="clear" w:color="auto" w:fill="CCEEFF"/>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Current Report on Form 8-K filed with the Securities and Exchange Commission on July 3, 2024).</w:t>
              </w:r>
            </w:hyperlink>
          </w:p>
        </w:tc>
        <w:tc>
          <w:tcPr>
            <w:tcW w:w="21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36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Rule 13a-14(a) Certification of the Principal Executive Officer.</w:t>
            </w: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48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50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Rule 13a-14(a) Certification of the Principal Financial Officer.</w:t>
            </w:r>
          </w:p>
        </w:tc>
        <w:tc>
          <w:tcPr>
            <w:tcW w:w="514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480" w:type="dxa"/>
            <w:vAlign w:val="bottom"/>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48"/>
        </w:trPr>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5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3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5"/>
        </w:trPr>
        <w:tc>
          <w:tcPr>
            <w:tcW w:w="158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9"/>
                <w:szCs w:val="19"/>
                <w:color w:val="auto"/>
              </w:rPr>
            </w:pPr>
          </w:p>
        </w:tc>
        <w:tc>
          <w:tcPr>
            <w:tcW w:w="96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41"/>
        </w:trPr>
        <w:tc>
          <w:tcPr>
            <w:tcW w:w="6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964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43"/>
        </w:trPr>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1"/>
                <w:szCs w:val="21"/>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3"/>
        </w:trPr>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101.DEF*</w:t>
            </w:r>
          </w:p>
        </w:tc>
        <w:tc>
          <w:tcPr>
            <w:tcW w:w="20" w:type="dxa"/>
            <w:vAlign w:val="bottom"/>
          </w:tcPr>
          <w:p>
            <w:pPr>
              <w:spacing w:after="0"/>
              <w:rPr>
                <w:sz w:val="21"/>
                <w:szCs w:val="21"/>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8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3"/>
        </w:trPr>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96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4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6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in Exhibit 101).</w:t>
            </w:r>
          </w:p>
        </w:tc>
      </w:tr>
      <w:tr>
        <w:trPr>
          <w:trHeight w:val="27"/>
        </w:trPr>
        <w:tc>
          <w:tcPr>
            <w:tcW w:w="6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hereto are not considered “filed” for purposes of Section 18 of the Securities Exchange Act of 1934 (“Exchange Act”), as</w:t>
      </w:r>
    </w:p>
    <w:p>
      <w:pPr>
        <w:spacing w:after="0" w:line="27"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or otherwise subject to the limitations of that section, nor shall they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E32E1"/>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33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FinWise Bancorp</w:t>
            </w:r>
          </w:p>
        </w:tc>
        <w:tc>
          <w:tcPr>
            <w:tcW w:w="4400" w:type="dxa"/>
            <w:vAlign w:val="bottom"/>
          </w:tcPr>
          <w:p>
            <w:pPr>
              <w:spacing w:after="0"/>
              <w:rPr>
                <w:sz w:val="20"/>
                <w:szCs w:val="20"/>
                <w:color w:val="auto"/>
              </w:rPr>
            </w:pP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33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rPr>
              <w:t>/s/ Kent Landvatter</w:t>
            </w:r>
          </w:p>
        </w:tc>
      </w:tr>
      <w:tr>
        <w:trPr>
          <w:trHeight w:val="27"/>
        </w:trPr>
        <w:tc>
          <w:tcPr>
            <w:tcW w:w="3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8"/>
              </w:rPr>
              <w:t>Kent Landvatter</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336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/s/ Robert Wahlman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Robert Wahlman</w:t>
      </w:r>
    </w:p>
    <w:p>
      <w:pPr>
        <w:spacing w:after="0" w:line="63"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spacing w:after="0" w:line="65" w:lineRule="exact"/>
        <w:rPr>
          <w:sz w:val="20"/>
          <w:szCs w:val="20"/>
          <w:color w:val="auto"/>
        </w:rPr>
      </w:pPr>
    </w:p>
    <w:p>
      <w:pPr>
        <w:jc w:val="center"/>
        <w:ind w:left="590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2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Kent Landvatter, certify that:</w:t>
      </w:r>
    </w:p>
    <w:p>
      <w:pPr>
        <w:spacing w:after="0" w:line="18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73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Kent Landvatter</w:t>
            </w:r>
          </w:p>
        </w:tc>
      </w:tr>
      <w:tr>
        <w:trPr>
          <w:trHeight w:val="218"/>
        </w:trPr>
        <w:tc>
          <w:tcPr>
            <w:tcW w:w="3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38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103"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Wahlman, certify that:</w:t>
      </w:r>
    </w:p>
    <w:p>
      <w:pPr>
        <w:spacing w:after="0" w:line="18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FinWise Bancorp;</w:t>
      </w:r>
    </w:p>
    <w:p>
      <w:pPr>
        <w:spacing w:after="0" w:line="198" w:lineRule="exact"/>
        <w:rPr>
          <w:rFonts w:ascii="Times New Roman" w:cs="Times New Roman" w:eastAsia="Times New Roman" w:hAnsi="Times New Roman"/>
          <w:sz w:val="18"/>
          <w:szCs w:val="18"/>
          <w:color w:val="auto"/>
        </w:rPr>
      </w:pPr>
    </w:p>
    <w:p>
      <w:pPr>
        <w:ind w:left="340" w:right="20" w:hanging="332"/>
        <w:spacing w:after="0" w:line="312" w:lineRule="auto"/>
        <w:tabs>
          <w:tab w:leader="none" w:pos="3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340" w:right="40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660" w:right="2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3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49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13, 2024</w:t>
            </w:r>
          </w:p>
        </w:tc>
        <w:tc>
          <w:tcPr>
            <w:tcW w:w="73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Robert Wahlman</w:t>
            </w:r>
          </w:p>
        </w:tc>
      </w:tr>
      <w:tr>
        <w:trPr>
          <w:trHeight w:val="218"/>
        </w:trPr>
        <w:tc>
          <w:tcPr>
            <w:tcW w:w="39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39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110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FinWise Bancorp (the "Company") on Form 10-Q for the period ended June 30, 2024, as filed with the Securities and Exchange Commission on the date hereof (the “Report”), the undersigned hereby certify, pursuant to 18 U.S.C. § 1350, as adopted pursuant to § 906 of the Sarbanes-Oxley Act of 2002, that to the undersigned's best knowledge and belief:</w:t>
      </w:r>
    </w:p>
    <w:p>
      <w:pPr>
        <w:spacing w:after="0" w:line="135"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the requirements of 18 U.S.C. § 1350 and is not being filed as part of the Report or as a separate disclosure document.</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73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FINWISE BANCORP</w:t>
            </w:r>
          </w:p>
        </w:tc>
      </w:tr>
      <w:tr>
        <w:trPr>
          <w:trHeight w:val="50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13,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Kent Landvatter</w:t>
            </w:r>
          </w:p>
        </w:tc>
      </w:tr>
      <w:tr>
        <w:trPr>
          <w:trHeight w:val="218"/>
        </w:trPr>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Landvatter</w:t>
            </w:r>
          </w:p>
        </w:tc>
      </w:tr>
      <w:tr>
        <w:trPr>
          <w:trHeight w:val="234"/>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9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13, 2024</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Wahlman</w:t>
            </w:r>
          </w:p>
        </w:tc>
      </w:tr>
      <w:tr>
        <w:trPr>
          <w:trHeight w:val="218"/>
        </w:trPr>
        <w:tc>
          <w:tcPr>
            <w:tcW w:w="5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Wahlman</w:t>
            </w:r>
          </w:p>
        </w:tc>
      </w:tr>
      <w:tr>
        <w:trPr>
          <w:trHeight w:val="234"/>
        </w:trPr>
        <w:tc>
          <w:tcPr>
            <w:tcW w:w="5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upperLetter"/>
      <w:start w:val="68"/>
    </w:lvl>
  </w:abstractNum>
  <w:abstractNum w:abstractNumId="7">
    <w:nsid w:val="1F16E9E8"/>
    <w:multiLevelType w:val="hybridMultilevel"/>
    <w:lvl w:ilvl="0">
      <w:lvlJc w:val="left"/>
      <w:lvlText w:val="%1"/>
      <w:numFmt w:val="upperLetter"/>
      <w:start w:val="68"/>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6" Type="http://schemas.openxmlformats.org/officeDocument/2006/relationships/hyperlink" Target="https://www.sec.gov/Archives/edgar/data/1856365/000114036121026281/nt10024103x7_ex3-1.htm" TargetMode="External"/><Relationship Id="rId97" Type="http://schemas.openxmlformats.org/officeDocument/2006/relationships/hyperlink" Target="https://www.sec.gov/Archives/edgar/data/1856365/000114036121026281/nt10024103x7_ex3-2.htm" TargetMode="External"/><Relationship Id="rId98" Type="http://schemas.openxmlformats.org/officeDocument/2006/relationships/hyperlink" Target="https://www.sec.gov/ix?doc=/Archives/edgar/data/1856365/000185636524000041/finw-202406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2024-08-13T16:40:31Z</dcterms:created>
  <dcterms:modified xsi:type="dcterms:W3CDTF">2024-08-13T16:40:31Z</dcterms:modified>
</cp:coreProperties>
</file>