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608965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626110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0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Pursuant to Section 13 OR 15(d) of The Securities Exchange Act of 1934</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Date of Report (Date of earliest event reported): October 28, 2026</w:t>
      </w:r>
    </w:p>
    <w:p>
      <w:pPr>
        <w:spacing w:after="0" w:line="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FINWISE BANCORP</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1300"/>
          </w:cols>
          <w:pgMar w:left="300" w:top="1129" w:right="299" w:bottom="1440" w:gutter="0" w:footer="0" w:header="0"/>
        </w:sectPr>
      </w:pPr>
    </w:p>
    <w:p>
      <w:pPr>
        <w:spacing w:after="0" w:line="143"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1"/>
          <w:szCs w:val="11"/>
          <w:b w:val="1"/>
          <w:bCs w:val="1"/>
          <w:color w:val="auto"/>
        </w:rPr>
        <w:t>Utah</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jc w:val="center"/>
        <w:ind w:right="2480"/>
        <w:spacing w:after="0"/>
        <w:rPr>
          <w:sz w:val="20"/>
          <w:szCs w:val="20"/>
          <w:color w:val="auto"/>
        </w:rPr>
      </w:pPr>
      <w:r>
        <w:rPr>
          <w:rFonts w:ascii="Times New Roman" w:cs="Times New Roman" w:eastAsia="Times New Roman" w:hAnsi="Times New Roman"/>
          <w:sz w:val="11"/>
          <w:szCs w:val="11"/>
          <w:b w:val="1"/>
          <w:bCs w:val="1"/>
          <w:color w:val="auto"/>
        </w:rPr>
        <w:t>001-40721</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83-0356689</w:t>
      </w:r>
    </w:p>
    <w:p>
      <w:pPr>
        <w:spacing w:after="0" w:line="58" w:lineRule="exact"/>
        <w:rPr>
          <w:sz w:val="24"/>
          <w:szCs w:val="24"/>
          <w:color w:val="auto"/>
        </w:rPr>
      </w:pPr>
    </w:p>
    <w:p>
      <w:pPr>
        <w:sectPr>
          <w:pgSz w:w="11900" w:h="16838" w:orient="portrait"/>
          <w:cols w:equalWidth="0" w:num="3">
            <w:col w:w="4680" w:space="720"/>
            <w:col w:w="3000" w:space="720"/>
            <w:col w:w="2180"/>
          </w:cols>
          <w:pgMar w:left="300" w:top="1129" w:right="29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2"/>
          <w:szCs w:val="12"/>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(I.R.S. employer identification no.)</w:t>
      </w:r>
    </w:p>
    <w:p>
      <w:pPr>
        <w:spacing w:after="0" w:line="211" w:lineRule="exact"/>
        <w:rPr>
          <w:sz w:val="24"/>
          <w:szCs w:val="24"/>
          <w:color w:val="auto"/>
        </w:rPr>
      </w:pPr>
    </w:p>
    <w:p>
      <w:pPr>
        <w:sectPr>
          <w:pgSz w:w="11900" w:h="16838" w:orient="portrait"/>
          <w:cols w:equalWidth="0" w:num="3">
            <w:col w:w="4300" w:space="720"/>
            <w:col w:w="2840" w:space="720"/>
            <w:col w:w="2720"/>
          </w:cols>
          <w:pgMar w:left="300" w:top="1129" w:right="299" w:bottom="1440" w:gutter="0" w:footer="0" w:header="0"/>
          <w:type w:val="continuous"/>
        </w:sectPr>
      </w:pPr>
    </w:p>
    <w:p>
      <w:pPr>
        <w:spacing w:after="0" w:line="36"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1"/>
          <w:szCs w:val="11"/>
          <w:b w:val="1"/>
          <w:bCs w:val="1"/>
          <w:color w:val="auto"/>
        </w:rPr>
        <w:t>756 East Winchester St., Suite 100</w:t>
      </w:r>
    </w:p>
    <w:p>
      <w:pPr>
        <w:sectPr>
          <w:pgSz w:w="11900" w:h="16838" w:orient="portrait"/>
          <w:cols w:equalWidth="0" w:num="1">
            <w:col w:w="11300"/>
          </w:cols>
          <w:pgMar w:left="300" w:top="1129" w:right="299" w:bottom="1440" w:gutter="0" w:footer="0" w:header="0"/>
          <w:type w:val="continuous"/>
        </w:sectPr>
      </w:pPr>
    </w:p>
    <w:p>
      <w:pPr>
        <w:spacing w:after="0" w:line="54"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1"/>
          <w:szCs w:val="11"/>
          <w:b w:val="1"/>
          <w:bCs w:val="1"/>
          <w:color w:val="auto"/>
        </w:rPr>
        <w:t>Murray, Utah</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84107</w:t>
      </w:r>
    </w:p>
    <w:p>
      <w:pPr>
        <w:spacing w:after="0" w:line="46" w:lineRule="exact"/>
        <w:rPr>
          <w:sz w:val="24"/>
          <w:szCs w:val="24"/>
          <w:color w:val="auto"/>
        </w:rPr>
      </w:pPr>
    </w:p>
    <w:p>
      <w:pPr>
        <w:sectPr>
          <w:pgSz w:w="11900" w:h="16838" w:orient="portrait"/>
          <w:cols w:equalWidth="0" w:num="2">
            <w:col w:w="8180" w:space="720"/>
            <w:col w:w="2400"/>
          </w:cols>
          <w:pgMar w:left="300" w:top="1129" w:right="29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(Zip code)</w:t>
      </w:r>
    </w:p>
    <w:p>
      <w:pPr>
        <w:spacing w:after="0" w:line="200" w:lineRule="exact"/>
        <w:rPr>
          <w:sz w:val="24"/>
          <w:szCs w:val="24"/>
          <w:color w:val="auto"/>
        </w:rPr>
      </w:pPr>
    </w:p>
    <w:p>
      <w:pPr>
        <w:sectPr>
          <w:pgSz w:w="11900" w:h="16838" w:orient="portrait"/>
          <w:cols w:equalWidth="0" w:num="2">
            <w:col w:w="8080" w:space="720"/>
            <w:col w:w="2500"/>
          </w:cols>
          <w:pgMar w:left="300" w:top="1129" w:right="299" w:bottom="1440" w:gutter="0" w:footer="0" w:header="0"/>
          <w:type w:val="continuous"/>
        </w:sectPr>
      </w:pPr>
    </w:p>
    <w:p>
      <w:pPr>
        <w:spacing w:after="0" w:line="12"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(801) 501-7200</w:t>
      </w:r>
    </w:p>
    <w:p>
      <w:pPr>
        <w:spacing w:after="0" w:line="123" w:lineRule="exact"/>
        <w:rPr>
          <w:sz w:val="24"/>
          <w:szCs w:val="24"/>
          <w:color w:val="auto"/>
        </w:rPr>
      </w:pPr>
    </w:p>
    <w:p>
      <w:pPr>
        <w:ind w:left="5260"/>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21"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82" w:lineRule="exact"/>
        <w:rPr>
          <w:sz w:val="24"/>
          <w:szCs w:val="24"/>
          <w:color w:val="auto"/>
        </w:rPr>
      </w:pPr>
    </w:p>
    <w:p>
      <w:pPr>
        <w:ind w:left="580" w:hanging="576"/>
        <w:spacing w:after="0"/>
        <w:tabs>
          <w:tab w:leader="none" w:pos="580" w:val="left"/>
        </w:tabs>
        <w:numPr>
          <w:ilvl w:val="0"/>
          <w:numId w:val="1"/>
        </w:numPr>
        <w:rPr>
          <w:rFonts w:ascii="MS PGothic" w:cs="MS PGothic" w:eastAsia="MS PGothic" w:hAnsi="MS PGothic"/>
          <w:sz w:val="11"/>
          <w:szCs w:val="11"/>
          <w:color w:val="auto"/>
          <w:highlight w:val="black"/>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1"/>
          <w:szCs w:val="11"/>
          <w:color w:val="auto"/>
          <w:highlight w:val="black"/>
        </w:rPr>
      </w:pPr>
    </w:p>
    <w:p>
      <w:pPr>
        <w:ind w:left="580" w:hanging="576"/>
        <w:spacing w:after="0"/>
        <w:tabs>
          <w:tab w:leader="none" w:pos="580" w:val="left"/>
        </w:tabs>
        <w:numPr>
          <w:ilvl w:val="0"/>
          <w:numId w:val="1"/>
        </w:numPr>
        <w:rPr>
          <w:rFonts w:ascii="MS PGothic" w:cs="MS PGothic" w:eastAsia="MS PGothic" w:hAnsi="MS PGothic"/>
          <w:sz w:val="11"/>
          <w:szCs w:val="11"/>
          <w:color w:val="auto"/>
          <w:highlight w:val="black"/>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1"/>
          <w:szCs w:val="11"/>
          <w:color w:val="auto"/>
          <w:highlight w:val="black"/>
        </w:rPr>
      </w:pPr>
    </w:p>
    <w:p>
      <w:pPr>
        <w:ind w:left="580" w:hanging="576"/>
        <w:spacing w:after="0"/>
        <w:tabs>
          <w:tab w:leader="none" w:pos="580" w:val="left"/>
        </w:tabs>
        <w:numPr>
          <w:ilvl w:val="0"/>
          <w:numId w:val="1"/>
        </w:numPr>
        <w:rPr>
          <w:rFonts w:ascii="MS PGothic" w:cs="MS PGothic" w:eastAsia="MS PGothic" w:hAnsi="MS PGothic"/>
          <w:sz w:val="11"/>
          <w:szCs w:val="11"/>
          <w:color w:val="auto"/>
          <w:highlight w:val="black"/>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1"/>
          <w:szCs w:val="11"/>
          <w:color w:val="auto"/>
          <w:highlight w:val="black"/>
        </w:rPr>
      </w:pPr>
    </w:p>
    <w:p>
      <w:pPr>
        <w:ind w:left="580" w:hanging="576"/>
        <w:spacing w:after="0"/>
        <w:tabs>
          <w:tab w:leader="none" w:pos="580" w:val="left"/>
        </w:tabs>
        <w:numPr>
          <w:ilvl w:val="0"/>
          <w:numId w:val="1"/>
        </w:numPr>
        <w:rPr>
          <w:rFonts w:ascii="MS PGothic" w:cs="MS PGothic" w:eastAsia="MS PGothic" w:hAnsi="MS PGothic"/>
          <w:sz w:val="11"/>
          <w:szCs w:val="11"/>
          <w:color w:val="auto"/>
          <w:highlight w:val="black"/>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04" w:lineRule="exact"/>
        <w:rPr>
          <w:sz w:val="24"/>
          <w:szCs w:val="24"/>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860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If an emerging growth company, indicate by check mark if the registrant has elected not to use the extended transition period for complying with any new or revised financial accounting standards provided pursuant to Section 13(a) of</w:t>
      </w:r>
    </w:p>
    <w:p>
      <w:pPr>
        <w:spacing w:after="0" w:line="14" w:lineRule="exact"/>
        <w:rPr>
          <w:sz w:val="24"/>
          <w:szCs w:val="24"/>
          <w:color w:val="auto"/>
        </w:rPr>
      </w:pPr>
    </w:p>
    <w:tbl>
      <w:tblPr>
        <w:tblLayout w:type="fixed"/>
        <w:tblInd w:w="10" w:type="dxa"/>
        <w:tblCellMar>
          <w:top w:w="0" w:type="dxa"/>
          <w:left w:w="0" w:type="dxa"/>
          <w:bottom w:w="0" w:type="dxa"/>
          <w:right w:w="0" w:type="dxa"/>
        </w:tblCellMar>
      </w:tblPr>
      <w:tr>
        <w:trPr>
          <w:trHeight w:val="201"/>
        </w:trPr>
        <w:tc>
          <w:tcPr>
            <w:tcW w:w="10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the Exchange Act.</w:t>
            </w:r>
          </w:p>
        </w:tc>
        <w:tc>
          <w:tcPr>
            <w:tcW w:w="3500" w:type="dxa"/>
            <w:vAlign w:val="bottom"/>
          </w:tcPr>
          <w:p>
            <w:pPr>
              <w:ind w:left="100"/>
              <w:spacing w:after="0" w:line="121" w:lineRule="exact"/>
              <w:rPr>
                <w:sz w:val="20"/>
                <w:szCs w:val="20"/>
                <w:color w:val="auto"/>
              </w:rPr>
            </w:pPr>
            <w:r>
              <w:rPr>
                <w:rFonts w:ascii="MS PGothic" w:cs="MS PGothic" w:eastAsia="MS PGothic" w:hAnsi="MS PGothic"/>
                <w:sz w:val="12"/>
                <w:szCs w:val="12"/>
                <w:color w:val="auto"/>
                <w:highlight w:val="black"/>
              </w:rPr>
              <w:t>☐</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25"/>
        </w:trPr>
        <w:tc>
          <w:tcPr>
            <w:tcW w:w="45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r>
      <w:tr>
        <w:trPr>
          <w:trHeight w:val="133"/>
        </w:trPr>
        <w:tc>
          <w:tcPr>
            <w:tcW w:w="120" w:type="dxa"/>
            <w:vAlign w:val="bottom"/>
            <w:tcBorders>
              <w:left w:val="single" w:sz="8" w:color="auto"/>
            </w:tcBorders>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Title of each class</w:t>
            </w:r>
          </w:p>
        </w:tc>
        <w:tc>
          <w:tcPr>
            <w:tcW w:w="35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Borders>
              <w:right w:val="single" w:sz="8" w:color="auto"/>
            </w:tcBorders>
            <w:gridSpan w:val="2"/>
          </w:tcPr>
          <w:p>
            <w:pPr>
              <w:spacing w:after="0" w:line="133" w:lineRule="exact"/>
              <w:rPr>
                <w:sz w:val="20"/>
                <w:szCs w:val="20"/>
                <w:color w:val="auto"/>
              </w:rPr>
            </w:pPr>
            <w:r>
              <w:rPr>
                <w:rFonts w:ascii="Times New Roman" w:cs="Times New Roman" w:eastAsia="Times New Roman" w:hAnsi="Times New Roman"/>
                <w:sz w:val="12"/>
                <w:szCs w:val="12"/>
                <w:color w:val="auto"/>
              </w:rPr>
              <w:t>Trading Symbol(s)</w:t>
            </w:r>
          </w:p>
        </w:tc>
        <w:tc>
          <w:tcPr>
            <w:tcW w:w="100" w:type="dxa"/>
            <w:vAlign w:val="bottom"/>
          </w:tcPr>
          <w:p>
            <w:pPr>
              <w:spacing w:after="0"/>
              <w:rPr>
                <w:sz w:val="11"/>
                <w:szCs w:val="11"/>
                <w:color w:val="auto"/>
              </w:rPr>
            </w:pPr>
          </w:p>
        </w:tc>
        <w:tc>
          <w:tcPr>
            <w:tcW w:w="3900" w:type="dxa"/>
            <w:vAlign w:val="bottom"/>
            <w:tcBorders>
              <w:right w:val="single" w:sz="8" w:color="auto"/>
            </w:tcBorders>
            <w:gridSpan w:val="2"/>
          </w:tcPr>
          <w:p>
            <w:pPr>
              <w:spacing w:after="0" w:line="133" w:lineRule="exact"/>
              <w:rPr>
                <w:sz w:val="20"/>
                <w:szCs w:val="20"/>
                <w:color w:val="auto"/>
              </w:rPr>
            </w:pPr>
            <w:r>
              <w:rPr>
                <w:rFonts w:ascii="Times New Roman" w:cs="Times New Roman" w:eastAsia="Times New Roman" w:hAnsi="Times New Roman"/>
                <w:sz w:val="12"/>
                <w:szCs w:val="12"/>
                <w:color w:val="auto"/>
              </w:rPr>
              <w:t>Name of exchange on which registered</w:t>
            </w:r>
          </w:p>
        </w:tc>
      </w:tr>
      <w:tr>
        <w:trPr>
          <w:trHeight w:val="25"/>
        </w:trPr>
        <w:tc>
          <w:tcPr>
            <w:tcW w:w="120" w:type="dxa"/>
            <w:vAlign w:val="bottom"/>
            <w:tcBorders>
              <w:left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80" w:type="dxa"/>
            <w:vAlign w:val="bottom"/>
            <w:tcBorders>
              <w:top w:val="single" w:sz="8" w:color="auto"/>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160"/>
        </w:trPr>
        <w:tc>
          <w:tcPr>
            <w:tcW w:w="120" w:type="dxa"/>
            <w:vAlign w:val="bottom"/>
            <w:tcBorders>
              <w:left w:val="single" w:sz="8" w:color="auto"/>
              <w:bottom w:val="single" w:sz="8" w:color="auto"/>
            </w:tcBorders>
          </w:tcPr>
          <w:p>
            <w:pPr>
              <w:spacing w:after="0"/>
              <w:rPr>
                <w:sz w:val="13"/>
                <w:szCs w:val="13"/>
                <w:color w:val="auto"/>
              </w:rPr>
            </w:pPr>
          </w:p>
        </w:tc>
        <w:tc>
          <w:tcPr>
            <w:tcW w:w="446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auto"/>
              </w:rPr>
              <w:t>Common Stock, par value $0.001 per share</w:t>
            </w:r>
          </w:p>
        </w:tc>
        <w:tc>
          <w:tcPr>
            <w:tcW w:w="120" w:type="dxa"/>
            <w:vAlign w:val="bottom"/>
            <w:tcBorders>
              <w:bottom w:val="single" w:sz="8" w:color="auto"/>
            </w:tcBorders>
          </w:tcPr>
          <w:p>
            <w:pPr>
              <w:spacing w:after="0"/>
              <w:rPr>
                <w:sz w:val="13"/>
                <w:szCs w:val="13"/>
                <w:color w:val="auto"/>
              </w:rPr>
            </w:pPr>
          </w:p>
        </w:tc>
        <w:tc>
          <w:tcPr>
            <w:tcW w:w="26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FINW</w:t>
            </w:r>
          </w:p>
        </w:tc>
        <w:tc>
          <w:tcPr>
            <w:tcW w:w="100" w:type="dxa"/>
            <w:vAlign w:val="bottom"/>
            <w:tcBorders>
              <w:bottom w:val="single" w:sz="8" w:color="auto"/>
            </w:tcBorders>
          </w:tcPr>
          <w:p>
            <w:pPr>
              <w:spacing w:after="0"/>
              <w:rPr>
                <w:sz w:val="13"/>
                <w:szCs w:val="13"/>
                <w:color w:val="auto"/>
              </w:rPr>
            </w:pPr>
          </w:p>
        </w:tc>
        <w:tc>
          <w:tcPr>
            <w:tcW w:w="39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The NASDAQ Stock Market LLC</w:t>
            </w:r>
          </w:p>
        </w:tc>
      </w:tr>
      <w:tr>
        <w:trPr>
          <w:trHeight w:val="214"/>
        </w:trPr>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642"/>
        </w:trPr>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29" w:right="299" w:bottom="1440" w:gutter="0" w:footer="0" w:header="0"/>
          <w:type w:val="continuous"/>
        </w:sectPr>
      </w:pPr>
    </w:p>
    <w:bookmarkStart w:id="1" w:name="page2"/>
    <w:bookmarkEnd w:id="1"/>
    <w:p>
      <w:pPr>
        <w:ind w:left="8"/>
        <w:spacing w:after="0"/>
        <w:tabs>
          <w:tab w:leader="none" w:pos="628"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w:t>
      </w:r>
    </w:p>
    <w:p>
      <w:pPr>
        <w:spacing w:after="0" w:line="127" w:lineRule="exact"/>
        <w:rPr>
          <w:sz w:val="20"/>
          <w:szCs w:val="20"/>
          <w:color w:val="auto"/>
        </w:rPr>
      </w:pPr>
    </w:p>
    <w:p>
      <w:pPr>
        <w:ind w:left="8" w:right="540"/>
        <w:spacing w:after="0" w:line="279" w:lineRule="auto"/>
        <w:rPr>
          <w:sz w:val="20"/>
          <w:szCs w:val="20"/>
          <w:color w:val="auto"/>
        </w:rPr>
      </w:pPr>
      <w:r>
        <w:rPr>
          <w:rFonts w:ascii="Times New Roman" w:cs="Times New Roman" w:eastAsia="Times New Roman" w:hAnsi="Times New Roman"/>
          <w:sz w:val="12"/>
          <w:szCs w:val="12"/>
          <w:color w:val="auto"/>
        </w:rPr>
        <w:t>Attached and incorporated herein by reference as Exhibit 99.1 is a copy of the press release of FinWise Bancorp (the "Company"), dated October 28, 2026, reporting the Company's financial results for the fiscal quarter ended September 30, 2026.</w:t>
      </w:r>
    </w:p>
    <w:p>
      <w:pPr>
        <w:spacing w:after="0" w:line="84" w:lineRule="exact"/>
        <w:rPr>
          <w:sz w:val="20"/>
          <w:szCs w:val="20"/>
          <w:color w:val="auto"/>
        </w:rPr>
      </w:pPr>
    </w:p>
    <w:p>
      <w:pPr>
        <w:ind w:left="8" w:right="100"/>
        <w:spacing w:after="0" w:line="279" w:lineRule="auto"/>
        <w:rPr>
          <w:sz w:val="20"/>
          <w:szCs w:val="20"/>
          <w:color w:val="auto"/>
        </w:rPr>
      </w:pPr>
      <w:r>
        <w:rPr>
          <w:rFonts w:ascii="Times New Roman" w:cs="Times New Roman" w:eastAsia="Times New Roman" w:hAnsi="Times New Roman"/>
          <w:sz w:val="12"/>
          <w:szCs w:val="12"/>
          <w:color w:val="auto"/>
        </w:rPr>
        <w:t>The information set forth under this “Item 2.02 Results of Operations and Financial Condition,” including Exhibit 99.1 attached hereto, shall not be deemed “filed” for purposes of Section 18 of the Securities Exchange Act of 1934, as amended, nor shall such information be deemed incorporated by reference in any filing under the Securities Act of 1933, as amended, except as shall be expressly set forth by specific reference in such filing.</w:t>
      </w:r>
    </w:p>
    <w:p>
      <w:pPr>
        <w:spacing w:after="0" w:line="89" w:lineRule="exact"/>
        <w:rPr>
          <w:sz w:val="20"/>
          <w:szCs w:val="20"/>
          <w:color w:val="auto"/>
        </w:rPr>
      </w:pPr>
    </w:p>
    <w:p>
      <w:pPr>
        <w:ind w:left="8"/>
        <w:spacing w:after="0"/>
        <w:tabs>
          <w:tab w:leader="none" w:pos="628"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27" w:lineRule="exact"/>
        <w:rPr>
          <w:sz w:val="20"/>
          <w:szCs w:val="20"/>
          <w:color w:val="auto"/>
        </w:rPr>
      </w:pPr>
    </w:p>
    <w:p>
      <w:pPr>
        <w:jc w:val="both"/>
        <w:ind w:left="8" w:right="40"/>
        <w:spacing w:after="0" w:line="265" w:lineRule="auto"/>
        <w:rPr>
          <w:sz w:val="20"/>
          <w:szCs w:val="20"/>
          <w:color w:val="auto"/>
        </w:rPr>
      </w:pPr>
      <w:r>
        <w:rPr>
          <w:rFonts w:ascii="Times New Roman" w:cs="Times New Roman" w:eastAsia="Times New Roman" w:hAnsi="Times New Roman"/>
          <w:sz w:val="12"/>
          <w:szCs w:val="12"/>
          <w:color w:val="auto"/>
        </w:rPr>
        <w:t>The Company has prepared materials for presentation to investors. A copy of the materials is furnished as Exhibit 99.2 to this Current Report on Form 8-K and is incorporated herein by reference. The information set forth under “Item 7.01 Regulation FD Disclosure,” including Exhibit 99.2 attached hereto, shall not be deemed “filed” for purposes of Section 18 of the Securities Act of 1934, as amended, nor shall such information be deemed incorporated by reference in any filing under the Securities Act of 1933, as amended, except as shall be expressly set forth by specific reference in such filing.</w:t>
      </w:r>
    </w:p>
    <w:p>
      <w:pPr>
        <w:spacing w:after="0" w:line="88" w:lineRule="exact"/>
        <w:rPr>
          <w:sz w:val="20"/>
          <w:szCs w:val="20"/>
          <w:color w:val="auto"/>
        </w:rPr>
      </w:pPr>
    </w:p>
    <w:p>
      <w:pPr>
        <w:ind w:left="8"/>
        <w:spacing w:after="0"/>
        <w:tabs>
          <w:tab w:leader="none" w:pos="628"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36" w:lineRule="exact"/>
        <w:rPr>
          <w:sz w:val="20"/>
          <w:szCs w:val="20"/>
          <w:color w:val="auto"/>
        </w:rPr>
      </w:pPr>
    </w:p>
    <w:p>
      <w:pPr>
        <w:ind w:left="328" w:hanging="328"/>
        <w:spacing w:after="0"/>
        <w:tabs>
          <w:tab w:leader="none" w:pos="32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Exhibits</w:t>
      </w:r>
    </w:p>
    <w:p>
      <w:pPr>
        <w:spacing w:after="0" w:line="159" w:lineRule="exact"/>
        <w:rPr>
          <w:sz w:val="20"/>
          <w:szCs w:val="20"/>
          <w:color w:val="auto"/>
        </w:rPr>
      </w:pPr>
    </w:p>
    <w:tbl>
      <w:tblPr>
        <w:tblLayout w:type="fixed"/>
        <w:tblInd w:w="8" w:type="dxa"/>
        <w:tblCellMar>
          <w:top w:w="0" w:type="dxa"/>
          <w:left w:w="0" w:type="dxa"/>
          <w:bottom w:w="0" w:type="dxa"/>
          <w:right w:w="0" w:type="dxa"/>
        </w:tblCellMar>
      </w:tblPr>
      <w:tr>
        <w:trPr>
          <w:trHeight w:val="164"/>
        </w:trPr>
        <w:tc>
          <w:tcPr>
            <w:tcW w:w="1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No.</w:t>
            </w:r>
          </w:p>
        </w:tc>
        <w:tc>
          <w:tcPr>
            <w:tcW w:w="98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232"/>
        </w:trPr>
        <w:tc>
          <w:tcPr>
            <w:tcW w:w="1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99.1</w:t>
            </w:r>
          </w:p>
        </w:tc>
        <w:tc>
          <w:tcPr>
            <w:tcW w:w="80" w:type="dxa"/>
            <w:vAlign w:val="bottom"/>
          </w:tcPr>
          <w:p>
            <w:pPr>
              <w:spacing w:after="0"/>
              <w:rPr>
                <w:sz w:val="20"/>
                <w:szCs w:val="20"/>
                <w:color w:val="auto"/>
              </w:rPr>
            </w:pPr>
          </w:p>
        </w:tc>
        <w:tc>
          <w:tcPr>
            <w:tcW w:w="1820" w:type="dxa"/>
            <w:vAlign w:val="bottom"/>
            <w:tcBorders>
              <w:top w:val="single" w:sz="8" w:color="auto"/>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9"/>
              </w:rPr>
              <w:t>Press Release dated October 28, 2026</w:t>
            </w:r>
          </w:p>
        </w:tc>
        <w:tc>
          <w:tcPr>
            <w:tcW w:w="8040" w:type="dxa"/>
            <w:vAlign w:val="bottom"/>
            <w:tcBorders>
              <w:top w:val="single" w:sz="8" w:color="auto"/>
            </w:tcBorders>
            <w:gridSpan w:val="2"/>
          </w:tcPr>
          <w:p>
            <w:pPr>
              <w:spacing w:after="0"/>
              <w:rPr>
                <w:sz w:val="20"/>
                <w:szCs w:val="20"/>
                <w:color w:val="auto"/>
              </w:rPr>
            </w:pPr>
          </w:p>
        </w:tc>
      </w:tr>
      <w:tr>
        <w:trPr>
          <w:trHeight w:val="160"/>
        </w:trPr>
        <w:tc>
          <w:tcPr>
            <w:tcW w:w="136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80" w:type="dxa"/>
            <w:vAlign w:val="bottom"/>
          </w:tcPr>
          <w:p>
            <w:pPr>
              <w:spacing w:after="0"/>
              <w:rPr>
                <w:sz w:val="13"/>
                <w:szCs w:val="13"/>
                <w:color w:val="auto"/>
              </w:rPr>
            </w:pPr>
          </w:p>
        </w:tc>
        <w:tc>
          <w:tcPr>
            <w:tcW w:w="4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9"/>
              </w:rPr>
              <w:t>Investor Presentation of FinWise Bancorp Third Quarter 2026 (furnished pursuant to Regulation FD).</w:t>
            </w:r>
          </w:p>
        </w:tc>
        <w:tc>
          <w:tcPr>
            <w:tcW w:w="4980" w:type="dxa"/>
            <w:vAlign w:val="bottom"/>
          </w:tcPr>
          <w:p>
            <w:pPr>
              <w:spacing w:after="0"/>
              <w:rPr>
                <w:sz w:val="13"/>
                <w:szCs w:val="13"/>
                <w:color w:val="auto"/>
              </w:rPr>
            </w:pPr>
          </w:p>
        </w:tc>
      </w:tr>
      <w:tr>
        <w:trPr>
          <w:trHeight w:val="187"/>
        </w:trPr>
        <w:tc>
          <w:tcPr>
            <w:tcW w:w="13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80" w:type="dxa"/>
            <w:vAlign w:val="bottom"/>
          </w:tcPr>
          <w:p>
            <w:pPr>
              <w:spacing w:after="0"/>
              <w:rPr>
                <w:sz w:val="16"/>
                <w:szCs w:val="16"/>
                <w:color w:val="auto"/>
              </w:rPr>
            </w:pPr>
          </w:p>
        </w:tc>
        <w:tc>
          <w:tcPr>
            <w:tcW w:w="98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693"/>
        </w:trPr>
        <w:tc>
          <w:tcPr>
            <w:tcW w:w="1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908"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as amended, FinWise Bancorp has duly caused this report to be signed on its behalf by the undersigned hereunto duly authorized.</w:t>
      </w:r>
    </w:p>
    <w:p>
      <w:pPr>
        <w:spacing w:after="0" w:line="167"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2"/>
          <w:szCs w:val="12"/>
          <w:color w:val="auto"/>
        </w:rPr>
        <w:t>DATE: October 28, 2026</w:t>
      </w:r>
      <w:r>
        <w:rPr>
          <w:sz w:val="20"/>
          <w:szCs w:val="20"/>
          <w:color w:val="auto"/>
        </w:rPr>
        <w:tab/>
      </w:r>
      <w:r>
        <w:rPr>
          <w:rFonts w:ascii="Times New Roman" w:cs="Times New Roman" w:eastAsia="Times New Roman" w:hAnsi="Times New Roman"/>
          <w:sz w:val="11"/>
          <w:szCs w:val="11"/>
          <w:b w:val="1"/>
          <w:bCs w:val="1"/>
          <w:color w:val="auto"/>
        </w:rPr>
        <w:t>FINWISE BANCORP</w:t>
      </w:r>
    </w:p>
    <w:p>
      <w:pPr>
        <w:spacing w:after="0" w:line="2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/s/ Robert Wahlman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22225</wp:posOffset>
            </wp:positionV>
            <wp:extent cx="358902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Robert Wahlman</w:t>
      </w:r>
    </w:p>
    <w:p>
      <w:pPr>
        <w:spacing w:after="0" w:line="4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Chief Financial Officer and Executive Vice President</w:t>
      </w:r>
    </w:p>
    <w:p>
      <w:pPr>
        <w:sectPr>
          <w:pgSz w:w="11900" w:h="16838" w:orient="portrait"/>
          <w:cols w:equalWidth="0" w:num="1">
            <w:col w:w="10159"/>
          </w:cols>
          <w:pgMar w:left="300" w:top="908"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185420</wp:posOffset>
            </wp:positionH>
            <wp:positionV relativeFrom="page">
              <wp:posOffset>363220</wp:posOffset>
            </wp:positionV>
            <wp:extent cx="1234440" cy="422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22910"/>
                    </a:xfrm>
                    <a:prstGeom prst="rect">
                      <a:avLst/>
                    </a:prstGeom>
                    <a:noFill/>
                  </pic:spPr>
                </pic:pic>
              </a:graphicData>
            </a:graphic>
          </wp:anchor>
        </w:drawing>
        <w:t>Exhibit 99.1</w:t>
      </w:r>
    </w:p>
    <w:p>
      <w:pPr>
        <w:spacing w:after="0" w:line="128" w:lineRule="exact"/>
        <w:rPr>
          <w:sz w:val="20"/>
          <w:szCs w:val="20"/>
          <w:color w:val="auto"/>
        </w:rPr>
      </w:pPr>
    </w:p>
    <w:p>
      <w:pPr>
        <w:jc w:val="center"/>
        <w:ind w:right="-7"/>
        <w:spacing w:after="0"/>
        <w:rPr>
          <w:sz w:val="20"/>
          <w:szCs w:val="20"/>
          <w:color w:val="auto"/>
        </w:rPr>
      </w:pPr>
      <w:r>
        <w:rPr>
          <w:rFonts w:ascii="Arial" w:cs="Arial" w:eastAsia="Arial" w:hAnsi="Arial"/>
          <w:sz w:val="17"/>
          <w:szCs w:val="17"/>
          <w:b w:val="1"/>
          <w:bCs w:val="1"/>
          <w:color w:val="365F91"/>
        </w:rPr>
        <w:t>FINWISE BANCORP REPORTS THIRD QUARTER 2026 RESULTS</w:t>
      </w:r>
    </w:p>
    <w:p>
      <w:pPr>
        <w:spacing w:after="0" w:line="66" w:lineRule="exact"/>
        <w:rPr>
          <w:sz w:val="20"/>
          <w:szCs w:val="20"/>
          <w:color w:val="auto"/>
        </w:rPr>
      </w:pPr>
    </w:p>
    <w:p>
      <w:pPr>
        <w:ind w:left="4568"/>
        <w:spacing w:after="0"/>
        <w:rPr>
          <w:sz w:val="20"/>
          <w:szCs w:val="20"/>
          <w:color w:val="auto"/>
        </w:rPr>
      </w:pPr>
      <w:r>
        <w:rPr>
          <w:rFonts w:ascii="Arial" w:cs="Arial" w:eastAsia="Arial" w:hAnsi="Arial"/>
          <w:sz w:val="13"/>
          <w:szCs w:val="13"/>
          <w:b w:val="1"/>
          <w:bCs w:val="1"/>
          <w:i w:val="1"/>
          <w:iCs w:val="1"/>
          <w:color w:val="auto"/>
        </w:rPr>
        <w:t xml:space="preserve">- Loan Originations of </w:t>
      </w:r>
      <w:r>
        <w:rPr>
          <w:rFonts w:ascii="Arial" w:cs="Arial" w:eastAsia="Arial" w:hAnsi="Arial"/>
          <w:sz w:val="13"/>
          <w:szCs w:val="13"/>
          <w:b w:val="1"/>
          <w:bCs w:val="1"/>
          <w:color w:val="auto"/>
        </w:rPr>
        <w:t>$2.1</w:t>
      </w:r>
      <w:r>
        <w:rPr>
          <w:rFonts w:ascii="Arial" w:cs="Arial" w:eastAsia="Arial" w:hAnsi="Arial"/>
          <w:sz w:val="13"/>
          <w:szCs w:val="13"/>
          <w:b w:val="1"/>
          <w:bCs w:val="1"/>
          <w:i w:val="1"/>
          <w:iCs w:val="1"/>
          <w:color w:val="auto"/>
        </w:rPr>
        <w:t xml:space="preserve"> Billion -</w:t>
      </w:r>
    </w:p>
    <w:p>
      <w:pPr>
        <w:spacing w:after="0" w:line="31" w:lineRule="exact"/>
        <w:rPr>
          <w:sz w:val="20"/>
          <w:szCs w:val="20"/>
          <w:color w:val="auto"/>
        </w:rPr>
      </w:pPr>
    </w:p>
    <w:p>
      <w:pPr>
        <w:ind w:left="4728"/>
        <w:spacing w:after="0"/>
        <w:rPr>
          <w:sz w:val="20"/>
          <w:szCs w:val="20"/>
          <w:color w:val="auto"/>
        </w:rPr>
      </w:pPr>
      <w:r>
        <w:rPr>
          <w:rFonts w:ascii="Arial" w:cs="Arial" w:eastAsia="Arial" w:hAnsi="Arial"/>
          <w:sz w:val="13"/>
          <w:szCs w:val="13"/>
          <w:b w:val="1"/>
          <w:bCs w:val="1"/>
          <w:i w:val="1"/>
          <w:iCs w:val="1"/>
          <w:color w:val="auto"/>
        </w:rPr>
        <w:t>- Net Income of $10.0 Million -</w:t>
      </w:r>
    </w:p>
    <w:p>
      <w:pPr>
        <w:spacing w:after="0" w:line="30"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i w:val="1"/>
          <w:iCs w:val="1"/>
          <w:color w:val="auto"/>
        </w:rPr>
        <w:t>- Diluted Earnings Per Share of $0.73 -</w:t>
      </w:r>
    </w:p>
    <w:p>
      <w:pPr>
        <w:spacing w:after="0" w:line="256" w:lineRule="exact"/>
        <w:rPr>
          <w:sz w:val="20"/>
          <w:szCs w:val="20"/>
          <w:color w:val="auto"/>
        </w:rPr>
      </w:pPr>
    </w:p>
    <w:p>
      <w:pPr>
        <w:ind w:left="8" w:right="340"/>
        <w:spacing w:after="0" w:line="312" w:lineRule="auto"/>
        <w:rPr>
          <w:sz w:val="20"/>
          <w:szCs w:val="20"/>
          <w:color w:val="auto"/>
        </w:rPr>
      </w:pPr>
      <w:r>
        <w:rPr>
          <w:rFonts w:ascii="Arial" w:cs="Arial" w:eastAsia="Arial" w:hAnsi="Arial"/>
          <w:sz w:val="13"/>
          <w:szCs w:val="13"/>
          <w:b w:val="1"/>
          <w:bCs w:val="1"/>
          <w:color w:val="auto"/>
        </w:rPr>
        <w:t xml:space="preserve">MURRAY, UTAH — October 28, 2026 (GLOBE NEWSWIRE) </w:t>
      </w:r>
      <w:r>
        <w:rPr>
          <w:rFonts w:ascii="Arial" w:cs="Arial" w:eastAsia="Arial" w:hAnsi="Arial"/>
          <w:sz w:val="13"/>
          <w:szCs w:val="13"/>
          <w:color w:val="auto"/>
        </w:rPr>
        <w:t>— FinWise Bancorp (NASDAQ: FINW) (“FinWise”, the “Company”, “we”, “our”, or “us”), parent company of FinWise Bank (the</w:t>
      </w:r>
      <w:r>
        <w:rPr>
          <w:rFonts w:ascii="Arial" w:cs="Arial" w:eastAsia="Arial" w:hAnsi="Arial"/>
          <w:sz w:val="13"/>
          <w:szCs w:val="13"/>
          <w:b w:val="1"/>
          <w:bCs w:val="1"/>
          <w:color w:val="auto"/>
        </w:rPr>
        <w:t xml:space="preserve"> </w:t>
      </w:r>
      <w:r>
        <w:rPr>
          <w:rFonts w:ascii="Arial" w:cs="Arial" w:eastAsia="Arial" w:hAnsi="Arial"/>
          <w:sz w:val="13"/>
          <w:szCs w:val="13"/>
          <w:color w:val="auto"/>
        </w:rPr>
        <w:t>“Bank”), today announced results for the quarter ended September 30, 2026.</w:t>
      </w:r>
    </w:p>
    <w:p>
      <w:pPr>
        <w:spacing w:after="0" w:line="201"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365F91"/>
        </w:rPr>
        <w:t>Third Quarter 2026 Highlights</w:t>
      </w:r>
    </w:p>
    <w:p>
      <w:pPr>
        <w:spacing w:after="0" w:line="26" w:lineRule="exact"/>
        <w:rPr>
          <w:sz w:val="20"/>
          <w:szCs w:val="20"/>
          <w:color w:val="auto"/>
        </w:rPr>
      </w:pPr>
    </w:p>
    <w:p>
      <w:pPr>
        <w:ind w:left="408" w:hanging="192"/>
        <w:spacing w:after="0"/>
        <w:tabs>
          <w:tab w:leader="none" w:pos="408" w:val="left"/>
        </w:tabs>
        <w:numPr>
          <w:ilvl w:val="0"/>
          <w:numId w:val="3"/>
        </w:numPr>
        <w:rPr>
          <w:rFonts w:ascii="Arial" w:cs="Arial" w:eastAsia="Arial" w:hAnsi="Arial"/>
          <w:sz w:val="13"/>
          <w:szCs w:val="13"/>
          <w:color w:val="auto"/>
        </w:rPr>
      </w:pPr>
      <w:r>
        <w:rPr>
          <w:rFonts w:ascii="Arial" w:cs="Arial" w:eastAsia="Arial" w:hAnsi="Arial"/>
          <w:sz w:val="13"/>
          <w:szCs w:val="13"/>
          <w:color w:val="auto"/>
        </w:rPr>
        <w:t>Loan originations totaled $2.1 billion, compared to $1.6 billion for the quarter ended June 30, 2026, and $1.8 billion for the third quarter of the prior year</w:t>
      </w:r>
    </w:p>
    <w:p>
      <w:pPr>
        <w:spacing w:after="0" w:line="11" w:lineRule="exact"/>
        <w:rPr>
          <w:rFonts w:ascii="Arial" w:cs="Arial" w:eastAsia="Arial" w:hAnsi="Arial"/>
          <w:sz w:val="13"/>
          <w:szCs w:val="13"/>
          <w:color w:val="auto"/>
        </w:rPr>
      </w:pPr>
    </w:p>
    <w:p>
      <w:pPr>
        <w:ind w:left="428" w:right="40" w:hanging="212"/>
        <w:spacing w:after="0" w:line="252" w:lineRule="auto"/>
        <w:tabs>
          <w:tab w:leader="none" w:pos="402" w:val="left"/>
        </w:tabs>
        <w:numPr>
          <w:ilvl w:val="0"/>
          <w:numId w:val="3"/>
        </w:numPr>
        <w:rPr>
          <w:rFonts w:ascii="Arial" w:cs="Arial" w:eastAsia="Arial" w:hAnsi="Arial"/>
          <w:sz w:val="13"/>
          <w:szCs w:val="13"/>
          <w:color w:val="auto"/>
        </w:rPr>
      </w:pPr>
      <w:r>
        <w:rPr>
          <w:rFonts w:ascii="Arial" w:cs="Arial" w:eastAsia="Arial" w:hAnsi="Arial"/>
          <w:sz w:val="13"/>
          <w:szCs w:val="13"/>
          <w:color w:val="auto"/>
        </w:rPr>
        <w:t>Period end credit enhanced loan balances outstanding reached $146.2 million in the third quarter, compared to $74.2 million for the quarter ended June 30, 2026, and $41.4 million for the third quarter of the prior year</w:t>
      </w:r>
    </w:p>
    <w:p>
      <w:pPr>
        <w:spacing w:after="0" w:line="1" w:lineRule="exact"/>
        <w:rPr>
          <w:rFonts w:ascii="Arial" w:cs="Arial" w:eastAsia="Arial" w:hAnsi="Arial"/>
          <w:sz w:val="13"/>
          <w:szCs w:val="13"/>
          <w:color w:val="auto"/>
        </w:rPr>
      </w:pPr>
    </w:p>
    <w:p>
      <w:pPr>
        <w:ind w:left="408" w:hanging="192"/>
        <w:spacing w:after="0"/>
        <w:tabs>
          <w:tab w:leader="none" w:pos="408" w:val="left"/>
        </w:tabs>
        <w:numPr>
          <w:ilvl w:val="0"/>
          <w:numId w:val="3"/>
        </w:numPr>
        <w:rPr>
          <w:rFonts w:ascii="Arial" w:cs="Arial" w:eastAsia="Arial" w:hAnsi="Arial"/>
          <w:sz w:val="13"/>
          <w:szCs w:val="13"/>
          <w:color w:val="auto"/>
        </w:rPr>
      </w:pPr>
      <w:r>
        <w:rPr>
          <w:rFonts w:ascii="Arial" w:cs="Arial" w:eastAsia="Arial" w:hAnsi="Arial"/>
          <w:sz w:val="13"/>
          <w:szCs w:val="13"/>
          <w:color w:val="auto"/>
        </w:rPr>
        <w:t>Net interest income was $41.9 million, compared to $28.4 million for the quarter ended June 30, 2026, and $18.6 million for the third quarter of the prior year</w:t>
      </w:r>
    </w:p>
    <w:p>
      <w:pPr>
        <w:spacing w:after="0" w:line="4" w:lineRule="exact"/>
        <w:rPr>
          <w:rFonts w:ascii="Arial" w:cs="Arial" w:eastAsia="Arial" w:hAnsi="Arial"/>
          <w:sz w:val="13"/>
          <w:szCs w:val="13"/>
          <w:color w:val="auto"/>
        </w:rPr>
      </w:pPr>
    </w:p>
    <w:p>
      <w:pPr>
        <w:ind w:left="408" w:hanging="192"/>
        <w:spacing w:after="0"/>
        <w:tabs>
          <w:tab w:leader="none" w:pos="408" w:val="left"/>
        </w:tabs>
        <w:numPr>
          <w:ilvl w:val="0"/>
          <w:numId w:val="3"/>
        </w:numPr>
        <w:rPr>
          <w:rFonts w:ascii="Arial" w:cs="Arial" w:eastAsia="Arial" w:hAnsi="Arial"/>
          <w:sz w:val="13"/>
          <w:szCs w:val="13"/>
          <w:color w:val="auto"/>
        </w:rPr>
      </w:pPr>
      <w:r>
        <w:rPr>
          <w:rFonts w:ascii="Arial" w:cs="Arial" w:eastAsia="Arial" w:hAnsi="Arial"/>
          <w:sz w:val="13"/>
          <w:szCs w:val="13"/>
          <w:color w:val="auto"/>
        </w:rPr>
        <w:t>Net income was $10.0 million, compared to $2.1 million for the quarter ended June 30, 2026, and $4.9 million for the third quarter of the prior year</w:t>
      </w:r>
    </w:p>
    <w:p>
      <w:pPr>
        <w:spacing w:after="0" w:line="11" w:lineRule="exact"/>
        <w:rPr>
          <w:rFonts w:ascii="Arial" w:cs="Arial" w:eastAsia="Arial" w:hAnsi="Arial"/>
          <w:sz w:val="13"/>
          <w:szCs w:val="13"/>
          <w:color w:val="auto"/>
        </w:rPr>
      </w:pPr>
    </w:p>
    <w:p>
      <w:pPr>
        <w:ind w:left="428" w:right="60" w:hanging="212"/>
        <w:spacing w:after="0" w:line="253" w:lineRule="auto"/>
        <w:tabs>
          <w:tab w:leader="none" w:pos="402" w:val="left"/>
        </w:tabs>
        <w:numPr>
          <w:ilvl w:val="0"/>
          <w:numId w:val="3"/>
        </w:numPr>
        <w:rPr>
          <w:rFonts w:ascii="Arial" w:cs="Arial" w:eastAsia="Arial" w:hAnsi="Arial"/>
          <w:sz w:val="13"/>
          <w:szCs w:val="13"/>
          <w:color w:val="auto"/>
        </w:rPr>
      </w:pPr>
      <w:r>
        <w:rPr>
          <w:rFonts w:ascii="Arial" w:cs="Arial" w:eastAsia="Arial" w:hAnsi="Arial"/>
          <w:sz w:val="13"/>
          <w:szCs w:val="13"/>
          <w:color w:val="auto"/>
        </w:rPr>
        <w:t>Net income for the three months ended September 30, 2026 includes a $6.5 million bargain purchase gain resulting from the July 20, 2026 acquisition of certain assets and assumption of certain liabilities of Tallied Technologies Inc. and a $0.4 million loss from discontinued operations</w:t>
      </w:r>
    </w:p>
    <w:p>
      <w:pPr>
        <w:ind w:left="408" w:hanging="192"/>
        <w:spacing w:after="0"/>
        <w:tabs>
          <w:tab w:leader="none" w:pos="408" w:val="left"/>
        </w:tabs>
        <w:numPr>
          <w:ilvl w:val="0"/>
          <w:numId w:val="3"/>
        </w:numPr>
        <w:rPr>
          <w:rFonts w:ascii="Arial" w:cs="Arial" w:eastAsia="Arial" w:hAnsi="Arial"/>
          <w:sz w:val="13"/>
          <w:szCs w:val="13"/>
          <w:color w:val="auto"/>
        </w:rPr>
      </w:pPr>
      <w:r>
        <w:rPr>
          <w:rFonts w:ascii="Arial" w:cs="Arial" w:eastAsia="Arial" w:hAnsi="Arial"/>
          <w:sz w:val="13"/>
          <w:szCs w:val="13"/>
          <w:color w:val="auto"/>
        </w:rPr>
        <w:t>Diluted earnings per share (“EPS”) were $0.73 for the quarter, compared to $0.15 for the quarter ended June 30, 2026, and $0.34 for the third quarter of the prior year</w:t>
      </w:r>
    </w:p>
    <w:p>
      <w:pPr>
        <w:spacing w:after="0" w:line="11" w:lineRule="exact"/>
        <w:rPr>
          <w:rFonts w:ascii="Arial" w:cs="Arial" w:eastAsia="Arial" w:hAnsi="Arial"/>
          <w:sz w:val="13"/>
          <w:szCs w:val="13"/>
          <w:color w:val="auto"/>
        </w:rPr>
      </w:pPr>
    </w:p>
    <w:p>
      <w:pPr>
        <w:ind w:left="408" w:hanging="192"/>
        <w:spacing w:after="0" w:line="188" w:lineRule="auto"/>
        <w:tabs>
          <w:tab w:leader="none" w:pos="408" w:val="left"/>
        </w:tabs>
        <w:numPr>
          <w:ilvl w:val="0"/>
          <w:numId w:val="3"/>
        </w:numPr>
        <w:rPr>
          <w:rFonts w:ascii="Arial" w:cs="Arial" w:eastAsia="Arial" w:hAnsi="Arial"/>
          <w:sz w:val="13"/>
          <w:szCs w:val="13"/>
          <w:color w:val="auto"/>
        </w:rPr>
      </w:pPr>
      <w:r>
        <w:rPr>
          <w:rFonts w:ascii="Arial" w:cs="Arial" w:eastAsia="Arial" w:hAnsi="Arial"/>
          <w:sz w:val="13"/>
          <w:szCs w:val="13"/>
          <w:color w:val="auto"/>
        </w:rPr>
        <w:t>Efficiency ratio</w:t>
      </w:r>
      <w:r>
        <w:rPr>
          <w:rFonts w:ascii="Arial" w:cs="Arial" w:eastAsia="Arial" w:hAnsi="Arial"/>
          <w:sz w:val="17"/>
          <w:szCs w:val="17"/>
          <w:color w:val="auto"/>
          <w:vertAlign w:val="superscript"/>
        </w:rPr>
        <w:t>1</w:t>
      </w:r>
      <w:r>
        <w:rPr>
          <w:rFonts w:ascii="Arial" w:cs="Arial" w:eastAsia="Arial" w:hAnsi="Arial"/>
          <w:sz w:val="13"/>
          <w:szCs w:val="13"/>
          <w:color w:val="auto"/>
        </w:rPr>
        <w:t xml:space="preserve"> was 41.6%, compared to 54.9% for the quarter ended June 30, 2026, and 47.6% for the third quarter of the prior year</w:t>
      </w:r>
    </w:p>
    <w:p>
      <w:pPr>
        <w:ind w:left="428" w:right="40" w:hanging="212"/>
        <w:spacing w:after="0" w:line="269" w:lineRule="auto"/>
        <w:tabs>
          <w:tab w:leader="none" w:pos="402"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Nonperforming loan balances were $37.1 million as of September 30, 2026, compared to $37.7 million as of June 30, 2026, and $43.1 million as of September 30, 2025. Nonperforming loan balances guaranteed by the Small Business Administration (“SBA”) were $17.7 million, $19.1 million, and $23.6 million as of September 30, 2026, June 30, 2026, and September 30, 2025, respectively</w:t>
      </w:r>
    </w:p>
    <w:p>
      <w:pPr>
        <w:spacing w:after="0" w:line="133" w:lineRule="exact"/>
        <w:rPr>
          <w:sz w:val="20"/>
          <w:szCs w:val="20"/>
          <w:color w:val="auto"/>
        </w:rPr>
      </w:pPr>
    </w:p>
    <w:p>
      <w:pPr>
        <w:ind w:left="8" w:right="160"/>
        <w:spacing w:after="0" w:line="286" w:lineRule="auto"/>
        <w:rPr>
          <w:sz w:val="20"/>
          <w:szCs w:val="20"/>
          <w:color w:val="auto"/>
        </w:rPr>
      </w:pPr>
      <w:r>
        <w:rPr>
          <w:rFonts w:ascii="Arial" w:cs="Arial" w:eastAsia="Arial" w:hAnsi="Arial"/>
          <w:sz w:val="13"/>
          <w:szCs w:val="13"/>
          <w:color w:val="auto"/>
        </w:rPr>
        <w:t>“This quarter demonstrates the tangible progress we have made in broadening our platform and building a more capital-efficient sponsor bank,” said Jim Noone, CEO of FinWise Bancorp. “We originated $2.1 billion in loans and we nearly doubled our credit-enhanced balances to $146 million in the quarter. Even after the cost of those partner arrangements, net interest income rose 17%</w:t>
      </w:r>
      <w:r>
        <w:rPr>
          <w:rFonts w:ascii="Arial" w:cs="Arial" w:eastAsia="Arial" w:hAnsi="Arial"/>
          <w:sz w:val="17"/>
          <w:szCs w:val="17"/>
          <w:color w:val="auto"/>
          <w:vertAlign w:val="superscript"/>
        </w:rPr>
        <w:t>1</w:t>
      </w:r>
      <w:r>
        <w:rPr>
          <w:rFonts w:ascii="Arial" w:cs="Arial" w:eastAsia="Arial" w:hAnsi="Arial"/>
          <w:sz w:val="13"/>
          <w:szCs w:val="13"/>
          <w:color w:val="auto"/>
        </w:rPr>
        <w:t xml:space="preserve"> from the second quarter. We also recognized a one-time gain from our first acquisition transaction.</w:t>
      </w:r>
    </w:p>
    <w:p>
      <w:pPr>
        <w:spacing w:after="0" w:line="68" w:lineRule="exact"/>
        <w:rPr>
          <w:sz w:val="20"/>
          <w:szCs w:val="20"/>
          <w:color w:val="auto"/>
        </w:rPr>
      </w:pPr>
    </w:p>
    <w:p>
      <w:pPr>
        <w:ind w:left="8" w:right="120"/>
        <w:spacing w:after="0" w:line="277" w:lineRule="auto"/>
        <w:rPr>
          <w:sz w:val="20"/>
          <w:szCs w:val="20"/>
          <w:color w:val="auto"/>
        </w:rPr>
      </w:pPr>
      <w:r>
        <w:rPr>
          <w:rFonts w:ascii="Arial" w:cs="Arial" w:eastAsia="Arial" w:hAnsi="Arial"/>
          <w:sz w:val="13"/>
          <w:szCs w:val="13"/>
          <w:color w:val="auto"/>
        </w:rPr>
        <w:t>“Credit performance improved during the quarter. Net charge-offs on loans without credit enhancement were $2.6 million in the quarter, well below the range of the last few quarters. Non-performing asset balances also decreased quarter-over-quarter. With tangible book value up 9% over the past year, a leverage ratio of 18.1%, a strong pipeline of prospective partners with the potential to contribute more meaningfully to future revenue, and continued share repurchases, we have the capital strength, teams and operating environment to execute. We remain committed to disciplined execution, ongoing credit quality improvement, and delivering long-term value for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150876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08760" cy="5715"/>
                    </a:xfrm>
                    <a:prstGeom prst="rect">
                      <a:avLst/>
                    </a:prstGeom>
                    <a:noFill/>
                  </pic:spPr>
                </pic:pic>
              </a:graphicData>
            </a:graphic>
          </wp:anchor>
        </w:drawing>
      </w:r>
    </w:p>
    <w:p>
      <w:pPr>
        <w:spacing w:after="0" w:line="122" w:lineRule="exact"/>
        <w:rPr>
          <w:sz w:val="20"/>
          <w:szCs w:val="20"/>
          <w:color w:val="auto"/>
        </w:rPr>
      </w:pPr>
    </w:p>
    <w:p>
      <w:pPr>
        <w:ind w:left="68" w:hanging="68"/>
        <w:spacing w:after="0"/>
        <w:tabs>
          <w:tab w:leader="none" w:pos="68" w:val="left"/>
        </w:tabs>
        <w:numPr>
          <w:ilvl w:val="0"/>
          <w:numId w:val="4"/>
        </w:numPr>
        <w:rPr>
          <w:rFonts w:ascii="Arial" w:cs="Arial" w:eastAsia="Arial" w:hAnsi="Arial"/>
          <w:sz w:val="14"/>
          <w:szCs w:val="14"/>
          <w:color w:val="auto"/>
          <w:vertAlign w:val="superscript"/>
        </w:rPr>
      </w:pPr>
      <w:r>
        <w:rPr>
          <w:rFonts w:ascii="Arial" w:cs="Arial" w:eastAsia="Arial" w:hAnsi="Arial"/>
          <w:sz w:val="11"/>
          <w:szCs w:val="11"/>
          <w:color w:val="auto"/>
        </w:rPr>
        <w:t>See “Reconciliation of GAAP to Non-GAAP Financial Measures” for a reconciliation of this non-GAAP measure.</w:t>
      </w:r>
    </w:p>
    <w:p>
      <w:pPr>
        <w:spacing w:after="0" w:line="87"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308"/>
          </w:cols>
          <w:pgMar w:left="292" w:top="1283" w:right="299" w:bottom="1440" w:gutter="0" w:footer="0" w:header="0"/>
        </w:sectPr>
      </w:pPr>
    </w:p>
    <w:bookmarkStart w:id="4" w:name="page5"/>
    <w:bookmarkEnd w:id="4"/>
    <w:p>
      <w:pPr>
        <w:ind w:left="8"/>
        <w:spacing w:after="0"/>
        <w:rPr>
          <w:sz w:val="20"/>
          <w:szCs w:val="20"/>
          <w:color w:val="auto"/>
        </w:rPr>
      </w:pPr>
      <w:r>
        <w:rPr>
          <w:rFonts w:ascii="Arial" w:cs="Arial" w:eastAsia="Arial" w:hAnsi="Arial"/>
          <w:sz w:val="14"/>
          <w:szCs w:val="14"/>
          <w:b w:val="1"/>
          <w:bCs w:val="1"/>
          <w:color w:val="365F91"/>
        </w:rPr>
        <w:t>Selected Financial and Other Data</w:t>
      </w:r>
    </w:p>
    <w:p>
      <w:pPr>
        <w:spacing w:after="0" w:line="209"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7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140" w:type="dxa"/>
            <w:vAlign w:val="bottom"/>
            <w:tcBorders>
              <w:bottom w:val="single" w:sz="8" w:color="auto"/>
            </w:tcBorders>
            <w:gridSpan w:val="6"/>
          </w:tcPr>
          <w:p>
            <w:pPr>
              <w:jc w:val="right"/>
              <w:ind w:right="106"/>
              <w:spacing w:after="0"/>
              <w:rPr>
                <w:sz w:val="20"/>
                <w:szCs w:val="20"/>
                <w:color w:val="auto"/>
              </w:rPr>
            </w:pPr>
            <w:r>
              <w:rPr>
                <w:rFonts w:ascii="Arial" w:cs="Arial" w:eastAsia="Arial" w:hAnsi="Arial"/>
                <w:sz w:val="11"/>
                <w:szCs w:val="11"/>
                <w:b w:val="1"/>
                <w:bCs w:val="1"/>
                <w:color w:val="auto"/>
              </w:rPr>
              <w:t>As of and for the Three Months Ended</w:t>
            </w:r>
          </w:p>
        </w:tc>
        <w:tc>
          <w:tcPr>
            <w:tcW w:w="1140" w:type="dxa"/>
            <w:vAlign w:val="bottom"/>
            <w:tcBorders>
              <w:bottom w:val="single" w:sz="8" w:color="auto"/>
            </w:tcBorders>
          </w:tcPr>
          <w:p>
            <w:pPr>
              <w:spacing w:after="0"/>
              <w:rPr>
                <w:sz w:val="12"/>
                <w:szCs w:val="12"/>
                <w:color w:val="auto"/>
              </w:rPr>
            </w:pPr>
          </w:p>
        </w:tc>
      </w:tr>
      <w:tr>
        <w:trPr>
          <w:trHeight w:val="133"/>
        </w:trPr>
        <w:tc>
          <w:tcPr>
            <w:tcW w:w="6700" w:type="dxa"/>
            <w:vAlign w:val="bottom"/>
            <w:tcBorders>
              <w:bottom w:val="single" w:sz="8" w:color="CCEEFF"/>
            </w:tcBorders>
          </w:tcPr>
          <w:p>
            <w:pPr>
              <w:spacing w:after="0"/>
              <w:rPr>
                <w:sz w:val="20"/>
                <w:szCs w:val="20"/>
                <w:color w:val="auto"/>
              </w:rPr>
            </w:pPr>
            <w:r>
              <w:rPr>
                <w:rFonts w:ascii="Arial" w:cs="Arial" w:eastAsia="Arial" w:hAnsi="Arial"/>
                <w:sz w:val="11"/>
                <w:szCs w:val="11"/>
                <w:i w:val="1"/>
                <w:iCs w:val="1"/>
                <w:color w:val="auto"/>
              </w:rPr>
              <w:t>($ in thousands, except per share amounts)</w:t>
            </w:r>
          </w:p>
        </w:tc>
        <w:tc>
          <w:tcPr>
            <w:tcW w:w="3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b w:val="1"/>
                <w:bCs w:val="1"/>
                <w:color w:val="auto"/>
              </w:rPr>
              <w:t>9/30/2026</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6/30/2026</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b w:val="1"/>
                <w:bCs w:val="1"/>
                <w:color w:val="auto"/>
              </w:rPr>
              <w:t>9/30/2025</w:t>
            </w:r>
          </w:p>
        </w:tc>
      </w:tr>
      <w:tr>
        <w:trPr>
          <w:trHeight w:val="133"/>
        </w:trPr>
        <w:tc>
          <w:tcPr>
            <w:tcW w:w="6700" w:type="dxa"/>
            <w:vAlign w:val="bottom"/>
            <w:shd w:val="clear" w:color="auto" w:fill="CCEEFF"/>
          </w:tcPr>
          <w:p>
            <w:pPr>
              <w:spacing w:after="0"/>
              <w:rPr>
                <w:sz w:val="20"/>
                <w:szCs w:val="20"/>
                <w:color w:val="auto"/>
              </w:rPr>
            </w:pPr>
            <w:r>
              <w:rPr>
                <w:rFonts w:ascii="Arial" w:cs="Arial" w:eastAsia="Arial" w:hAnsi="Arial"/>
                <w:sz w:val="11"/>
                <w:szCs w:val="11"/>
                <w:color w:val="auto"/>
              </w:rPr>
              <w:t>Amount of loans originated</w:t>
            </w:r>
          </w:p>
        </w:tc>
        <w:tc>
          <w:tcPr>
            <w:tcW w:w="30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2,065,300</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1,629,920</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1,789,736</w:t>
            </w:r>
          </w:p>
        </w:tc>
      </w:tr>
      <w:tr>
        <w:trPr>
          <w:trHeight w:val="162"/>
        </w:trPr>
        <w:tc>
          <w:tcPr>
            <w:tcW w:w="6700" w:type="dxa"/>
            <w:vAlign w:val="bottom"/>
          </w:tcPr>
          <w:p>
            <w:pPr>
              <w:spacing w:after="0"/>
              <w:rPr>
                <w:sz w:val="20"/>
                <w:szCs w:val="20"/>
                <w:color w:val="auto"/>
              </w:rPr>
            </w:pPr>
            <w:r>
              <w:rPr>
                <w:rFonts w:ascii="Arial" w:cs="Arial" w:eastAsia="Arial" w:hAnsi="Arial"/>
                <w:sz w:val="11"/>
                <w:szCs w:val="11"/>
                <w:color w:val="auto"/>
              </w:rPr>
              <w:t>Provision for credit losses, net of provision for credit-enhanced Strategic Program loans</w:t>
            </w:r>
            <w:r>
              <w:rPr>
                <w:rFonts w:ascii="Arial" w:cs="Arial" w:eastAsia="Arial" w:hAnsi="Arial"/>
                <w:sz w:val="14"/>
                <w:szCs w:val="14"/>
                <w:color w:val="auto"/>
                <w:vertAlign w:val="superscript"/>
              </w:rPr>
              <w:t>(1)</w:t>
            </w: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ind w:right="86"/>
              <w:spacing w:after="0"/>
              <w:rPr>
                <w:sz w:val="20"/>
                <w:szCs w:val="20"/>
                <w:color w:val="auto"/>
              </w:rPr>
            </w:pPr>
            <w:r>
              <w:rPr>
                <w:rFonts w:ascii="Arial" w:cs="Arial" w:eastAsia="Arial" w:hAnsi="Arial"/>
                <w:sz w:val="11"/>
                <w:szCs w:val="11"/>
                <w:color w:val="auto"/>
              </w:rPr>
              <w:t>1,355</w:t>
            </w:r>
          </w:p>
        </w:tc>
        <w:tc>
          <w:tcPr>
            <w:tcW w:w="80" w:type="dxa"/>
            <w:vAlign w:val="bottom"/>
          </w:tcPr>
          <w:p>
            <w:pPr>
              <w:spacing w:after="0"/>
              <w:rPr>
                <w:sz w:val="14"/>
                <w:szCs w:val="14"/>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66"/>
              <w:spacing w:after="0"/>
              <w:rPr>
                <w:sz w:val="20"/>
                <w:szCs w:val="20"/>
                <w:color w:val="auto"/>
              </w:rPr>
            </w:pPr>
            <w:r>
              <w:rPr>
                <w:rFonts w:ascii="Arial" w:cs="Arial" w:eastAsia="Arial" w:hAnsi="Arial"/>
                <w:sz w:val="11"/>
                <w:szCs w:val="11"/>
                <w:color w:val="auto"/>
              </w:rPr>
              <w:t>5,999</w:t>
            </w:r>
          </w:p>
        </w:tc>
        <w:tc>
          <w:tcPr>
            <w:tcW w:w="80" w:type="dxa"/>
            <w:vAlign w:val="bottom"/>
          </w:tcPr>
          <w:p>
            <w:pPr>
              <w:spacing w:after="0"/>
              <w:rPr>
                <w:sz w:val="14"/>
                <w:szCs w:val="14"/>
                <w:color w:val="auto"/>
              </w:rPr>
            </w:pPr>
          </w:p>
        </w:tc>
        <w:tc>
          <w:tcPr>
            <w:tcW w:w="340" w:type="dxa"/>
            <w:vAlign w:val="bottom"/>
          </w:tcPr>
          <w:p>
            <w:pPr>
              <w:jc w:val="right"/>
              <w:ind w:right="206"/>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86"/>
              <w:spacing w:after="0"/>
              <w:rPr>
                <w:sz w:val="20"/>
                <w:szCs w:val="20"/>
                <w:color w:val="auto"/>
              </w:rPr>
            </w:pPr>
            <w:r>
              <w:rPr>
                <w:rFonts w:ascii="Arial" w:cs="Arial" w:eastAsia="Arial" w:hAnsi="Arial"/>
                <w:sz w:val="11"/>
                <w:szCs w:val="11"/>
                <w:color w:val="auto"/>
              </w:rPr>
              <w:t>3,949</w:t>
            </w:r>
          </w:p>
        </w:tc>
      </w:tr>
      <w:tr>
        <w:trPr>
          <w:trHeight w:val="144"/>
        </w:trPr>
        <w:tc>
          <w:tcPr>
            <w:tcW w:w="6700" w:type="dxa"/>
            <w:vAlign w:val="bottom"/>
            <w:shd w:val="clear" w:color="auto" w:fill="CCEEFF"/>
          </w:tcPr>
          <w:p>
            <w:pPr>
              <w:spacing w:after="0"/>
              <w:rPr>
                <w:sz w:val="20"/>
                <w:szCs w:val="20"/>
                <w:color w:val="auto"/>
              </w:rPr>
            </w:pPr>
            <w:r>
              <w:rPr>
                <w:rFonts w:ascii="Arial" w:cs="Arial" w:eastAsia="Arial" w:hAnsi="Arial"/>
                <w:sz w:val="11"/>
                <w:szCs w:val="11"/>
                <w:color w:val="auto"/>
              </w:rPr>
              <w:t>Net income</w:t>
            </w:r>
          </w:p>
        </w:tc>
        <w:tc>
          <w:tcPr>
            <w:tcW w:w="30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10,046</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2,133</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4,891</w:t>
            </w:r>
          </w:p>
        </w:tc>
      </w:tr>
      <w:tr>
        <w:trPr>
          <w:trHeight w:val="144"/>
        </w:trPr>
        <w:tc>
          <w:tcPr>
            <w:tcW w:w="6700" w:type="dxa"/>
            <w:vAlign w:val="bottom"/>
          </w:tcPr>
          <w:p>
            <w:pPr>
              <w:spacing w:after="0" w:line="144" w:lineRule="exact"/>
              <w:rPr>
                <w:sz w:val="20"/>
                <w:szCs w:val="20"/>
                <w:color w:val="auto"/>
              </w:rPr>
            </w:pPr>
            <w:r>
              <w:rPr>
                <w:rFonts w:ascii="Arial" w:cs="Arial" w:eastAsia="Arial" w:hAnsi="Arial"/>
                <w:sz w:val="11"/>
                <w:szCs w:val="11"/>
                <w:color w:val="auto"/>
              </w:rPr>
              <w:t>Diluted EPS</w:t>
            </w:r>
            <w:r>
              <w:rPr>
                <w:rFonts w:ascii="Arial" w:cs="Arial" w:eastAsia="Arial" w:hAnsi="Arial"/>
                <w:sz w:val="14"/>
                <w:szCs w:val="14"/>
                <w:color w:val="auto"/>
                <w:vertAlign w:val="superscript"/>
              </w:rPr>
              <w:t>(2)</w:t>
            </w: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ind w:right="86"/>
              <w:spacing w:after="0"/>
              <w:rPr>
                <w:sz w:val="20"/>
                <w:szCs w:val="20"/>
                <w:color w:val="auto"/>
              </w:rPr>
            </w:pPr>
            <w:r>
              <w:rPr>
                <w:rFonts w:ascii="Arial" w:cs="Arial" w:eastAsia="Arial" w:hAnsi="Arial"/>
                <w:sz w:val="11"/>
                <w:szCs w:val="11"/>
                <w:color w:val="auto"/>
              </w:rPr>
              <w:t>0.73</w:t>
            </w:r>
          </w:p>
        </w:tc>
        <w:tc>
          <w:tcPr>
            <w:tcW w:w="80" w:type="dxa"/>
            <w:vAlign w:val="bottom"/>
          </w:tcPr>
          <w:p>
            <w:pPr>
              <w:spacing w:after="0"/>
              <w:rPr>
                <w:sz w:val="12"/>
                <w:szCs w:val="12"/>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66"/>
              <w:spacing w:after="0"/>
              <w:rPr>
                <w:sz w:val="20"/>
                <w:szCs w:val="20"/>
                <w:color w:val="auto"/>
              </w:rPr>
            </w:pPr>
            <w:r>
              <w:rPr>
                <w:rFonts w:ascii="Arial" w:cs="Arial" w:eastAsia="Arial" w:hAnsi="Arial"/>
                <w:sz w:val="11"/>
                <w:szCs w:val="11"/>
                <w:color w:val="auto"/>
              </w:rPr>
              <w:t>0.15</w:t>
            </w:r>
          </w:p>
        </w:tc>
        <w:tc>
          <w:tcPr>
            <w:tcW w:w="80" w:type="dxa"/>
            <w:vAlign w:val="bottom"/>
          </w:tcPr>
          <w:p>
            <w:pPr>
              <w:spacing w:after="0"/>
              <w:rPr>
                <w:sz w:val="12"/>
                <w:szCs w:val="12"/>
                <w:color w:val="auto"/>
              </w:rPr>
            </w:pPr>
          </w:p>
        </w:tc>
        <w:tc>
          <w:tcPr>
            <w:tcW w:w="340" w:type="dxa"/>
            <w:vAlign w:val="bottom"/>
          </w:tcPr>
          <w:p>
            <w:pPr>
              <w:jc w:val="right"/>
              <w:ind w:right="206"/>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86"/>
              <w:spacing w:after="0"/>
              <w:rPr>
                <w:sz w:val="20"/>
                <w:szCs w:val="20"/>
                <w:color w:val="auto"/>
              </w:rPr>
            </w:pPr>
            <w:r>
              <w:rPr>
                <w:rFonts w:ascii="Arial" w:cs="Arial" w:eastAsia="Arial" w:hAnsi="Arial"/>
                <w:sz w:val="11"/>
                <w:szCs w:val="11"/>
                <w:color w:val="auto"/>
              </w:rPr>
              <w:t>0.34</w:t>
            </w:r>
          </w:p>
        </w:tc>
      </w:tr>
      <w:tr>
        <w:trPr>
          <w:trHeight w:val="180"/>
        </w:trPr>
        <w:tc>
          <w:tcPr>
            <w:tcW w:w="6700" w:type="dxa"/>
            <w:vAlign w:val="bottom"/>
            <w:shd w:val="clear" w:color="auto" w:fill="CCEEFF"/>
          </w:tcPr>
          <w:p>
            <w:pPr>
              <w:spacing w:after="0"/>
              <w:rPr>
                <w:sz w:val="20"/>
                <w:szCs w:val="20"/>
                <w:color w:val="auto"/>
              </w:rPr>
            </w:pPr>
            <w:r>
              <w:rPr>
                <w:rFonts w:ascii="Arial" w:cs="Arial" w:eastAsia="Arial" w:hAnsi="Arial"/>
                <w:sz w:val="12"/>
                <w:szCs w:val="12"/>
                <w:color w:val="auto"/>
              </w:rPr>
              <w:t>Income from continuing operations before income taxes and provision for non-credit enhanced</w:t>
            </w:r>
            <w:r>
              <w:rPr>
                <w:rFonts w:ascii="Arial" w:cs="Arial" w:eastAsia="Arial" w:hAnsi="Arial"/>
                <w:sz w:val="15"/>
                <w:szCs w:val="15"/>
                <w:color w:val="auto"/>
                <w:vertAlign w:val="superscript"/>
              </w:rPr>
              <w:t>(3)</w:t>
            </w:r>
          </w:p>
        </w:tc>
        <w:tc>
          <w:tcPr>
            <w:tcW w:w="30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14,607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8,273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10,360</w:t>
            </w:r>
          </w:p>
        </w:tc>
      </w:tr>
      <w:tr>
        <w:trPr>
          <w:trHeight w:val="144"/>
        </w:trPr>
        <w:tc>
          <w:tcPr>
            <w:tcW w:w="6700" w:type="dxa"/>
            <w:vAlign w:val="bottom"/>
          </w:tcPr>
          <w:p>
            <w:pPr>
              <w:spacing w:after="0" w:line="144" w:lineRule="exact"/>
              <w:rPr>
                <w:sz w:val="20"/>
                <w:szCs w:val="20"/>
                <w:color w:val="auto"/>
              </w:rPr>
            </w:pPr>
            <w:r>
              <w:rPr>
                <w:rFonts w:ascii="Arial" w:cs="Arial" w:eastAsia="Arial" w:hAnsi="Arial"/>
                <w:sz w:val="11"/>
                <w:szCs w:val="11"/>
                <w:color w:val="auto"/>
              </w:rPr>
              <w:t>Return on average assets</w:t>
            </w:r>
            <w:r>
              <w:rPr>
                <w:rFonts w:ascii="Arial" w:cs="Arial" w:eastAsia="Arial" w:hAnsi="Arial"/>
                <w:sz w:val="14"/>
                <w:szCs w:val="14"/>
                <w:color w:val="auto"/>
                <w:vertAlign w:val="superscript"/>
              </w:rPr>
              <w:t>(4)</w:t>
            </w:r>
          </w:p>
        </w:tc>
        <w:tc>
          <w:tcPr>
            <w:tcW w:w="3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4.3 %</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0.9 %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2.2 %</w:t>
            </w:r>
          </w:p>
        </w:tc>
      </w:tr>
      <w:tr>
        <w:trPr>
          <w:trHeight w:val="144"/>
        </w:trPr>
        <w:tc>
          <w:tcPr>
            <w:tcW w:w="6700" w:type="dxa"/>
            <w:vAlign w:val="bottom"/>
            <w:shd w:val="clear" w:color="auto" w:fill="CCEEFF"/>
          </w:tcPr>
          <w:p>
            <w:pPr>
              <w:spacing w:after="0" w:line="144" w:lineRule="exact"/>
              <w:rPr>
                <w:sz w:val="20"/>
                <w:szCs w:val="20"/>
                <w:color w:val="auto"/>
              </w:rPr>
            </w:pPr>
            <w:r>
              <w:rPr>
                <w:rFonts w:ascii="Arial" w:cs="Arial" w:eastAsia="Arial" w:hAnsi="Arial"/>
                <w:sz w:val="11"/>
                <w:szCs w:val="11"/>
                <w:color w:val="auto"/>
              </w:rPr>
              <w:t>Return on average equity</w:t>
            </w:r>
            <w:r>
              <w:rPr>
                <w:rFonts w:ascii="Arial" w:cs="Arial" w:eastAsia="Arial" w:hAnsi="Arial"/>
                <w:sz w:val="14"/>
                <w:szCs w:val="14"/>
                <w:color w:val="auto"/>
                <w:vertAlign w:val="superscript"/>
              </w:rPr>
              <w:t>(4)</w:t>
            </w: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19.9 %</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4.3 %</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10.6 %</w:t>
            </w:r>
          </w:p>
        </w:tc>
      </w:tr>
      <w:tr>
        <w:trPr>
          <w:trHeight w:val="143"/>
        </w:trPr>
        <w:tc>
          <w:tcPr>
            <w:tcW w:w="6700" w:type="dxa"/>
            <w:vAlign w:val="bottom"/>
          </w:tcPr>
          <w:p>
            <w:pPr>
              <w:spacing w:after="0"/>
              <w:rPr>
                <w:sz w:val="20"/>
                <w:szCs w:val="20"/>
                <w:color w:val="auto"/>
              </w:rPr>
            </w:pPr>
            <w:r>
              <w:rPr>
                <w:rFonts w:ascii="Arial" w:cs="Arial" w:eastAsia="Arial" w:hAnsi="Arial"/>
                <w:sz w:val="11"/>
                <w:szCs w:val="11"/>
                <w:color w:val="auto"/>
              </w:rPr>
              <w:t>Yield on loans</w:t>
            </w:r>
          </w:p>
        </w:tc>
        <w:tc>
          <w:tcPr>
            <w:tcW w:w="3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25.14 %</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18.75 %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13.25 %</w:t>
            </w:r>
          </w:p>
        </w:tc>
      </w:tr>
      <w:tr>
        <w:trPr>
          <w:trHeight w:val="145"/>
        </w:trPr>
        <w:tc>
          <w:tcPr>
            <w:tcW w:w="6700" w:type="dxa"/>
            <w:vAlign w:val="bottom"/>
            <w:shd w:val="clear" w:color="auto" w:fill="CCEEFF"/>
          </w:tcPr>
          <w:p>
            <w:pPr>
              <w:spacing w:after="0"/>
              <w:rPr>
                <w:sz w:val="20"/>
                <w:szCs w:val="20"/>
                <w:color w:val="auto"/>
              </w:rPr>
            </w:pPr>
            <w:r>
              <w:rPr>
                <w:rFonts w:ascii="Arial" w:cs="Arial" w:eastAsia="Arial" w:hAnsi="Arial"/>
                <w:sz w:val="11"/>
                <w:szCs w:val="11"/>
                <w:color w:val="auto"/>
              </w:rPr>
              <w:t>Cost of interest-bearing deposits</w:t>
            </w: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3.89 %</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3.83 %</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4.06 %</w:t>
            </w:r>
          </w:p>
        </w:tc>
      </w:tr>
      <w:tr>
        <w:trPr>
          <w:trHeight w:val="143"/>
        </w:trPr>
        <w:tc>
          <w:tcPr>
            <w:tcW w:w="6700" w:type="dxa"/>
            <w:vAlign w:val="bottom"/>
          </w:tcPr>
          <w:p>
            <w:pPr>
              <w:spacing w:after="0"/>
              <w:rPr>
                <w:sz w:val="20"/>
                <w:szCs w:val="20"/>
                <w:color w:val="auto"/>
              </w:rPr>
            </w:pPr>
            <w:r>
              <w:rPr>
                <w:rFonts w:ascii="Arial" w:cs="Arial" w:eastAsia="Arial" w:hAnsi="Arial"/>
                <w:sz w:val="11"/>
                <w:szCs w:val="11"/>
                <w:color w:val="auto"/>
              </w:rPr>
              <w:t>Net interest margin</w:t>
            </w:r>
          </w:p>
        </w:tc>
        <w:tc>
          <w:tcPr>
            <w:tcW w:w="3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19.58 %</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13.83 %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9.09 %</w:t>
            </w:r>
          </w:p>
        </w:tc>
      </w:tr>
      <w:tr>
        <w:trPr>
          <w:trHeight w:val="145"/>
        </w:trPr>
        <w:tc>
          <w:tcPr>
            <w:tcW w:w="6700" w:type="dxa"/>
            <w:vAlign w:val="bottom"/>
            <w:shd w:val="clear" w:color="auto" w:fill="CCEEFF"/>
          </w:tcPr>
          <w:p>
            <w:pPr>
              <w:spacing w:after="0" w:line="145" w:lineRule="exact"/>
              <w:rPr>
                <w:sz w:val="20"/>
                <w:szCs w:val="20"/>
                <w:color w:val="auto"/>
              </w:rPr>
            </w:pPr>
            <w:r>
              <w:rPr>
                <w:rFonts w:ascii="Arial" w:cs="Arial" w:eastAsia="Arial" w:hAnsi="Arial"/>
                <w:sz w:val="11"/>
                <w:szCs w:val="11"/>
                <w:color w:val="auto"/>
              </w:rPr>
              <w:t xml:space="preserve">Efficiency ratio from continuing operations </w:t>
            </w:r>
            <w:r>
              <w:rPr>
                <w:rFonts w:ascii="Arial" w:cs="Arial" w:eastAsia="Arial" w:hAnsi="Arial"/>
                <w:sz w:val="14"/>
                <w:szCs w:val="14"/>
                <w:color w:val="auto"/>
                <w:vertAlign w:val="superscript"/>
              </w:rPr>
              <w:t>(5)</w:t>
            </w: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41.6 %</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54.9 %</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47.6 %</w:t>
            </w:r>
          </w:p>
        </w:tc>
      </w:tr>
      <w:tr>
        <w:trPr>
          <w:trHeight w:val="144"/>
        </w:trPr>
        <w:tc>
          <w:tcPr>
            <w:tcW w:w="6700" w:type="dxa"/>
            <w:vAlign w:val="bottom"/>
          </w:tcPr>
          <w:p>
            <w:pPr>
              <w:spacing w:after="0" w:line="144" w:lineRule="exact"/>
              <w:rPr>
                <w:sz w:val="20"/>
                <w:szCs w:val="20"/>
                <w:color w:val="auto"/>
              </w:rPr>
            </w:pPr>
            <w:r>
              <w:rPr>
                <w:rFonts w:ascii="Arial" w:cs="Arial" w:eastAsia="Arial" w:hAnsi="Arial"/>
                <w:sz w:val="11"/>
                <w:szCs w:val="11"/>
                <w:color w:val="auto"/>
              </w:rPr>
              <w:t>Tangible book value per share</w:t>
            </w:r>
            <w:r>
              <w:rPr>
                <w:rFonts w:ascii="Arial" w:cs="Arial" w:eastAsia="Arial" w:hAnsi="Arial"/>
                <w:sz w:val="14"/>
                <w:szCs w:val="14"/>
                <w:color w:val="auto"/>
                <w:vertAlign w:val="superscript"/>
              </w:rPr>
              <w:t>(6)</w:t>
            </w: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ind w:right="86"/>
              <w:spacing w:after="0"/>
              <w:rPr>
                <w:sz w:val="20"/>
                <w:szCs w:val="20"/>
                <w:color w:val="auto"/>
              </w:rPr>
            </w:pPr>
            <w:r>
              <w:rPr>
                <w:rFonts w:ascii="Arial" w:cs="Arial" w:eastAsia="Arial" w:hAnsi="Arial"/>
                <w:sz w:val="11"/>
                <w:szCs w:val="11"/>
                <w:color w:val="auto"/>
              </w:rPr>
              <w:t>15.14</w:t>
            </w:r>
          </w:p>
        </w:tc>
        <w:tc>
          <w:tcPr>
            <w:tcW w:w="80" w:type="dxa"/>
            <w:vAlign w:val="bottom"/>
          </w:tcPr>
          <w:p>
            <w:pPr>
              <w:spacing w:after="0"/>
              <w:rPr>
                <w:sz w:val="12"/>
                <w:szCs w:val="12"/>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66"/>
              <w:spacing w:after="0"/>
              <w:rPr>
                <w:sz w:val="20"/>
                <w:szCs w:val="20"/>
                <w:color w:val="auto"/>
              </w:rPr>
            </w:pPr>
            <w:r>
              <w:rPr>
                <w:rFonts w:ascii="Arial" w:cs="Arial" w:eastAsia="Arial" w:hAnsi="Arial"/>
                <w:sz w:val="11"/>
                <w:szCs w:val="11"/>
                <w:color w:val="auto"/>
              </w:rPr>
              <w:t>14.55</w:t>
            </w:r>
          </w:p>
        </w:tc>
        <w:tc>
          <w:tcPr>
            <w:tcW w:w="80" w:type="dxa"/>
            <w:vAlign w:val="bottom"/>
          </w:tcPr>
          <w:p>
            <w:pPr>
              <w:spacing w:after="0"/>
              <w:rPr>
                <w:sz w:val="12"/>
                <w:szCs w:val="12"/>
                <w:color w:val="auto"/>
              </w:rPr>
            </w:pPr>
          </w:p>
        </w:tc>
        <w:tc>
          <w:tcPr>
            <w:tcW w:w="340" w:type="dxa"/>
            <w:vAlign w:val="bottom"/>
          </w:tcPr>
          <w:p>
            <w:pPr>
              <w:jc w:val="right"/>
              <w:ind w:right="206"/>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86"/>
              <w:spacing w:after="0"/>
              <w:rPr>
                <w:sz w:val="20"/>
                <w:szCs w:val="20"/>
                <w:color w:val="auto"/>
              </w:rPr>
            </w:pPr>
            <w:r>
              <w:rPr>
                <w:rFonts w:ascii="Arial" w:cs="Arial" w:eastAsia="Arial" w:hAnsi="Arial"/>
                <w:sz w:val="11"/>
                <w:szCs w:val="11"/>
                <w:color w:val="auto"/>
              </w:rPr>
              <w:t>13.84</w:t>
            </w:r>
          </w:p>
        </w:tc>
      </w:tr>
      <w:tr>
        <w:trPr>
          <w:trHeight w:val="144"/>
        </w:trPr>
        <w:tc>
          <w:tcPr>
            <w:tcW w:w="6700" w:type="dxa"/>
            <w:vAlign w:val="bottom"/>
            <w:shd w:val="clear" w:color="auto" w:fill="CCEEFF"/>
          </w:tcPr>
          <w:p>
            <w:pPr>
              <w:spacing w:after="0" w:line="144" w:lineRule="exact"/>
              <w:rPr>
                <w:sz w:val="20"/>
                <w:szCs w:val="20"/>
                <w:color w:val="auto"/>
              </w:rPr>
            </w:pPr>
            <w:r>
              <w:rPr>
                <w:rFonts w:ascii="Arial" w:cs="Arial" w:eastAsia="Arial" w:hAnsi="Arial"/>
                <w:sz w:val="11"/>
                <w:szCs w:val="11"/>
                <w:color w:val="auto"/>
              </w:rPr>
              <w:t>Tangible shareholders’ equity to tangible assets</w:t>
            </w:r>
            <w:r>
              <w:rPr>
                <w:rFonts w:ascii="Arial" w:cs="Arial" w:eastAsia="Arial" w:hAnsi="Arial"/>
                <w:sz w:val="14"/>
                <w:szCs w:val="14"/>
                <w:color w:val="auto"/>
                <w:vertAlign w:val="superscript"/>
              </w:rPr>
              <w:t>(6)</w:t>
            </w: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21.7 %</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21.5 %</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20.9 %</w:t>
            </w:r>
          </w:p>
        </w:tc>
      </w:tr>
      <w:tr>
        <w:trPr>
          <w:trHeight w:val="143"/>
        </w:trPr>
        <w:tc>
          <w:tcPr>
            <w:tcW w:w="6700" w:type="dxa"/>
            <w:vAlign w:val="bottom"/>
          </w:tcPr>
          <w:p>
            <w:pPr>
              <w:spacing w:after="0"/>
              <w:rPr>
                <w:sz w:val="20"/>
                <w:szCs w:val="20"/>
                <w:color w:val="auto"/>
              </w:rPr>
            </w:pPr>
            <w:r>
              <w:rPr>
                <w:rFonts w:ascii="Arial" w:cs="Arial" w:eastAsia="Arial" w:hAnsi="Arial"/>
                <w:sz w:val="11"/>
                <w:szCs w:val="11"/>
                <w:color w:val="auto"/>
              </w:rPr>
              <w:t>Leverage ratio (Bank under CBLR)</w:t>
            </w:r>
          </w:p>
        </w:tc>
        <w:tc>
          <w:tcPr>
            <w:tcW w:w="3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18.1 %</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18.1 %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17.2 %</w:t>
            </w:r>
          </w:p>
        </w:tc>
      </w:tr>
      <w:tr>
        <w:trPr>
          <w:trHeight w:val="145"/>
        </w:trPr>
        <w:tc>
          <w:tcPr>
            <w:tcW w:w="6700" w:type="dxa"/>
            <w:vAlign w:val="bottom"/>
            <w:shd w:val="clear" w:color="auto" w:fill="CCEEFF"/>
          </w:tcPr>
          <w:p>
            <w:pPr>
              <w:spacing w:after="0"/>
              <w:rPr>
                <w:sz w:val="20"/>
                <w:szCs w:val="20"/>
                <w:color w:val="auto"/>
              </w:rPr>
            </w:pPr>
            <w:r>
              <w:rPr>
                <w:rFonts w:ascii="Arial" w:cs="Arial" w:eastAsia="Arial" w:hAnsi="Arial"/>
                <w:sz w:val="11"/>
                <w:szCs w:val="11"/>
                <w:color w:val="auto"/>
              </w:rPr>
              <w:t>Full-time equivalent employees</w:t>
            </w: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194</w:t>
            </w:r>
          </w:p>
        </w:tc>
      </w:tr>
    </w:tbl>
    <w:p>
      <w:pPr>
        <w:spacing w:after="0" w:line="58" w:lineRule="exact"/>
        <w:rPr>
          <w:sz w:val="20"/>
          <w:szCs w:val="20"/>
          <w:color w:val="auto"/>
        </w:rPr>
      </w:pPr>
    </w:p>
    <w:p>
      <w:pPr>
        <w:ind w:left="428" w:right="80" w:hanging="428"/>
        <w:spacing w:after="0" w:line="243" w:lineRule="auto"/>
        <w:tabs>
          <w:tab w:leader="none" w:pos="220" w:val="left"/>
        </w:tabs>
        <w:numPr>
          <w:ilvl w:val="0"/>
          <w:numId w:val="5"/>
        </w:numPr>
        <w:rPr>
          <w:rFonts w:ascii="Arial" w:cs="Arial" w:eastAsia="Arial" w:hAnsi="Arial"/>
          <w:sz w:val="10"/>
          <w:szCs w:val="10"/>
          <w:color w:val="auto"/>
        </w:rPr>
      </w:pPr>
      <w:r>
        <w:rPr>
          <w:rFonts w:ascii="Arial" w:cs="Arial" w:eastAsia="Arial" w:hAnsi="Arial"/>
          <w:sz w:val="10"/>
          <w:szCs w:val="10"/>
          <w:color w:val="auto"/>
        </w:rPr>
        <w:t>Represents a non-GAAP financial measure calculated as the total provision for credit losses less the provision attributable to Strategic Program loans with credit enhancement. This non-GAAP measure reflects the portion of credit loss provision that is not covered by strategic partners with credit enhancement and therefore represents the Company’s provision expense for the credit exposure retained by the Company. See “Reconciliation of GAAP to Non-GAAP Financial Measures” for a reconciliation of this measure to its most comparable GAAP measure.</w:t>
      </w:r>
    </w:p>
    <w:p>
      <w:pPr>
        <w:ind w:left="428" w:right="160" w:hanging="428"/>
        <w:spacing w:after="0" w:line="244" w:lineRule="auto"/>
        <w:tabs>
          <w:tab w:leader="none" w:pos="220" w:val="left"/>
        </w:tabs>
        <w:numPr>
          <w:ilvl w:val="0"/>
          <w:numId w:val="5"/>
        </w:numPr>
        <w:rPr>
          <w:rFonts w:ascii="Arial" w:cs="Arial" w:eastAsia="Arial" w:hAnsi="Arial"/>
          <w:sz w:val="10"/>
          <w:szCs w:val="10"/>
          <w:color w:val="auto"/>
        </w:rPr>
      </w:pPr>
      <w:r>
        <w:rPr>
          <w:rFonts w:ascii="Arial" w:cs="Arial" w:eastAsia="Arial" w:hAnsi="Arial"/>
          <w:sz w:val="10"/>
          <w:szCs w:val="10"/>
          <w:color w:val="auto"/>
        </w:rPr>
        <w:t>FinWise uses the two-class method to calculate basic and diluted EPS as restricted stock awards are considered participating securities due to the dividend rights associated with those awards. Effective December 31, 2025, executive management elected to waive the dividend rights on their unvested restricted stock awards, and this waiver extends to restricted stock awards granted in 2026 to directors and various other employees. As a result, these unvested shares are no longer treated as participating securities and are excluded from the two-class method calculation of EPS. The impact on basic and diluted earnings per share was de minimis, and previously reported periods are not affected.</w:t>
      </w:r>
    </w:p>
    <w:p>
      <w:pPr>
        <w:ind w:left="428" w:right="220" w:hanging="428"/>
        <w:spacing w:after="0" w:line="234" w:lineRule="auto"/>
        <w:tabs>
          <w:tab w:leader="none" w:pos="220" w:val="left"/>
        </w:tabs>
        <w:numPr>
          <w:ilvl w:val="0"/>
          <w:numId w:val="5"/>
        </w:numPr>
        <w:rPr>
          <w:rFonts w:ascii="Arial" w:cs="Arial" w:eastAsia="Arial" w:hAnsi="Arial"/>
          <w:sz w:val="10"/>
          <w:szCs w:val="10"/>
          <w:color w:val="auto"/>
        </w:rPr>
      </w:pPr>
      <w:r>
        <w:rPr>
          <w:rFonts w:ascii="Arial" w:cs="Arial" w:eastAsia="Arial" w:hAnsi="Arial"/>
          <w:sz w:val="10"/>
          <w:szCs w:val="10"/>
          <w:color w:val="auto"/>
        </w:rPr>
        <w:t>Represents a non-GAAP financial measure calculated by adding the provision for credit losses and subtracting the credit enhancement income to income from continuing operations before income taxes. See “Reconciliation of GAAP to Non-GAAP Financial Measures” for a reconciliation of this measure to its most comparable GAAP measure.</w:t>
      </w:r>
    </w:p>
    <w:p>
      <w:pPr>
        <w:ind w:left="228" w:hanging="228"/>
        <w:spacing w:after="0"/>
        <w:tabs>
          <w:tab w:leader="none" w:pos="228" w:val="left"/>
        </w:tabs>
        <w:numPr>
          <w:ilvl w:val="0"/>
          <w:numId w:val="5"/>
        </w:numPr>
        <w:rPr>
          <w:rFonts w:ascii="Arial" w:cs="Arial" w:eastAsia="Arial" w:hAnsi="Arial"/>
          <w:sz w:val="10"/>
          <w:szCs w:val="10"/>
          <w:color w:val="auto"/>
        </w:rPr>
      </w:pPr>
      <w:r>
        <w:rPr>
          <w:rFonts w:ascii="Arial" w:cs="Arial" w:eastAsia="Arial" w:hAnsi="Arial"/>
          <w:sz w:val="10"/>
          <w:szCs w:val="10"/>
          <w:color w:val="auto"/>
        </w:rPr>
        <w:t>Annualized for the respective three-month periods.</w:t>
      </w:r>
    </w:p>
    <w:p>
      <w:pPr>
        <w:spacing w:after="0" w:line="1" w:lineRule="exact"/>
        <w:rPr>
          <w:rFonts w:ascii="Arial" w:cs="Arial" w:eastAsia="Arial" w:hAnsi="Arial"/>
          <w:sz w:val="10"/>
          <w:szCs w:val="10"/>
          <w:color w:val="auto"/>
        </w:rPr>
      </w:pPr>
    </w:p>
    <w:p>
      <w:pPr>
        <w:ind w:left="428" w:right="220" w:hanging="428"/>
        <w:spacing w:after="0" w:line="244" w:lineRule="auto"/>
        <w:tabs>
          <w:tab w:leader="none" w:pos="220" w:val="left"/>
        </w:tabs>
        <w:numPr>
          <w:ilvl w:val="0"/>
          <w:numId w:val="5"/>
        </w:numPr>
        <w:rPr>
          <w:rFonts w:ascii="Arial" w:cs="Arial" w:eastAsia="Arial" w:hAnsi="Arial"/>
          <w:sz w:val="10"/>
          <w:szCs w:val="10"/>
          <w:color w:val="auto"/>
        </w:rPr>
      </w:pPr>
      <w:r>
        <w:rPr>
          <w:rFonts w:ascii="Arial" w:cs="Arial" w:eastAsia="Arial" w:hAnsi="Arial"/>
          <w:sz w:val="10"/>
          <w:szCs w:val="10"/>
          <w:color w:val="auto"/>
        </w:rPr>
        <w:t>Efficiency ratio is a non-GAAP financial measure. The efficiency ratio is defined as total non-interest expense divided by the sum of net interest income and non-interest income. The Company believes this measure is important as an indicator of productivity because it shows the amount of revenue generated for each dollar spent. See “Reconciliation of GAAP to Non-GAAP Financial Measures” for a reconciliation of this measure to its most comparable GAAP measure.</w:t>
      </w:r>
    </w:p>
    <w:p>
      <w:pPr>
        <w:ind w:left="428" w:right="200" w:hanging="428"/>
        <w:spacing w:after="0" w:line="237" w:lineRule="auto"/>
        <w:tabs>
          <w:tab w:leader="none" w:pos="218" w:val="left"/>
        </w:tabs>
        <w:numPr>
          <w:ilvl w:val="0"/>
          <w:numId w:val="5"/>
        </w:numPr>
        <w:rPr>
          <w:rFonts w:ascii="Arial" w:cs="Arial" w:eastAsia="Arial" w:hAnsi="Arial"/>
          <w:sz w:val="10"/>
          <w:szCs w:val="10"/>
          <w:color w:val="auto"/>
        </w:rPr>
      </w:pPr>
      <w:r>
        <w:rPr>
          <w:rFonts w:ascii="Arial" w:cs="Arial" w:eastAsia="Arial" w:hAnsi="Arial"/>
          <w:sz w:val="10"/>
          <w:szCs w:val="10"/>
          <w:color w:val="auto"/>
        </w:rPr>
        <w:t>Tangible shareholders’ equity to tangible assets is a non-GAAP financial measure. Tangible shareholders’ equity is defined as total shareholders’ equity less goodwill and other intangible assets. The most directly comparable GAAP financial measure is total shareholder’s equity to total assets. The Company had no goodwill at the end of any period indicated. The Company has not considered internally used software and loan servicing rights or loan trailing fee assets as intangible assets for purposes of this calculation. As a result, tangible shareholders’ equity is the same as total shareholders’ equity at the end of each of the periods indicated.</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4"/>
          <w:szCs w:val="14"/>
          <w:b w:val="1"/>
          <w:bCs w:val="1"/>
          <w:i w:val="1"/>
          <w:iCs w:val="1"/>
          <w:u w:val="single" w:color="auto"/>
          <w:color w:val="365F91"/>
        </w:rPr>
        <w:t>Credit Card Business: Strategic Repositioning and Discontinued Operations</w:t>
      </w:r>
    </w:p>
    <w:p>
      <w:pPr>
        <w:spacing w:after="0" w:line="24" w:lineRule="exact"/>
        <w:rPr>
          <w:sz w:val="20"/>
          <w:szCs w:val="20"/>
          <w:color w:val="auto"/>
        </w:rPr>
      </w:pPr>
    </w:p>
    <w:p>
      <w:pPr>
        <w:ind w:left="8" w:right="40"/>
        <w:spacing w:after="0" w:line="284" w:lineRule="auto"/>
        <w:rPr>
          <w:sz w:val="20"/>
          <w:szCs w:val="20"/>
          <w:color w:val="auto"/>
        </w:rPr>
      </w:pPr>
      <w:r>
        <w:rPr>
          <w:rFonts w:ascii="Arial" w:cs="Arial" w:eastAsia="Arial" w:hAnsi="Arial"/>
          <w:sz w:val="13"/>
          <w:szCs w:val="13"/>
          <w:color w:val="auto"/>
        </w:rPr>
        <w:t>In July 2026, FinWise completed its acquisition of certain assets and assumption of certain liabilities of Tallied Technologies, Inc. (“Tallied”). The transaction added card issuing and program management technology, along with an experienced team, that expands the Company’s ability to support credit card programs for its fintech partners. Concurrent with the acquisition, the Company determined that investing in credit card receivables was not a strategy the Company would pursue, and the Board of Directors approved a plan to exit the credit card portfolio business and to divest the credit card loan portfolio and certain acquired assets and liabilities while retaining the technology and credit card servicing platform. The disposal group consists of the credit card portfolio as well as the program sponsor relationship, program records, and associated cardholder rewards liability acquired as part of the Tallied transaction. Accordingly, the results of the credit card business are presented as discontinued operations for all periods presented, and the related assets and liabilities are classified as assets and liabilities of discontinued operations on the balance sheet as of September 30, 2026. The Company is retaining the technology platform and development team to help complete the platform build out to be used to support our</w:t>
      </w:r>
    </w:p>
    <w:p>
      <w:pPr>
        <w:spacing w:after="0" w:line="73"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88"/>
          </w:cols>
          <w:pgMar w:left="292" w:top="571" w:right="319" w:bottom="1440" w:gutter="0" w:footer="0" w:header="0"/>
        </w:sectPr>
      </w:pPr>
    </w:p>
    <w:bookmarkStart w:id="5" w:name="page6"/>
    <w:bookmarkEnd w:id="5"/>
    <w:p>
      <w:pPr>
        <w:spacing w:after="0"/>
        <w:rPr>
          <w:sz w:val="20"/>
          <w:szCs w:val="20"/>
          <w:color w:val="auto"/>
        </w:rPr>
      </w:pPr>
      <w:r>
        <w:rPr>
          <w:rFonts w:ascii="Arial" w:cs="Arial" w:eastAsia="Arial" w:hAnsi="Arial"/>
          <w:sz w:val="13"/>
          <w:szCs w:val="13"/>
          <w:color w:val="auto"/>
        </w:rPr>
        <w:t>strategy to service credit card programs and the payments needs of our fintech partners as part of our banking-as-a service strategy.</w:t>
      </w:r>
    </w:p>
    <w:p>
      <w:pPr>
        <w:spacing w:after="0" w:line="193" w:lineRule="exact"/>
        <w:rPr>
          <w:sz w:val="20"/>
          <w:szCs w:val="20"/>
          <w:color w:val="auto"/>
        </w:rPr>
      </w:pPr>
    </w:p>
    <w:p>
      <w:pPr>
        <w:jc w:val="both"/>
        <w:ind w:right="100"/>
        <w:spacing w:after="0" w:line="300" w:lineRule="auto"/>
        <w:rPr>
          <w:sz w:val="20"/>
          <w:szCs w:val="20"/>
          <w:color w:val="auto"/>
        </w:rPr>
      </w:pPr>
      <w:r>
        <w:rPr>
          <w:rFonts w:ascii="Arial" w:cs="Arial" w:eastAsia="Arial" w:hAnsi="Arial"/>
          <w:sz w:val="13"/>
          <w:szCs w:val="13"/>
          <w:color w:val="auto"/>
        </w:rPr>
        <w:t>For the third quarter of 2026, net income from continuing operations was $10.4 million, or $0.76 per diluted share, including a bargain purchase gain of $6.5 million. Net loss from discontinued operations was $0.4 million. The Company expects to complete the sale of its credit card business, including certain credit card assets acquired in the Tallied transaction, by the second quarter of 2027.</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365F91"/>
        </w:rPr>
        <w:t>Loan Originations</w:t>
      </w:r>
    </w:p>
    <w:p>
      <w:pPr>
        <w:spacing w:after="0" w:line="24" w:lineRule="exact"/>
        <w:rPr>
          <w:sz w:val="20"/>
          <w:szCs w:val="20"/>
          <w:color w:val="auto"/>
        </w:rPr>
      </w:pPr>
    </w:p>
    <w:p>
      <w:pPr>
        <w:spacing w:after="0" w:line="291" w:lineRule="auto"/>
        <w:rPr>
          <w:sz w:val="20"/>
          <w:szCs w:val="20"/>
          <w:color w:val="auto"/>
        </w:rPr>
      </w:pPr>
      <w:r>
        <w:rPr>
          <w:rFonts w:ascii="Arial" w:cs="Arial" w:eastAsia="Arial" w:hAnsi="Arial"/>
          <w:sz w:val="13"/>
          <w:szCs w:val="13"/>
          <w:color w:val="auto"/>
        </w:rPr>
        <w:t>Loan originations totaled $2.1 billion for the third quarter of 2026, an increase from the $1.6 billion recorded in the prior quarter and an increase from the $1.8 billion recorded in the prior year period. The growth in originations compared to both the prior quarter and the prior year period primarily reflects the seasonality of originations by student loan lenders, the rapid growth of a credit enhancement lending relationship, and an increase in volume from certain established strategic programs.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365F91"/>
        </w:rPr>
        <w:t>Net Interest Income and Net Interest Margin</w:t>
      </w:r>
    </w:p>
    <w:p>
      <w:pPr>
        <w:spacing w:after="0" w:line="24" w:lineRule="exact"/>
        <w:rPr>
          <w:sz w:val="20"/>
          <w:szCs w:val="20"/>
          <w:color w:val="auto"/>
        </w:rPr>
      </w:pPr>
    </w:p>
    <w:p>
      <w:pPr>
        <w:ind w:right="40"/>
        <w:spacing w:after="0" w:line="284" w:lineRule="auto"/>
        <w:rPr>
          <w:sz w:val="20"/>
          <w:szCs w:val="20"/>
          <w:color w:val="auto"/>
        </w:rPr>
      </w:pPr>
      <w:r>
        <w:rPr>
          <w:rFonts w:ascii="Arial" w:cs="Arial" w:eastAsia="Arial" w:hAnsi="Arial"/>
          <w:sz w:val="13"/>
          <w:szCs w:val="13"/>
          <w:color w:val="auto"/>
        </w:rPr>
        <w:t>Net interest income was $41.9 million for the third quarter of 2026, compared to $28.4 million for the prior quarter and $18.6 million for the prior year period. The increase from the prior quarter was primarily due to growth in the credit-enhanced loan portfolio and a decrease in the migration of performing loans to nonperforming loans, which resulted in a lower reversal of interest on nonaccrual loans and contributed to an increase in the average yield on loans held-for-investment. The increase from the prior year period was primarily due to the same growth in credit enhanced loans, as well as a change in estimate, based on additional information and experience, regarding the allocation of interest received on credit enhanced loans in excess of the amount FinWise retains. FinWise now estimates that all excess interest is attributable to servicing and credit guarantee expense. In the prior year, it had estimated that a portion was attributable to origination costs, or finders’ fees, which was reported in net interest income. Because this change in estimate was reflected in both the current and prior quarters, it did not affect the comparison to the quarter ended June 30, 2026.</w:t>
      </w:r>
    </w:p>
    <w:p>
      <w:pPr>
        <w:spacing w:after="0" w:line="136" w:lineRule="exact"/>
        <w:rPr>
          <w:sz w:val="20"/>
          <w:szCs w:val="20"/>
          <w:color w:val="auto"/>
        </w:rPr>
      </w:pPr>
    </w:p>
    <w:p>
      <w:pPr>
        <w:ind w:right="80"/>
        <w:spacing w:after="0" w:line="291" w:lineRule="auto"/>
        <w:rPr>
          <w:sz w:val="20"/>
          <w:szCs w:val="20"/>
          <w:color w:val="auto"/>
        </w:rPr>
      </w:pPr>
      <w:r>
        <w:rPr>
          <w:rFonts w:ascii="Arial" w:cs="Arial" w:eastAsia="Arial" w:hAnsi="Arial"/>
          <w:sz w:val="13"/>
          <w:szCs w:val="13"/>
          <w:color w:val="auto"/>
        </w:rPr>
        <w:t>Net interest margin for the third quarter of 2026 was 19.58%, compared to 13.83% for the prior quarter and 9.09% for the prior year period. The increase in net interest margin from the prior quarter was primarily due to growth in the higher-yielding credit-enhanced loan portfolio and a decrease in the migration of performing loans to nonaccrual status, which resulted in lower reversals of interest on nonaccrual loans, partially offset by a higher average rate paid on time certificates of deposit. The increase in net interest margin from the prior-year period was primarily due to growth in the higher-yielding credit-enhanced loan portfolio and higher yields on loans held-for-investment, the change in estimated allocation of excess interest as previously described, and lower rates paid on deposits.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60"/>
          </w:cols>
          <w:pgMar w:left="300" w:top="566" w:right="339" w:bottom="1440" w:gutter="0" w:footer="0" w:header="0"/>
        </w:sectPr>
      </w:pPr>
    </w:p>
    <w:bookmarkStart w:id="6" w:name="page7"/>
    <w:bookmarkEnd w:id="6"/>
    <w:p>
      <w:pPr>
        <w:ind w:left="8"/>
        <w:spacing w:after="0"/>
        <w:rPr>
          <w:sz w:val="20"/>
          <w:szCs w:val="20"/>
          <w:color w:val="auto"/>
        </w:rPr>
      </w:pPr>
      <w:r>
        <w:rPr>
          <w:rFonts w:ascii="Arial" w:cs="Arial" w:eastAsia="Arial" w:hAnsi="Arial"/>
          <w:sz w:val="14"/>
          <w:szCs w:val="14"/>
          <w:b w:val="1"/>
          <w:bCs w:val="1"/>
          <w:i w:val="1"/>
          <w:iCs w:val="1"/>
          <w:u w:val="single" w:color="auto"/>
          <w:color w:val="365F91"/>
        </w:rPr>
        <w:t>Provision for Credit Losses</w:t>
      </w:r>
    </w:p>
    <w:p>
      <w:pPr>
        <w:spacing w:after="0" w:line="35"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6160" w:type="dxa"/>
            <w:vAlign w:val="bottom"/>
            <w:vMerge w:val="restart"/>
          </w:tcPr>
          <w:p>
            <w:pPr>
              <w:spacing w:after="0"/>
              <w:rPr>
                <w:sz w:val="20"/>
                <w:szCs w:val="20"/>
                <w:color w:val="auto"/>
              </w:rPr>
            </w:pPr>
            <w:r>
              <w:rPr>
                <w:rFonts w:ascii="Arial" w:cs="Arial" w:eastAsia="Arial" w:hAnsi="Arial"/>
                <w:sz w:val="12"/>
                <w:szCs w:val="12"/>
                <w:i w:val="1"/>
                <w:iCs w:val="1"/>
                <w:color w:val="auto"/>
              </w:rPr>
              <w:t>($ in thousands)</w:t>
            </w:r>
          </w:p>
        </w:tc>
        <w:tc>
          <w:tcPr>
            <w:tcW w:w="3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Three Months Ended</w:t>
            </w:r>
          </w:p>
        </w:tc>
        <w:tc>
          <w:tcPr>
            <w:tcW w:w="3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160" w:type="dxa"/>
            <w:vAlign w:val="bottom"/>
            <w:tcBorders>
              <w:bottom w:val="single" w:sz="8" w:color="CCEEFF"/>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9/30/2026</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6/30/2026</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9/30/2025</w:t>
            </w:r>
          </w:p>
        </w:tc>
        <w:tc>
          <w:tcPr>
            <w:tcW w:w="0" w:type="dxa"/>
            <w:vAlign w:val="bottom"/>
          </w:tcPr>
          <w:p>
            <w:pPr>
              <w:spacing w:after="0"/>
              <w:rPr>
                <w:sz w:val="1"/>
                <w:szCs w:val="1"/>
                <w:color w:val="auto"/>
              </w:rPr>
            </w:pPr>
          </w:p>
        </w:tc>
      </w:tr>
      <w:tr>
        <w:trPr>
          <w:trHeight w:val="133"/>
        </w:trPr>
        <w:tc>
          <w:tcPr>
            <w:tcW w:w="61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Provision for credit losses:</w:t>
            </w:r>
          </w:p>
        </w:tc>
        <w:tc>
          <w:tcPr>
            <w:tcW w:w="3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160" w:type="dxa"/>
            <w:vAlign w:val="bottom"/>
          </w:tcPr>
          <w:p>
            <w:pPr>
              <w:ind w:left="80"/>
              <w:spacing w:after="0" w:line="153" w:lineRule="exact"/>
              <w:rPr>
                <w:sz w:val="20"/>
                <w:szCs w:val="20"/>
                <w:color w:val="auto"/>
              </w:rPr>
            </w:pPr>
            <w:r>
              <w:rPr>
                <w:rFonts w:ascii="Arial" w:cs="Arial" w:eastAsia="Arial" w:hAnsi="Arial"/>
                <w:sz w:val="12"/>
                <w:szCs w:val="12"/>
                <w:color w:val="auto"/>
              </w:rPr>
              <w:t>Strategic Program loans - with credit enhancement</w:t>
            </w:r>
            <w:r>
              <w:rPr>
                <w:rFonts w:ascii="Arial" w:cs="Arial" w:eastAsia="Arial" w:hAnsi="Arial"/>
                <w:sz w:val="15"/>
                <w:szCs w:val="15"/>
                <w:color w:val="auto"/>
                <w:vertAlign w:val="superscript"/>
              </w:rPr>
              <w:t>(1)</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45,392</w:t>
            </w:r>
          </w:p>
        </w:tc>
        <w:tc>
          <w:tcPr>
            <w:tcW w:w="80" w:type="dxa"/>
            <w:vAlign w:val="bottom"/>
          </w:tcPr>
          <w:p>
            <w:pPr>
              <w:spacing w:after="0"/>
              <w:rPr>
                <w:sz w:val="13"/>
                <w:szCs w:val="13"/>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14,944</w:t>
            </w:r>
          </w:p>
        </w:tc>
        <w:tc>
          <w:tcPr>
            <w:tcW w:w="8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8,850</w:t>
            </w:r>
          </w:p>
        </w:tc>
        <w:tc>
          <w:tcPr>
            <w:tcW w:w="0" w:type="dxa"/>
            <w:vAlign w:val="bottom"/>
          </w:tcPr>
          <w:p>
            <w:pPr>
              <w:spacing w:after="0"/>
              <w:rPr>
                <w:sz w:val="1"/>
                <w:szCs w:val="1"/>
                <w:color w:val="auto"/>
              </w:rPr>
            </w:pPr>
          </w:p>
        </w:tc>
      </w:tr>
      <w:tr>
        <w:trPr>
          <w:trHeight w:val="153"/>
        </w:trPr>
        <w:tc>
          <w:tcPr>
            <w:tcW w:w="6160" w:type="dxa"/>
            <w:vAlign w:val="bottom"/>
            <w:shd w:val="clear" w:color="auto" w:fill="CCEEFF"/>
          </w:tcPr>
          <w:p>
            <w:pPr>
              <w:ind w:left="80"/>
              <w:spacing w:after="0"/>
              <w:rPr>
                <w:sz w:val="20"/>
                <w:szCs w:val="20"/>
                <w:color w:val="auto"/>
              </w:rPr>
            </w:pPr>
            <w:r>
              <w:rPr>
                <w:rFonts w:ascii="Arial" w:cs="Arial" w:eastAsia="Arial" w:hAnsi="Arial"/>
                <w:sz w:val="12"/>
                <w:szCs w:val="12"/>
                <w:color w:val="auto"/>
              </w:rPr>
              <w:t>Strategic Program loans - without credit enhancement</w:t>
            </w:r>
          </w:p>
        </w:tc>
        <w:tc>
          <w:tcPr>
            <w:tcW w:w="3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1,995</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2,462</w:t>
            </w:r>
          </w:p>
        </w:tc>
        <w:tc>
          <w:tcPr>
            <w:tcW w:w="0" w:type="dxa"/>
            <w:vAlign w:val="bottom"/>
          </w:tcPr>
          <w:p>
            <w:pPr>
              <w:spacing w:after="0"/>
              <w:rPr>
                <w:sz w:val="1"/>
                <w:szCs w:val="1"/>
                <w:color w:val="auto"/>
              </w:rPr>
            </w:pPr>
          </w:p>
        </w:tc>
      </w:tr>
      <w:tr>
        <w:trPr>
          <w:trHeight w:val="153"/>
        </w:trPr>
        <w:tc>
          <w:tcPr>
            <w:tcW w:w="616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All other loans (core portfolio)</w:t>
            </w:r>
          </w:p>
        </w:tc>
        <w:tc>
          <w:tcPr>
            <w:tcW w:w="3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3,880</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1,346</w:t>
            </w:r>
          </w:p>
        </w:tc>
        <w:tc>
          <w:tcPr>
            <w:tcW w:w="0" w:type="dxa"/>
            <w:vAlign w:val="bottom"/>
          </w:tcPr>
          <w:p>
            <w:pPr>
              <w:spacing w:after="0"/>
              <w:rPr>
                <w:sz w:val="1"/>
                <w:szCs w:val="1"/>
                <w:color w:val="auto"/>
              </w:rPr>
            </w:pPr>
          </w:p>
        </w:tc>
      </w:tr>
      <w:tr>
        <w:trPr>
          <w:trHeight w:val="142"/>
        </w:trPr>
        <w:tc>
          <w:tcPr>
            <w:tcW w:w="61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Provision for credit losses on loans</w:t>
            </w:r>
          </w:p>
        </w:tc>
        <w:tc>
          <w:tcPr>
            <w:tcW w:w="3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46,590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20,819</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12,658</w:t>
            </w:r>
          </w:p>
        </w:tc>
        <w:tc>
          <w:tcPr>
            <w:tcW w:w="0" w:type="dxa"/>
            <w:vAlign w:val="bottom"/>
          </w:tcPr>
          <w:p>
            <w:pPr>
              <w:spacing w:after="0"/>
              <w:rPr>
                <w:sz w:val="1"/>
                <w:szCs w:val="1"/>
                <w:color w:val="auto"/>
              </w:rPr>
            </w:pPr>
          </w:p>
        </w:tc>
      </w:tr>
      <w:tr>
        <w:trPr>
          <w:trHeight w:val="153"/>
        </w:trPr>
        <w:tc>
          <w:tcPr>
            <w:tcW w:w="616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Provision for unfunded commitments</w:t>
            </w:r>
          </w:p>
        </w:tc>
        <w:tc>
          <w:tcPr>
            <w:tcW w:w="3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157</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141</w:t>
            </w:r>
          </w:p>
        </w:tc>
        <w:tc>
          <w:tcPr>
            <w:tcW w:w="0" w:type="dxa"/>
            <w:vAlign w:val="bottom"/>
          </w:tcPr>
          <w:p>
            <w:pPr>
              <w:spacing w:after="0"/>
              <w:rPr>
                <w:sz w:val="1"/>
                <w:szCs w:val="1"/>
                <w:color w:val="auto"/>
              </w:rPr>
            </w:pPr>
          </w:p>
        </w:tc>
      </w:tr>
      <w:tr>
        <w:trPr>
          <w:trHeight w:val="158"/>
        </w:trPr>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provision for credit losses</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46,747</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20,943</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12,799</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28" w:right="80" w:hanging="328"/>
        <w:spacing w:after="0" w:line="214" w:lineRule="auto"/>
        <w:tabs>
          <w:tab w:leader="none" w:pos="216" w:val="left"/>
        </w:tabs>
        <w:numPr>
          <w:ilvl w:val="0"/>
          <w:numId w:val="6"/>
        </w:numPr>
        <w:rPr>
          <w:rFonts w:ascii="Arial" w:cs="Arial" w:eastAsia="Arial" w:hAnsi="Arial"/>
          <w:sz w:val="10"/>
          <w:szCs w:val="10"/>
          <w:color w:val="auto"/>
        </w:rPr>
      </w:pPr>
      <w:r>
        <w:rPr>
          <w:rFonts w:ascii="Arial" w:cs="Arial" w:eastAsia="Arial" w:hAnsi="Arial"/>
          <w:sz w:val="10"/>
          <w:szCs w:val="10"/>
          <w:color w:val="auto"/>
        </w:rPr>
        <w:t>For credit enhanced loans, fintech partners are required to maintain a deposit account at FinWise, which is used to recover charge-offs. The provision for credit losses on these loans differs from the core portfolio, as it is fully offset by expected recoveries under the partner guarantee, which is recognized as credit enhancement income in non-interest income.</w:t>
      </w:r>
    </w:p>
    <w:p>
      <w:pPr>
        <w:spacing w:after="0" w:line="145" w:lineRule="exact"/>
        <w:rPr>
          <w:sz w:val="20"/>
          <w:szCs w:val="20"/>
          <w:color w:val="auto"/>
        </w:rPr>
      </w:pPr>
    </w:p>
    <w:p>
      <w:pPr>
        <w:ind w:left="8" w:right="20"/>
        <w:spacing w:after="0" w:line="290" w:lineRule="auto"/>
        <w:rPr>
          <w:sz w:val="20"/>
          <w:szCs w:val="20"/>
          <w:color w:val="auto"/>
        </w:rPr>
      </w:pPr>
      <w:r>
        <w:rPr>
          <w:rFonts w:ascii="Arial" w:cs="Arial" w:eastAsia="Arial" w:hAnsi="Arial"/>
          <w:sz w:val="13"/>
          <w:szCs w:val="13"/>
          <w:color w:val="auto"/>
        </w:rPr>
        <w:t>The Company’s provision for credit losses from continuing operations was $46.7 million for the third quarter of 2026, compared to $20.9 million for the prior quarter and $12.8 million for the prior year period. The increase from the prior quarter was primarily due to growth in the credit-enhanced loan programs, for which the provision is offset by credit enhancement income recognized in non-interest income. Excluding credit-enhanced loans, the provision for credit losses of $1.4 million declined $4.6 million from the prior quarter, compared to a provision of $5.9 million in the prior quarter, reflecting higher recoveries, reduced migration to classified loans resulting in less provisions for loans individually reviewed for impairment, and lower provisioning on Strategic Program loans without credit enhancement. The year-over-year increase was primarily related to growth in the credit-enhanced portfolio, partially offset by lower provisioning in the traditional bank portfolio as migration to classified status declined, and on Strategic Program loans without credit enhancement.</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4"/>
          <w:szCs w:val="14"/>
          <w:b w:val="1"/>
          <w:bCs w:val="1"/>
          <w:i w:val="1"/>
          <w:iCs w:val="1"/>
          <w:u w:val="single" w:color="auto"/>
          <w:color w:val="365F91"/>
        </w:rPr>
        <w:t>Non-interest Income</w:t>
      </w:r>
    </w:p>
    <w:p>
      <w:pPr>
        <w:spacing w:after="0" w:line="35"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6160" w:type="dxa"/>
            <w:vAlign w:val="bottom"/>
            <w:vMerge w:val="restart"/>
          </w:tcPr>
          <w:p>
            <w:pPr>
              <w:spacing w:after="0"/>
              <w:rPr>
                <w:sz w:val="20"/>
                <w:szCs w:val="20"/>
                <w:color w:val="auto"/>
              </w:rPr>
            </w:pPr>
            <w:r>
              <w:rPr>
                <w:rFonts w:ascii="Arial" w:cs="Arial" w:eastAsia="Arial" w:hAnsi="Arial"/>
                <w:sz w:val="12"/>
                <w:szCs w:val="12"/>
                <w:i w:val="1"/>
                <w:iCs w:val="1"/>
                <w:color w:val="auto"/>
              </w:rPr>
              <w:t>($ in thousands)</w:t>
            </w:r>
          </w:p>
        </w:tc>
        <w:tc>
          <w:tcPr>
            <w:tcW w:w="3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Three Months Ended</w:t>
            </w:r>
          </w:p>
        </w:tc>
        <w:tc>
          <w:tcPr>
            <w:tcW w:w="3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160" w:type="dxa"/>
            <w:vAlign w:val="bottom"/>
            <w:tcBorders>
              <w:bottom w:val="single" w:sz="8" w:color="CCEEFF"/>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9/30/2026</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6/30/2026</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9/30/2025</w:t>
            </w:r>
          </w:p>
        </w:tc>
        <w:tc>
          <w:tcPr>
            <w:tcW w:w="0" w:type="dxa"/>
            <w:vAlign w:val="bottom"/>
          </w:tcPr>
          <w:p>
            <w:pPr>
              <w:spacing w:after="0"/>
              <w:rPr>
                <w:sz w:val="1"/>
                <w:szCs w:val="1"/>
                <w:color w:val="auto"/>
              </w:rPr>
            </w:pPr>
          </w:p>
        </w:tc>
      </w:tr>
      <w:tr>
        <w:trPr>
          <w:trHeight w:val="133"/>
        </w:trPr>
        <w:tc>
          <w:tcPr>
            <w:tcW w:w="61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Non-interest income</w:t>
            </w:r>
          </w:p>
        </w:tc>
        <w:tc>
          <w:tcPr>
            <w:tcW w:w="3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160" w:type="dxa"/>
            <w:vAlign w:val="bottom"/>
          </w:tcPr>
          <w:p>
            <w:pPr>
              <w:ind w:left="80"/>
              <w:spacing w:after="0"/>
              <w:rPr>
                <w:sz w:val="20"/>
                <w:szCs w:val="20"/>
                <w:color w:val="auto"/>
              </w:rPr>
            </w:pPr>
            <w:r>
              <w:rPr>
                <w:rFonts w:ascii="Arial" w:cs="Arial" w:eastAsia="Arial" w:hAnsi="Arial"/>
                <w:sz w:val="12"/>
                <w:szCs w:val="12"/>
                <w:color w:val="auto"/>
              </w:rPr>
              <w:t>Strategic Program fees</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6,573</w:t>
            </w:r>
          </w:p>
        </w:tc>
        <w:tc>
          <w:tcPr>
            <w:tcW w:w="80" w:type="dxa"/>
            <w:vAlign w:val="bottom"/>
          </w:tcPr>
          <w:p>
            <w:pPr>
              <w:spacing w:after="0"/>
              <w:rPr>
                <w:sz w:val="13"/>
                <w:szCs w:val="13"/>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5,251</w:t>
            </w:r>
          </w:p>
        </w:tc>
        <w:tc>
          <w:tcPr>
            <w:tcW w:w="8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6,180</w:t>
            </w:r>
          </w:p>
        </w:tc>
        <w:tc>
          <w:tcPr>
            <w:tcW w:w="0" w:type="dxa"/>
            <w:vAlign w:val="bottom"/>
          </w:tcPr>
          <w:p>
            <w:pPr>
              <w:spacing w:after="0"/>
              <w:rPr>
                <w:sz w:val="1"/>
                <w:szCs w:val="1"/>
                <w:color w:val="auto"/>
              </w:rPr>
            </w:pPr>
          </w:p>
        </w:tc>
      </w:tr>
      <w:tr>
        <w:trPr>
          <w:trHeight w:val="153"/>
        </w:trPr>
        <w:tc>
          <w:tcPr>
            <w:tcW w:w="6160" w:type="dxa"/>
            <w:vAlign w:val="bottom"/>
            <w:shd w:val="clear" w:color="auto" w:fill="CCEEFF"/>
          </w:tcPr>
          <w:p>
            <w:pPr>
              <w:ind w:left="80"/>
              <w:spacing w:after="0"/>
              <w:rPr>
                <w:sz w:val="20"/>
                <w:szCs w:val="20"/>
                <w:color w:val="auto"/>
              </w:rPr>
            </w:pPr>
            <w:r>
              <w:rPr>
                <w:rFonts w:ascii="Arial" w:cs="Arial" w:eastAsia="Arial" w:hAnsi="Arial"/>
                <w:sz w:val="12"/>
                <w:szCs w:val="12"/>
                <w:color w:val="auto"/>
              </w:rPr>
              <w:t>Gain on sale of loans</w:t>
            </w:r>
          </w:p>
        </w:tc>
        <w:tc>
          <w:tcPr>
            <w:tcW w:w="3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1,866</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1,480</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1,854</w:t>
            </w:r>
          </w:p>
        </w:tc>
        <w:tc>
          <w:tcPr>
            <w:tcW w:w="0" w:type="dxa"/>
            <w:vAlign w:val="bottom"/>
          </w:tcPr>
          <w:p>
            <w:pPr>
              <w:spacing w:after="0"/>
              <w:rPr>
                <w:sz w:val="1"/>
                <w:szCs w:val="1"/>
                <w:color w:val="auto"/>
              </w:rPr>
            </w:pPr>
          </w:p>
        </w:tc>
      </w:tr>
      <w:tr>
        <w:trPr>
          <w:trHeight w:val="153"/>
        </w:trPr>
        <w:tc>
          <w:tcPr>
            <w:tcW w:w="6160" w:type="dxa"/>
            <w:vAlign w:val="bottom"/>
          </w:tcPr>
          <w:p>
            <w:pPr>
              <w:ind w:left="80"/>
              <w:spacing w:after="0"/>
              <w:rPr>
                <w:sz w:val="20"/>
                <w:szCs w:val="20"/>
                <w:color w:val="auto"/>
              </w:rPr>
            </w:pPr>
            <w:r>
              <w:rPr>
                <w:rFonts w:ascii="Arial" w:cs="Arial" w:eastAsia="Arial" w:hAnsi="Arial"/>
                <w:sz w:val="12"/>
                <w:szCs w:val="12"/>
                <w:color w:val="auto"/>
              </w:rPr>
              <w:t>SBA loan servicing fees, net</w:t>
            </w:r>
          </w:p>
        </w:tc>
        <w:tc>
          <w:tcPr>
            <w:tcW w:w="3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79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80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(242)</w:t>
            </w:r>
          </w:p>
        </w:tc>
        <w:tc>
          <w:tcPr>
            <w:tcW w:w="0" w:type="dxa"/>
            <w:vAlign w:val="bottom"/>
          </w:tcPr>
          <w:p>
            <w:pPr>
              <w:spacing w:after="0"/>
              <w:rPr>
                <w:sz w:val="1"/>
                <w:szCs w:val="1"/>
                <w:color w:val="auto"/>
              </w:rPr>
            </w:pPr>
          </w:p>
        </w:tc>
      </w:tr>
      <w:tr>
        <w:trPr>
          <w:trHeight w:val="153"/>
        </w:trPr>
        <w:tc>
          <w:tcPr>
            <w:tcW w:w="6160" w:type="dxa"/>
            <w:vAlign w:val="bottom"/>
            <w:shd w:val="clear" w:color="auto" w:fill="CCEEFF"/>
          </w:tcPr>
          <w:p>
            <w:pPr>
              <w:ind w:left="80"/>
              <w:spacing w:after="0"/>
              <w:rPr>
                <w:sz w:val="20"/>
                <w:szCs w:val="20"/>
                <w:color w:val="auto"/>
              </w:rPr>
            </w:pPr>
            <w:r>
              <w:rPr>
                <w:rFonts w:ascii="Arial" w:cs="Arial" w:eastAsia="Arial" w:hAnsi="Arial"/>
                <w:sz w:val="12"/>
                <w:szCs w:val="12"/>
                <w:color w:val="auto"/>
              </w:rPr>
              <w:t>Change in fair value on investment in BFG</w:t>
            </w:r>
          </w:p>
        </w:tc>
        <w:tc>
          <w:tcPr>
            <w:tcW w:w="3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53"/>
        </w:trPr>
        <w:tc>
          <w:tcPr>
            <w:tcW w:w="6160" w:type="dxa"/>
            <w:vAlign w:val="bottom"/>
          </w:tcPr>
          <w:p>
            <w:pPr>
              <w:ind w:left="80"/>
              <w:spacing w:after="0"/>
              <w:rPr>
                <w:sz w:val="20"/>
                <w:szCs w:val="20"/>
                <w:color w:val="auto"/>
              </w:rPr>
            </w:pPr>
            <w:r>
              <w:rPr>
                <w:rFonts w:ascii="Arial" w:cs="Arial" w:eastAsia="Arial" w:hAnsi="Arial"/>
                <w:sz w:val="12"/>
                <w:szCs w:val="12"/>
                <w:color w:val="auto"/>
              </w:rPr>
              <w:t>Credit enhancement income</w:t>
            </w:r>
          </w:p>
        </w:tc>
        <w:tc>
          <w:tcPr>
            <w:tcW w:w="3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45,392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14,944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8,762</w:t>
            </w:r>
          </w:p>
        </w:tc>
        <w:tc>
          <w:tcPr>
            <w:tcW w:w="0" w:type="dxa"/>
            <w:vAlign w:val="bottom"/>
          </w:tcPr>
          <w:p>
            <w:pPr>
              <w:spacing w:after="0"/>
              <w:rPr>
                <w:sz w:val="1"/>
                <w:szCs w:val="1"/>
                <w:color w:val="auto"/>
              </w:rPr>
            </w:pPr>
          </w:p>
        </w:tc>
      </w:tr>
      <w:tr>
        <w:trPr>
          <w:trHeight w:val="153"/>
        </w:trPr>
        <w:tc>
          <w:tcPr>
            <w:tcW w:w="6160" w:type="dxa"/>
            <w:vAlign w:val="bottom"/>
            <w:shd w:val="clear" w:color="auto" w:fill="CCEEFF"/>
          </w:tcPr>
          <w:p>
            <w:pPr>
              <w:ind w:left="80"/>
              <w:spacing w:after="0"/>
              <w:rPr>
                <w:sz w:val="20"/>
                <w:szCs w:val="20"/>
                <w:color w:val="auto"/>
              </w:rPr>
            </w:pPr>
            <w:r>
              <w:rPr>
                <w:rFonts w:ascii="Arial" w:cs="Arial" w:eastAsia="Arial" w:hAnsi="Arial"/>
                <w:sz w:val="12"/>
                <w:szCs w:val="12"/>
                <w:color w:val="auto"/>
              </w:rPr>
              <w:t>Bargain purchase gain</w:t>
            </w:r>
          </w:p>
        </w:tc>
        <w:tc>
          <w:tcPr>
            <w:tcW w:w="3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6,456</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616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Other miscellaneous income</w:t>
            </w:r>
          </w:p>
        </w:tc>
        <w:tc>
          <w:tcPr>
            <w:tcW w:w="320" w:type="dxa"/>
            <w:vAlign w:val="bottom"/>
            <w:tcBorders>
              <w:bottom w:val="single" w:sz="8" w:color="242424"/>
            </w:tcBorders>
          </w:tcPr>
          <w:p>
            <w:pPr>
              <w:spacing w:after="0"/>
              <w:rPr>
                <w:sz w:val="13"/>
                <w:szCs w:val="13"/>
                <w:color w:val="auto"/>
              </w:rPr>
            </w:pPr>
          </w:p>
        </w:tc>
        <w:tc>
          <w:tcPr>
            <w:tcW w:w="1340" w:type="dxa"/>
            <w:vAlign w:val="bottom"/>
            <w:tcBorders>
              <w:bottom w:val="single" w:sz="8" w:color="242424"/>
            </w:tcBorders>
          </w:tcPr>
          <w:p>
            <w:pPr>
              <w:jc w:val="right"/>
              <w:spacing w:after="0"/>
              <w:rPr>
                <w:sz w:val="20"/>
                <w:szCs w:val="20"/>
                <w:color w:val="auto"/>
              </w:rPr>
            </w:pPr>
            <w:r>
              <w:rPr>
                <w:rFonts w:ascii="Arial" w:cs="Arial" w:eastAsia="Arial" w:hAnsi="Arial"/>
                <w:sz w:val="12"/>
                <w:szCs w:val="12"/>
                <w:color w:val="auto"/>
              </w:rPr>
              <w:t>1,359</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242424"/>
            </w:tcBorders>
          </w:tcPr>
          <w:p>
            <w:pPr>
              <w:spacing w:after="0"/>
              <w:rPr>
                <w:sz w:val="13"/>
                <w:szCs w:val="13"/>
                <w:color w:val="auto"/>
              </w:rPr>
            </w:pPr>
          </w:p>
        </w:tc>
        <w:tc>
          <w:tcPr>
            <w:tcW w:w="1480" w:type="dxa"/>
            <w:vAlign w:val="bottom"/>
            <w:tcBorders>
              <w:bottom w:val="single" w:sz="8" w:color="242424"/>
            </w:tcBorders>
          </w:tcPr>
          <w:p>
            <w:pPr>
              <w:jc w:val="right"/>
              <w:spacing w:after="0"/>
              <w:rPr>
                <w:sz w:val="20"/>
                <w:szCs w:val="20"/>
                <w:color w:val="auto"/>
              </w:rPr>
            </w:pPr>
            <w:r>
              <w:rPr>
                <w:rFonts w:ascii="Arial" w:cs="Arial" w:eastAsia="Arial" w:hAnsi="Arial"/>
                <w:sz w:val="12"/>
                <w:szCs w:val="12"/>
                <w:color w:val="auto"/>
              </w:rPr>
              <w:t>1,567</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242424"/>
            </w:tcBorders>
          </w:tcPr>
          <w:p>
            <w:pPr>
              <w:spacing w:after="0"/>
              <w:rPr>
                <w:sz w:val="13"/>
                <w:szCs w:val="13"/>
                <w:color w:val="auto"/>
              </w:rPr>
            </w:pPr>
          </w:p>
        </w:tc>
        <w:tc>
          <w:tcPr>
            <w:tcW w:w="1340" w:type="dxa"/>
            <w:vAlign w:val="bottom"/>
            <w:tcBorders>
              <w:bottom w:val="single" w:sz="8" w:color="242424"/>
            </w:tcBorders>
          </w:tcPr>
          <w:p>
            <w:pPr>
              <w:jc w:val="right"/>
              <w:spacing w:after="0"/>
              <w:rPr>
                <w:sz w:val="20"/>
                <w:szCs w:val="20"/>
                <w:color w:val="auto"/>
              </w:rPr>
            </w:pPr>
            <w:r>
              <w:rPr>
                <w:rFonts w:ascii="Arial" w:cs="Arial" w:eastAsia="Arial" w:hAnsi="Arial"/>
                <w:sz w:val="12"/>
                <w:szCs w:val="12"/>
                <w:color w:val="auto"/>
              </w:rPr>
              <w:t>1,298</w:t>
            </w:r>
          </w:p>
        </w:tc>
        <w:tc>
          <w:tcPr>
            <w:tcW w:w="0" w:type="dxa"/>
            <w:vAlign w:val="bottom"/>
          </w:tcPr>
          <w:p>
            <w:pPr>
              <w:spacing w:after="0"/>
              <w:rPr>
                <w:sz w:val="1"/>
                <w:szCs w:val="1"/>
                <w:color w:val="auto"/>
              </w:rPr>
            </w:pPr>
          </w:p>
        </w:tc>
      </w:tr>
      <w:tr>
        <w:trPr>
          <w:trHeight w:val="158"/>
        </w:trPr>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non-interest income</w:t>
            </w:r>
          </w:p>
        </w:tc>
        <w:tc>
          <w:tcPr>
            <w:tcW w:w="320" w:type="dxa"/>
            <w:vAlign w:val="bottom"/>
            <w:tcBorders>
              <w:bottom w:val="single" w:sz="8" w:color="242424"/>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242424"/>
            </w:tcBorders>
            <w:shd w:val="clear" w:color="auto" w:fill="CCEEFF"/>
          </w:tcPr>
          <w:p>
            <w:pPr>
              <w:jc w:val="right"/>
              <w:spacing w:after="0"/>
              <w:rPr>
                <w:sz w:val="20"/>
                <w:szCs w:val="20"/>
                <w:color w:val="auto"/>
              </w:rPr>
            </w:pPr>
            <w:r>
              <w:rPr>
                <w:rFonts w:ascii="Arial" w:cs="Arial" w:eastAsia="Arial" w:hAnsi="Arial"/>
                <w:sz w:val="12"/>
                <w:szCs w:val="12"/>
                <w:color w:val="auto"/>
              </w:rPr>
              <w:t>60,825</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242424"/>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242424"/>
            </w:tcBorders>
            <w:shd w:val="clear" w:color="auto" w:fill="CCEEFF"/>
          </w:tcPr>
          <w:p>
            <w:pPr>
              <w:jc w:val="right"/>
              <w:spacing w:after="0"/>
              <w:rPr>
                <w:sz w:val="20"/>
                <w:szCs w:val="20"/>
                <w:color w:val="auto"/>
              </w:rPr>
            </w:pPr>
            <w:r>
              <w:rPr>
                <w:rFonts w:ascii="Arial" w:cs="Arial" w:eastAsia="Arial" w:hAnsi="Arial"/>
                <w:sz w:val="12"/>
                <w:szCs w:val="12"/>
                <w:color w:val="auto"/>
              </w:rPr>
              <w:t>23,122</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242424"/>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242424"/>
            </w:tcBorders>
            <w:shd w:val="clear" w:color="auto" w:fill="CCEEFF"/>
          </w:tcPr>
          <w:p>
            <w:pPr>
              <w:jc w:val="right"/>
              <w:spacing w:after="0"/>
              <w:rPr>
                <w:sz w:val="20"/>
                <w:szCs w:val="20"/>
                <w:color w:val="auto"/>
              </w:rPr>
            </w:pPr>
            <w:r>
              <w:rPr>
                <w:rFonts w:ascii="Arial" w:cs="Arial" w:eastAsia="Arial" w:hAnsi="Arial"/>
                <w:sz w:val="12"/>
                <w:szCs w:val="12"/>
                <w:color w:val="auto"/>
              </w:rPr>
              <w:t>18,052</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8" w:right="140"/>
        <w:spacing w:after="0" w:line="292" w:lineRule="auto"/>
        <w:rPr>
          <w:sz w:val="20"/>
          <w:szCs w:val="20"/>
          <w:color w:val="auto"/>
        </w:rPr>
      </w:pPr>
      <w:r>
        <w:rPr>
          <w:rFonts w:ascii="Arial" w:cs="Arial" w:eastAsia="Arial" w:hAnsi="Arial"/>
          <w:sz w:val="13"/>
          <w:szCs w:val="13"/>
          <w:color w:val="auto"/>
        </w:rPr>
        <w:t>The increase in non-interest income from the prior quarter was primarily due to an increase in credit enhancement income, which corresponds to the higher provision for credit losses on credit-enhanced loans for the quarter ended September 30, 2026. Non-interest income also included a $6.5 million bargain purchase gain recognized in connection with the Tallied acquisition. In addition, Strategic Program fees increased, consistent with growth in Strategic Program volume and in Strategic Program loans held for investment. These increases were partially offset by a decrease in the fair value of the Company’s investment in BFG.</w:t>
      </w:r>
    </w:p>
    <w:p>
      <w:pPr>
        <w:spacing w:after="0" w:line="136" w:lineRule="exact"/>
        <w:rPr>
          <w:sz w:val="20"/>
          <w:szCs w:val="20"/>
          <w:color w:val="auto"/>
        </w:rPr>
      </w:pPr>
    </w:p>
    <w:p>
      <w:pPr>
        <w:jc w:val="both"/>
        <w:ind w:left="8" w:right="120"/>
        <w:spacing w:after="0" w:line="300" w:lineRule="auto"/>
        <w:rPr>
          <w:sz w:val="20"/>
          <w:szCs w:val="20"/>
          <w:color w:val="auto"/>
        </w:rPr>
      </w:pPr>
      <w:r>
        <w:rPr>
          <w:rFonts w:ascii="Arial" w:cs="Arial" w:eastAsia="Arial" w:hAnsi="Arial"/>
          <w:sz w:val="13"/>
          <w:szCs w:val="13"/>
          <w:color w:val="auto"/>
        </w:rPr>
        <w:t>The increase in non-interest income compared to the prior-year period was primarily due to an increase in credit enhancement income, driven by growth in credit-enhanced loan balances, and the $6.5 million bargain purchase gain recognized in connection with the Tallied acquisition. These increases were partially offset by a decrease in the fair value of the Company’s investment in BFG.</w:t>
      </w:r>
    </w:p>
    <w:p>
      <w:pPr>
        <w:spacing w:after="0" w:line="60"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88"/>
          </w:cols>
          <w:pgMar w:left="292" w:top="564"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i w:val="1"/>
          <w:iCs w:val="1"/>
          <w:u w:val="single" w:color="auto"/>
          <w:color w:val="365F91"/>
        </w:rPr>
        <w:t>Non-interest Expense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160" w:type="dxa"/>
            <w:vAlign w:val="bottom"/>
            <w:vMerge w:val="restart"/>
          </w:tcPr>
          <w:p>
            <w:pPr>
              <w:spacing w:after="0"/>
              <w:rPr>
                <w:sz w:val="20"/>
                <w:szCs w:val="20"/>
                <w:color w:val="auto"/>
              </w:rPr>
            </w:pPr>
            <w:r>
              <w:rPr>
                <w:rFonts w:ascii="Arial" w:cs="Arial" w:eastAsia="Arial" w:hAnsi="Arial"/>
                <w:sz w:val="12"/>
                <w:szCs w:val="12"/>
                <w:i w:val="1"/>
                <w:iCs w:val="1"/>
                <w:color w:val="auto"/>
              </w:rPr>
              <w:t>($ in thousands)</w:t>
            </w:r>
          </w:p>
        </w:tc>
        <w:tc>
          <w:tcPr>
            <w:tcW w:w="3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Three Months Ended</w:t>
            </w:r>
          </w:p>
        </w:tc>
        <w:tc>
          <w:tcPr>
            <w:tcW w:w="3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160" w:type="dxa"/>
            <w:vAlign w:val="bottom"/>
            <w:tcBorders>
              <w:bottom w:val="single" w:sz="8" w:color="CCEEFF"/>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9/30/2026</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6/30/2026</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9/30/2025</w:t>
            </w:r>
          </w:p>
        </w:tc>
        <w:tc>
          <w:tcPr>
            <w:tcW w:w="0" w:type="dxa"/>
            <w:vAlign w:val="bottom"/>
          </w:tcPr>
          <w:p>
            <w:pPr>
              <w:spacing w:after="0"/>
              <w:rPr>
                <w:sz w:val="1"/>
                <w:szCs w:val="1"/>
                <w:color w:val="auto"/>
              </w:rPr>
            </w:pPr>
          </w:p>
        </w:tc>
      </w:tr>
      <w:tr>
        <w:trPr>
          <w:trHeight w:val="133"/>
        </w:trPr>
        <w:tc>
          <w:tcPr>
            <w:tcW w:w="61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Non-interest expense</w:t>
            </w:r>
          </w:p>
        </w:tc>
        <w:tc>
          <w:tcPr>
            <w:tcW w:w="3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160" w:type="dxa"/>
            <w:vAlign w:val="bottom"/>
          </w:tcPr>
          <w:p>
            <w:pPr>
              <w:ind w:left="120"/>
              <w:spacing w:after="0"/>
              <w:rPr>
                <w:sz w:val="20"/>
                <w:szCs w:val="20"/>
                <w:color w:val="auto"/>
              </w:rPr>
            </w:pPr>
            <w:r>
              <w:rPr>
                <w:rFonts w:ascii="Arial" w:cs="Arial" w:eastAsia="Arial" w:hAnsi="Arial"/>
                <w:sz w:val="12"/>
                <w:szCs w:val="12"/>
                <w:color w:val="auto"/>
              </w:rPr>
              <w:t>Salaries and employee benefits</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12,483</w:t>
            </w:r>
          </w:p>
        </w:tc>
        <w:tc>
          <w:tcPr>
            <w:tcW w:w="80" w:type="dxa"/>
            <w:vAlign w:val="bottom"/>
          </w:tcPr>
          <w:p>
            <w:pPr>
              <w:spacing w:after="0"/>
              <w:rPr>
                <w:sz w:val="13"/>
                <w:szCs w:val="13"/>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11,062</w:t>
            </w:r>
          </w:p>
        </w:tc>
        <w:tc>
          <w:tcPr>
            <w:tcW w:w="8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10,814</w:t>
            </w:r>
          </w:p>
        </w:tc>
        <w:tc>
          <w:tcPr>
            <w:tcW w:w="0" w:type="dxa"/>
            <w:vAlign w:val="bottom"/>
          </w:tcPr>
          <w:p>
            <w:pPr>
              <w:spacing w:after="0"/>
              <w:rPr>
                <w:sz w:val="1"/>
                <w:szCs w:val="1"/>
                <w:color w:val="auto"/>
              </w:rPr>
            </w:pPr>
          </w:p>
        </w:tc>
      </w:tr>
      <w:tr>
        <w:trPr>
          <w:trHeight w:val="153"/>
        </w:trPr>
        <w:tc>
          <w:tcPr>
            <w:tcW w:w="61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Professional services</w:t>
            </w:r>
          </w:p>
        </w:tc>
        <w:tc>
          <w:tcPr>
            <w:tcW w:w="3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1,426</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1,146</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876</w:t>
            </w:r>
          </w:p>
        </w:tc>
        <w:tc>
          <w:tcPr>
            <w:tcW w:w="0" w:type="dxa"/>
            <w:vAlign w:val="bottom"/>
          </w:tcPr>
          <w:p>
            <w:pPr>
              <w:spacing w:after="0"/>
              <w:rPr>
                <w:sz w:val="1"/>
                <w:szCs w:val="1"/>
                <w:color w:val="auto"/>
              </w:rPr>
            </w:pPr>
          </w:p>
        </w:tc>
      </w:tr>
      <w:tr>
        <w:trPr>
          <w:trHeight w:val="153"/>
        </w:trPr>
        <w:tc>
          <w:tcPr>
            <w:tcW w:w="6160" w:type="dxa"/>
            <w:vAlign w:val="bottom"/>
          </w:tcPr>
          <w:p>
            <w:pPr>
              <w:ind w:left="120"/>
              <w:spacing w:after="0"/>
              <w:rPr>
                <w:sz w:val="20"/>
                <w:szCs w:val="20"/>
                <w:color w:val="auto"/>
              </w:rPr>
            </w:pPr>
            <w:r>
              <w:rPr>
                <w:rFonts w:ascii="Arial" w:cs="Arial" w:eastAsia="Arial" w:hAnsi="Arial"/>
                <w:sz w:val="12"/>
                <w:szCs w:val="12"/>
                <w:color w:val="auto"/>
              </w:rPr>
              <w:t>Occupancy and equipment expenses</w:t>
            </w:r>
          </w:p>
        </w:tc>
        <w:tc>
          <w:tcPr>
            <w:tcW w:w="3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440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417</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456</w:t>
            </w:r>
          </w:p>
        </w:tc>
        <w:tc>
          <w:tcPr>
            <w:tcW w:w="0" w:type="dxa"/>
            <w:vAlign w:val="bottom"/>
          </w:tcPr>
          <w:p>
            <w:pPr>
              <w:spacing w:after="0"/>
              <w:rPr>
                <w:sz w:val="1"/>
                <w:szCs w:val="1"/>
                <w:color w:val="auto"/>
              </w:rPr>
            </w:pPr>
          </w:p>
        </w:tc>
      </w:tr>
      <w:tr>
        <w:trPr>
          <w:trHeight w:val="180"/>
        </w:trPr>
        <w:tc>
          <w:tcPr>
            <w:tcW w:w="6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Credit enhancement servicing expense</w:t>
            </w:r>
          </w:p>
        </w:tc>
        <w:tc>
          <w:tcPr>
            <w:tcW w:w="3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4,284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248</w:t>
            </w:r>
          </w:p>
        </w:tc>
        <w:tc>
          <w:tcPr>
            <w:tcW w:w="0" w:type="dxa"/>
            <w:vAlign w:val="bottom"/>
          </w:tcPr>
          <w:p>
            <w:pPr>
              <w:spacing w:after="0"/>
              <w:rPr>
                <w:sz w:val="1"/>
                <w:szCs w:val="1"/>
                <w:color w:val="auto"/>
              </w:rPr>
            </w:pPr>
          </w:p>
        </w:tc>
      </w:tr>
      <w:tr>
        <w:trPr>
          <w:trHeight w:val="180"/>
        </w:trPr>
        <w:tc>
          <w:tcPr>
            <w:tcW w:w="6160" w:type="dxa"/>
            <w:vAlign w:val="bottom"/>
          </w:tcPr>
          <w:p>
            <w:pPr>
              <w:ind w:left="100"/>
              <w:spacing w:after="0"/>
              <w:rPr>
                <w:sz w:val="20"/>
                <w:szCs w:val="20"/>
                <w:color w:val="auto"/>
              </w:rPr>
            </w:pPr>
            <w:r>
              <w:rPr>
                <w:rFonts w:ascii="Arial" w:cs="Arial" w:eastAsia="Arial" w:hAnsi="Arial"/>
                <w:sz w:val="12"/>
                <w:szCs w:val="12"/>
                <w:color w:val="auto"/>
              </w:rPr>
              <w:t>Credit enhancement guarantee expense</w:t>
            </w:r>
          </w:p>
        </w:tc>
        <w:tc>
          <w:tcPr>
            <w:tcW w:w="3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20,049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11,337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1,720</w:t>
            </w:r>
          </w:p>
        </w:tc>
        <w:tc>
          <w:tcPr>
            <w:tcW w:w="0" w:type="dxa"/>
            <w:vAlign w:val="bottom"/>
          </w:tcPr>
          <w:p>
            <w:pPr>
              <w:spacing w:after="0"/>
              <w:rPr>
                <w:sz w:val="1"/>
                <w:szCs w:val="1"/>
                <w:color w:val="auto"/>
              </w:rPr>
            </w:pPr>
          </w:p>
        </w:tc>
      </w:tr>
      <w:tr>
        <w:trPr>
          <w:trHeight w:val="153"/>
        </w:trPr>
        <w:tc>
          <w:tcPr>
            <w:tcW w:w="61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operating expenses</w:t>
            </w:r>
          </w:p>
        </w:tc>
        <w:tc>
          <w:tcPr>
            <w:tcW w:w="320" w:type="dxa"/>
            <w:vAlign w:val="bottom"/>
            <w:tcBorders>
              <w:bottom w:val="single" w:sz="8" w:color="242424"/>
            </w:tcBorders>
            <w:shd w:val="clear" w:color="auto" w:fill="CCEEFF"/>
          </w:tcPr>
          <w:p>
            <w:pPr>
              <w:spacing w:after="0"/>
              <w:rPr>
                <w:sz w:val="13"/>
                <w:szCs w:val="13"/>
                <w:color w:val="auto"/>
              </w:rPr>
            </w:pPr>
          </w:p>
        </w:tc>
        <w:tc>
          <w:tcPr>
            <w:tcW w:w="1340" w:type="dxa"/>
            <w:vAlign w:val="bottom"/>
            <w:tcBorders>
              <w:bottom w:val="single" w:sz="8" w:color="242424"/>
            </w:tcBorders>
            <w:shd w:val="clear" w:color="auto" w:fill="CCEEFF"/>
          </w:tcPr>
          <w:p>
            <w:pPr>
              <w:jc w:val="right"/>
              <w:spacing w:after="0"/>
              <w:rPr>
                <w:sz w:val="20"/>
                <w:szCs w:val="20"/>
                <w:color w:val="auto"/>
              </w:rPr>
            </w:pPr>
            <w:r>
              <w:rPr>
                <w:rFonts w:ascii="Arial" w:cs="Arial" w:eastAsia="Arial" w:hAnsi="Arial"/>
                <w:sz w:val="12"/>
                <w:szCs w:val="12"/>
                <w:color w:val="auto"/>
              </w:rPr>
              <w:t>4,062</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2,951</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242424"/>
            </w:tcBorders>
            <w:shd w:val="clear" w:color="auto" w:fill="CCEEFF"/>
          </w:tcPr>
          <w:p>
            <w:pPr>
              <w:spacing w:after="0"/>
              <w:rPr>
                <w:sz w:val="13"/>
                <w:szCs w:val="13"/>
                <w:color w:val="auto"/>
              </w:rPr>
            </w:pPr>
          </w:p>
        </w:tc>
        <w:tc>
          <w:tcPr>
            <w:tcW w:w="1340" w:type="dxa"/>
            <w:vAlign w:val="bottom"/>
            <w:tcBorders>
              <w:bottom w:val="single" w:sz="8" w:color="242424"/>
            </w:tcBorders>
            <w:shd w:val="clear" w:color="auto" w:fill="CCEEFF"/>
          </w:tcPr>
          <w:p>
            <w:pPr>
              <w:jc w:val="right"/>
              <w:spacing w:after="0"/>
              <w:rPr>
                <w:sz w:val="20"/>
                <w:szCs w:val="20"/>
                <w:color w:val="auto"/>
              </w:rPr>
            </w:pPr>
            <w:r>
              <w:rPr>
                <w:rFonts w:ascii="Arial" w:cs="Arial" w:eastAsia="Arial" w:hAnsi="Arial"/>
                <w:sz w:val="12"/>
                <w:szCs w:val="12"/>
                <w:color w:val="auto"/>
              </w:rPr>
              <w:t>3,335</w:t>
            </w:r>
          </w:p>
        </w:tc>
        <w:tc>
          <w:tcPr>
            <w:tcW w:w="0" w:type="dxa"/>
            <w:vAlign w:val="bottom"/>
          </w:tcPr>
          <w:p>
            <w:pPr>
              <w:spacing w:after="0"/>
              <w:rPr>
                <w:sz w:val="1"/>
                <w:szCs w:val="1"/>
                <w:color w:val="auto"/>
              </w:rPr>
            </w:pPr>
          </w:p>
        </w:tc>
      </w:tr>
      <w:tr>
        <w:trPr>
          <w:trHeight w:val="142"/>
        </w:trPr>
        <w:tc>
          <w:tcPr>
            <w:tcW w:w="6160" w:type="dxa"/>
            <w:vAlign w:val="bottom"/>
          </w:tcPr>
          <w:p>
            <w:pPr>
              <w:spacing w:after="0"/>
              <w:rPr>
                <w:sz w:val="20"/>
                <w:szCs w:val="20"/>
                <w:color w:val="auto"/>
              </w:rPr>
            </w:pPr>
            <w:r>
              <w:rPr>
                <w:rFonts w:ascii="Arial" w:cs="Arial" w:eastAsia="Arial" w:hAnsi="Arial"/>
                <w:sz w:val="12"/>
                <w:szCs w:val="12"/>
                <w:color w:val="auto"/>
              </w:rPr>
              <w:t>Total non-interest expense</w:t>
            </w:r>
          </w:p>
        </w:tc>
        <w:tc>
          <w:tcPr>
            <w:tcW w:w="320" w:type="dxa"/>
            <w:vAlign w:val="bottom"/>
            <w:tcBorders>
              <w:bottom w:val="single" w:sz="8" w:color="242424"/>
            </w:tcBorders>
          </w:tcPr>
          <w:p>
            <w:pPr>
              <w:jc w:val="right"/>
              <w:ind w:right="18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242424"/>
            </w:tcBorders>
          </w:tcPr>
          <w:p>
            <w:pPr>
              <w:jc w:val="right"/>
              <w:spacing w:after="0"/>
              <w:rPr>
                <w:sz w:val="20"/>
                <w:szCs w:val="20"/>
                <w:color w:val="auto"/>
              </w:rPr>
            </w:pPr>
            <w:r>
              <w:rPr>
                <w:rFonts w:ascii="Arial" w:cs="Arial" w:eastAsia="Arial" w:hAnsi="Arial"/>
                <w:sz w:val="12"/>
                <w:szCs w:val="12"/>
                <w:color w:val="auto"/>
              </w:rPr>
              <w:t>42,744</w:t>
            </w:r>
          </w:p>
        </w:tc>
        <w:tc>
          <w:tcPr>
            <w:tcW w:w="80" w:type="dxa"/>
            <w:vAlign w:val="bottom"/>
          </w:tcPr>
          <w:p>
            <w:pPr>
              <w:spacing w:after="0"/>
              <w:rPr>
                <w:sz w:val="12"/>
                <w:szCs w:val="12"/>
                <w:color w:val="auto"/>
              </w:rPr>
            </w:pPr>
          </w:p>
        </w:tc>
        <w:tc>
          <w:tcPr>
            <w:tcW w:w="160" w:type="dxa"/>
            <w:vAlign w:val="bottom"/>
            <w:tcBorders>
              <w:bottom w:val="single" w:sz="8" w:color="242424"/>
            </w:tcBorders>
          </w:tcPr>
          <w:p>
            <w:pPr>
              <w:jc w:val="right"/>
              <w:ind w:right="20"/>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242424"/>
            </w:tcBorders>
          </w:tcPr>
          <w:p>
            <w:pPr>
              <w:jc w:val="right"/>
              <w:spacing w:after="0"/>
              <w:rPr>
                <w:sz w:val="20"/>
                <w:szCs w:val="20"/>
                <w:color w:val="auto"/>
              </w:rPr>
            </w:pPr>
            <w:r>
              <w:rPr>
                <w:rFonts w:ascii="Arial" w:cs="Arial" w:eastAsia="Arial" w:hAnsi="Arial"/>
                <w:sz w:val="12"/>
                <w:szCs w:val="12"/>
                <w:color w:val="auto"/>
              </w:rPr>
              <w:t>28,306</w:t>
            </w:r>
          </w:p>
        </w:tc>
        <w:tc>
          <w:tcPr>
            <w:tcW w:w="80" w:type="dxa"/>
            <w:vAlign w:val="bottom"/>
          </w:tcPr>
          <w:p>
            <w:pPr>
              <w:spacing w:after="0"/>
              <w:rPr>
                <w:sz w:val="12"/>
                <w:szCs w:val="12"/>
                <w:color w:val="auto"/>
              </w:rPr>
            </w:pPr>
          </w:p>
        </w:tc>
        <w:tc>
          <w:tcPr>
            <w:tcW w:w="320" w:type="dxa"/>
            <w:vAlign w:val="bottom"/>
            <w:tcBorders>
              <w:bottom w:val="single" w:sz="8" w:color="242424"/>
            </w:tcBorders>
          </w:tcPr>
          <w:p>
            <w:pPr>
              <w:jc w:val="right"/>
              <w:ind w:right="18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242424"/>
            </w:tcBorders>
          </w:tcPr>
          <w:p>
            <w:pPr>
              <w:jc w:val="right"/>
              <w:spacing w:after="0"/>
              <w:rPr>
                <w:sz w:val="20"/>
                <w:szCs w:val="20"/>
                <w:color w:val="auto"/>
              </w:rPr>
            </w:pPr>
            <w:r>
              <w:rPr>
                <w:rFonts w:ascii="Arial" w:cs="Arial" w:eastAsia="Arial" w:hAnsi="Arial"/>
                <w:sz w:val="12"/>
                <w:szCs w:val="12"/>
                <w:color w:val="auto"/>
              </w:rPr>
              <w:t>17,449</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320" w:type="dxa"/>
            <w:vAlign w:val="bottom"/>
            <w:tcBorders>
              <w:bottom w:val="single" w:sz="8" w:color="242424"/>
            </w:tcBorders>
          </w:tcPr>
          <w:p>
            <w:pPr>
              <w:spacing w:after="0" w:line="20" w:lineRule="exact"/>
              <w:rPr>
                <w:sz w:val="1"/>
                <w:szCs w:val="1"/>
                <w:color w:val="auto"/>
              </w:rPr>
            </w:pPr>
          </w:p>
        </w:tc>
        <w:tc>
          <w:tcPr>
            <w:tcW w:w="1340" w:type="dxa"/>
            <w:vAlign w:val="bottom"/>
            <w:tcBorders>
              <w:bottom w:val="single" w:sz="8" w:color="24242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242424"/>
            </w:tcBorders>
          </w:tcPr>
          <w:p>
            <w:pPr>
              <w:spacing w:after="0" w:line="20" w:lineRule="exact"/>
              <w:rPr>
                <w:sz w:val="1"/>
                <w:szCs w:val="1"/>
                <w:color w:val="auto"/>
              </w:rPr>
            </w:pPr>
          </w:p>
        </w:tc>
        <w:tc>
          <w:tcPr>
            <w:tcW w:w="1480" w:type="dxa"/>
            <w:vAlign w:val="bottom"/>
            <w:tcBorders>
              <w:bottom w:val="single" w:sz="8" w:color="24242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242424"/>
            </w:tcBorders>
          </w:tcPr>
          <w:p>
            <w:pPr>
              <w:spacing w:after="0" w:line="20" w:lineRule="exact"/>
              <w:rPr>
                <w:sz w:val="1"/>
                <w:szCs w:val="1"/>
                <w:color w:val="auto"/>
              </w:rPr>
            </w:pPr>
          </w:p>
        </w:tc>
        <w:tc>
          <w:tcPr>
            <w:tcW w:w="1340" w:type="dxa"/>
            <w:vAlign w:val="bottom"/>
            <w:tcBorders>
              <w:bottom w:val="single" w:sz="8" w:color="24242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right="300"/>
        <w:spacing w:after="0" w:line="300" w:lineRule="auto"/>
        <w:rPr>
          <w:sz w:val="20"/>
          <w:szCs w:val="20"/>
          <w:color w:val="auto"/>
        </w:rPr>
      </w:pPr>
      <w:r>
        <w:rPr>
          <w:rFonts w:ascii="Arial" w:cs="Arial" w:eastAsia="Arial" w:hAnsi="Arial"/>
          <w:sz w:val="13"/>
          <w:szCs w:val="13"/>
          <w:color w:val="auto"/>
        </w:rPr>
        <w:t>The increase in non-interest expense from the prior quarter resulted primarily from increases in credit enhancement guarantee and servicing expenses, largely resulting from an increase in interest income attributable to the credit-enhanced loan portfolio. Excluding credit enhancement related expenses, non-interest expense increased $2.8 million, primarily due to a $1.4 million increase for higher salaries and employee benefits, including employees added in connection with the Tallied acquisition, and higher other operating expenses.</w:t>
      </w:r>
    </w:p>
    <w:p>
      <w:pPr>
        <w:spacing w:after="0" w:line="123" w:lineRule="exact"/>
        <w:rPr>
          <w:sz w:val="20"/>
          <w:szCs w:val="20"/>
          <w:color w:val="auto"/>
        </w:rPr>
      </w:pPr>
    </w:p>
    <w:p>
      <w:pPr>
        <w:ind w:right="500"/>
        <w:spacing w:after="0" w:line="327" w:lineRule="auto"/>
        <w:rPr>
          <w:sz w:val="20"/>
          <w:szCs w:val="20"/>
          <w:color w:val="auto"/>
        </w:rPr>
      </w:pPr>
      <w:r>
        <w:rPr>
          <w:rFonts w:ascii="Arial" w:cs="Arial" w:eastAsia="Arial" w:hAnsi="Arial"/>
          <w:sz w:val="13"/>
          <w:szCs w:val="13"/>
          <w:color w:val="auto"/>
        </w:rPr>
        <w:t>The increase in non-interest expense from the prior-year period was primarily due to an increase in credit enhancement guarantee and servicing expenses resulting from growth in credit-enhanced loans, and higher salaries and employee benefits, principally from increased headcount, including employees added in connection with the Tallied acquisition.</w:t>
      </w:r>
    </w:p>
    <w:p>
      <w:pPr>
        <w:spacing w:after="0" w:line="106" w:lineRule="exact"/>
        <w:rPr>
          <w:sz w:val="20"/>
          <w:szCs w:val="20"/>
          <w:color w:val="auto"/>
        </w:rPr>
      </w:pPr>
    </w:p>
    <w:p>
      <w:pPr>
        <w:ind w:right="60"/>
        <w:spacing w:after="0" w:line="327" w:lineRule="auto"/>
        <w:rPr>
          <w:sz w:val="20"/>
          <w:szCs w:val="20"/>
          <w:color w:val="auto"/>
        </w:rPr>
      </w:pPr>
      <w:r>
        <w:rPr>
          <w:rFonts w:ascii="Arial" w:cs="Arial" w:eastAsia="Arial" w:hAnsi="Arial"/>
          <w:sz w:val="13"/>
          <w:szCs w:val="13"/>
          <w:color w:val="auto"/>
        </w:rPr>
        <w:t>FinWise’s efficiency ratio was 41.6% for the third quarter, compared to 54.9% for the prior quarter and 47.6% for the prior year period. We expect the efficiency ratio to continue to improve as we realize increased revenues from interest earned on our growing credit-enhanced loan balances.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365F91"/>
        </w:rPr>
        <w:t>Tax Rate</w:t>
      </w:r>
    </w:p>
    <w:p>
      <w:pPr>
        <w:spacing w:after="0" w:line="33" w:lineRule="exact"/>
        <w:rPr>
          <w:sz w:val="20"/>
          <w:szCs w:val="20"/>
          <w:color w:val="auto"/>
        </w:rPr>
      </w:pPr>
    </w:p>
    <w:p>
      <w:pPr>
        <w:ind w:right="20"/>
        <w:spacing w:after="0" w:line="285" w:lineRule="auto"/>
        <w:rPr>
          <w:sz w:val="20"/>
          <w:szCs w:val="20"/>
          <w:color w:val="auto"/>
        </w:rPr>
      </w:pPr>
      <w:r>
        <w:rPr>
          <w:rFonts w:ascii="Arial" w:cs="Arial" w:eastAsia="Arial" w:hAnsi="Arial"/>
          <w:sz w:val="13"/>
          <w:szCs w:val="13"/>
          <w:color w:val="auto"/>
        </w:rPr>
        <w:t>The Company’s effective tax rate was 21.0% for the third quarter of 2026, down from 23.9% for the prior quarter and 23.7% for the prior year period. The lower effective tax rate in the third quarter is primarily driven by the $6.5 million bargain purchase gain recognized in connection with the Tallied acquisition, as it is excluded from the calculation of income tax because the related deferred taxes were recorded in acquisition accounting. Partially offsetting this benefit were $0.6 million of discrete tax expense related to state income tax refunds received during the quarter, as well as a higher estimated annual effective tax rate attributable to nondeductible compensation.</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365F91"/>
        </w:rPr>
        <w:t>Net Income</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Net income was $10.0 million for the third quarter of 2026, compared to $2.1 million for the prior quarter and $4.9 million for the prior year period. Net income from continuing operations was</w:t>
      </w:r>
    </w:p>
    <w:p>
      <w:pPr>
        <w:spacing w:after="0" w:line="12" w:lineRule="exact"/>
        <w:rPr>
          <w:sz w:val="20"/>
          <w:szCs w:val="20"/>
          <w:color w:val="auto"/>
        </w:rPr>
      </w:pPr>
    </w:p>
    <w:p>
      <w:pPr>
        <w:spacing w:after="0" w:line="295" w:lineRule="auto"/>
        <w:rPr>
          <w:sz w:val="20"/>
          <w:szCs w:val="20"/>
          <w:color w:val="auto"/>
        </w:rPr>
      </w:pPr>
      <w:r>
        <w:rPr>
          <w:rFonts w:ascii="Arial" w:cs="Arial" w:eastAsia="Arial" w:hAnsi="Arial"/>
          <w:sz w:val="13"/>
          <w:szCs w:val="13"/>
          <w:color w:val="auto"/>
        </w:rPr>
        <w:t>$10.4 million for the third quarter, compared to $1.8 million for the prior quarter and $4.9 million for the prior year period. Third quarter results included a non-recurring, pre-tax bargain purchase gain of $6.5 million recognized in connection with the Tallied acquisition; this gain was exempt from income tax as the related deferred taxes were recorded in acquisition accounting. Discontinued operations resulted in a loss, net of tax, of $0.4 million for the third quarter, compared to income, net of tax, of $0.4 million for the prior quarter. The remaining changes in net income for the three months ended September 30, 2026 relative to both the prior quarter and prior year period, are otherwise generally attributable to the factors discussed in the foregoing sections.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300"/>
          </w:cols>
          <w:pgMar w:left="300" w:top="726" w:right="29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i w:val="1"/>
          <w:iCs w:val="1"/>
          <w:u w:val="single" w:color="auto"/>
          <w:color w:val="365F91"/>
        </w:rPr>
        <w:t>Balance Sheet</w:t>
      </w:r>
    </w:p>
    <w:p>
      <w:pPr>
        <w:spacing w:after="0" w:line="24" w:lineRule="exact"/>
        <w:rPr>
          <w:sz w:val="20"/>
          <w:szCs w:val="20"/>
          <w:color w:val="auto"/>
        </w:rPr>
      </w:pPr>
    </w:p>
    <w:p>
      <w:pPr>
        <w:ind w:right="20"/>
        <w:spacing w:after="0" w:line="290" w:lineRule="auto"/>
        <w:rPr>
          <w:sz w:val="20"/>
          <w:szCs w:val="20"/>
          <w:color w:val="auto"/>
        </w:rPr>
      </w:pPr>
      <w:r>
        <w:rPr>
          <w:rFonts w:ascii="Arial" w:cs="Arial" w:eastAsia="Arial" w:hAnsi="Arial"/>
          <w:sz w:val="13"/>
          <w:szCs w:val="13"/>
          <w:color w:val="auto"/>
        </w:rPr>
        <w:t>The Company’s total assets were $958.3 million as of September 30, 2026, an increase from $925.3 million as of June 30, 2026 and an increase from $899.9 million as of September 30, 2025. The increase in total assets from June 30, 2026 was primarily due to increases in credit-enhanced loans of $72.0 million, the credit enhancement asset of $35.9 million, and other assets of $13.9 million. These increases were partially offset by an increase in the allowance for credit losses of $36.1 million, a decrease in Strategic Program loans held-for-sale of $30.2 million, and a decrease in loans held-for-investment, excluding credit-enhanced loans, of $13.0 million.</w:t>
      </w:r>
    </w:p>
    <w:p>
      <w:pPr>
        <w:spacing w:after="0" w:line="129" w:lineRule="exact"/>
        <w:rPr>
          <w:sz w:val="20"/>
          <w:szCs w:val="20"/>
          <w:color w:val="auto"/>
        </w:rPr>
      </w:pPr>
    </w:p>
    <w:p>
      <w:pPr>
        <w:ind w:right="20"/>
        <w:spacing w:after="0" w:line="296" w:lineRule="auto"/>
        <w:rPr>
          <w:sz w:val="20"/>
          <w:szCs w:val="20"/>
          <w:color w:val="auto"/>
        </w:rPr>
      </w:pPr>
      <w:r>
        <w:rPr>
          <w:rFonts w:ascii="Arial" w:cs="Arial" w:eastAsia="Arial" w:hAnsi="Arial"/>
          <w:sz w:val="13"/>
          <w:szCs w:val="13"/>
          <w:color w:val="auto"/>
        </w:rPr>
        <w:t>The increase in total assets compared to September 30, 2025 was primarily due to increases in credit-enhanced loans of $104.9 million, the credit enhancement asset of $53.0 million, assets of discontinued operations of $42.3 million related to the credit card program, and other assets of $32.6 million. These increases were partially offset by a decrease in loans held-for-investment, excluding credit-enhanced loans, of $78.8 million, an increase in the allowance for credit losses of $54.3 million, and decreases in Strategic Program loans held-for-sale of $22.1 million and cash and cash equivalents of $13.1 million.</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the composition of loans held-for-investment (“HFI”) as of the dates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vMerge w:val="restart"/>
          </w:tcPr>
          <w:p>
            <w:pPr>
              <w:spacing w:after="0"/>
              <w:rPr>
                <w:sz w:val="20"/>
                <w:szCs w:val="20"/>
                <w:color w:val="auto"/>
              </w:rPr>
            </w:pPr>
            <w:r>
              <w:rPr>
                <w:rFonts w:ascii="Arial" w:cs="Arial" w:eastAsia="Arial" w:hAnsi="Arial"/>
                <w:sz w:val="12"/>
                <w:szCs w:val="12"/>
                <w:i w:val="1"/>
                <w:iCs w:val="1"/>
                <w:color w:val="auto"/>
              </w:rPr>
              <w:t>($ in thousands)</w:t>
            </w:r>
          </w:p>
        </w:tc>
        <w:tc>
          <w:tcPr>
            <w:tcW w:w="220" w:type="dxa"/>
            <w:vAlign w:val="bottom"/>
            <w:tcBorders>
              <w:top w:val="single" w:sz="8" w:color="auto"/>
              <w:bottom w:val="single" w:sz="8" w:color="auto"/>
            </w:tcBorders>
          </w:tcPr>
          <w:p>
            <w:pPr>
              <w:spacing w:after="0"/>
              <w:rPr>
                <w:sz w:val="14"/>
                <w:szCs w:val="14"/>
                <w:color w:val="auto"/>
              </w:rPr>
            </w:pPr>
          </w:p>
        </w:tc>
        <w:tc>
          <w:tcPr>
            <w:tcW w:w="2400" w:type="dxa"/>
            <w:vAlign w:val="bottom"/>
            <w:tcBorders>
              <w:top w:val="single" w:sz="8" w:color="auto"/>
              <w:bottom w:val="single" w:sz="8" w:color="auto"/>
            </w:tcBorders>
            <w:gridSpan w:val="3"/>
          </w:tcPr>
          <w:p>
            <w:pPr>
              <w:jc w:val="right"/>
              <w:ind w:right="980"/>
              <w:spacing w:after="0"/>
              <w:rPr>
                <w:sz w:val="20"/>
                <w:szCs w:val="20"/>
                <w:color w:val="auto"/>
              </w:rPr>
            </w:pPr>
            <w:r>
              <w:rPr>
                <w:rFonts w:ascii="Arial" w:cs="Arial" w:eastAsia="Arial" w:hAnsi="Arial"/>
                <w:sz w:val="12"/>
                <w:szCs w:val="12"/>
                <w:b w:val="1"/>
                <w:bCs w:val="1"/>
                <w:color w:val="auto"/>
              </w:rPr>
              <w:t>9/30/2026</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2400" w:type="dxa"/>
            <w:vAlign w:val="bottom"/>
            <w:tcBorders>
              <w:top w:val="single" w:sz="8" w:color="auto"/>
              <w:bottom w:val="single" w:sz="8" w:color="auto"/>
            </w:tcBorders>
            <w:gridSpan w:val="3"/>
          </w:tcPr>
          <w:p>
            <w:pPr>
              <w:jc w:val="right"/>
              <w:ind w:right="980"/>
              <w:spacing w:after="0"/>
              <w:rPr>
                <w:sz w:val="20"/>
                <w:szCs w:val="20"/>
                <w:color w:val="auto"/>
              </w:rPr>
            </w:pPr>
            <w:r>
              <w:rPr>
                <w:rFonts w:ascii="Arial" w:cs="Arial" w:eastAsia="Arial" w:hAnsi="Arial"/>
                <w:sz w:val="12"/>
                <w:szCs w:val="12"/>
                <w:b w:val="1"/>
                <w:bCs w:val="1"/>
                <w:color w:val="auto"/>
              </w:rPr>
              <w:t>6/30/2026</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2400" w:type="dxa"/>
            <w:vAlign w:val="bottom"/>
            <w:tcBorders>
              <w:top w:val="single" w:sz="8" w:color="auto"/>
              <w:bottom w:val="single" w:sz="8" w:color="auto"/>
            </w:tcBorders>
            <w:gridSpan w:val="3"/>
          </w:tcPr>
          <w:p>
            <w:pPr>
              <w:jc w:val="right"/>
              <w:ind w:right="1000"/>
              <w:spacing w:after="0"/>
              <w:rPr>
                <w:sz w:val="20"/>
                <w:szCs w:val="20"/>
                <w:color w:val="auto"/>
              </w:rPr>
            </w:pPr>
            <w:r>
              <w:rPr>
                <w:rFonts w:ascii="Arial" w:cs="Arial" w:eastAsia="Arial" w:hAnsi="Arial"/>
                <w:sz w:val="12"/>
                <w:szCs w:val="12"/>
                <w:b w:val="1"/>
                <w:bCs w:val="1"/>
                <w:color w:val="auto"/>
              </w:rPr>
              <w:t>9/30/2025</w:t>
            </w:r>
          </w:p>
        </w:tc>
        <w:tc>
          <w:tcPr>
            <w:tcW w:w="0" w:type="dxa"/>
            <w:vAlign w:val="bottom"/>
          </w:tcPr>
          <w:p>
            <w:pPr>
              <w:spacing w:after="0"/>
              <w:rPr>
                <w:sz w:val="1"/>
                <w:szCs w:val="1"/>
                <w:color w:val="auto"/>
              </w:rPr>
            </w:pPr>
          </w:p>
        </w:tc>
      </w:tr>
      <w:tr>
        <w:trPr>
          <w:trHeight w:val="142"/>
        </w:trPr>
        <w:tc>
          <w:tcPr>
            <w:tcW w:w="32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Amount</w:t>
            </w:r>
          </w:p>
        </w:tc>
        <w:tc>
          <w:tcPr>
            <w:tcW w:w="1340" w:type="dxa"/>
            <w:vAlign w:val="bottom"/>
          </w:tcPr>
          <w:p>
            <w:pPr>
              <w:jc w:val="right"/>
              <w:ind w:right="160"/>
              <w:spacing w:after="0"/>
              <w:rPr>
                <w:sz w:val="20"/>
                <w:szCs w:val="20"/>
                <w:color w:val="auto"/>
              </w:rPr>
            </w:pPr>
            <w:r>
              <w:rPr>
                <w:rFonts w:ascii="Arial" w:cs="Arial" w:eastAsia="Arial" w:hAnsi="Arial"/>
                <w:sz w:val="12"/>
                <w:szCs w:val="12"/>
                <w:b w:val="1"/>
                <w:bCs w:val="1"/>
                <w:color w:val="auto"/>
              </w:rPr>
              <w:t>% of total loans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ind w:left="160"/>
              <w:spacing w:after="0"/>
              <w:rPr>
                <w:sz w:val="20"/>
                <w:szCs w:val="20"/>
                <w:color w:val="auto"/>
              </w:rPr>
            </w:pPr>
            <w:r>
              <w:rPr>
                <w:rFonts w:ascii="Arial" w:cs="Arial" w:eastAsia="Arial" w:hAnsi="Arial"/>
                <w:sz w:val="12"/>
                <w:szCs w:val="12"/>
                <w:b w:val="1"/>
                <w:bCs w:val="1"/>
                <w:color w:val="auto"/>
              </w:rPr>
              <w:t>Amount</w:t>
            </w:r>
          </w:p>
        </w:tc>
        <w:tc>
          <w:tcPr>
            <w:tcW w:w="1320" w:type="dxa"/>
            <w:vAlign w:val="bottom"/>
          </w:tcPr>
          <w:p>
            <w:pPr>
              <w:jc w:val="right"/>
              <w:ind w:right="160"/>
              <w:spacing w:after="0"/>
              <w:rPr>
                <w:sz w:val="20"/>
                <w:szCs w:val="20"/>
                <w:color w:val="auto"/>
              </w:rPr>
            </w:pPr>
            <w:r>
              <w:rPr>
                <w:rFonts w:ascii="Arial" w:cs="Arial" w:eastAsia="Arial" w:hAnsi="Arial"/>
                <w:sz w:val="12"/>
                <w:szCs w:val="12"/>
                <w:b w:val="1"/>
                <w:bCs w:val="1"/>
                <w:color w:val="auto"/>
              </w:rPr>
              <w:t>% of total loans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Amount</w:t>
            </w:r>
          </w:p>
        </w:tc>
        <w:tc>
          <w:tcPr>
            <w:tcW w:w="1340" w:type="dxa"/>
            <w:vAlign w:val="bottom"/>
          </w:tcPr>
          <w:p>
            <w:pPr>
              <w:jc w:val="right"/>
              <w:ind w:right="160"/>
              <w:spacing w:after="0"/>
              <w:rPr>
                <w:sz w:val="20"/>
                <w:szCs w:val="20"/>
                <w:color w:val="auto"/>
              </w:rPr>
            </w:pPr>
            <w:r>
              <w:rPr>
                <w:rFonts w:ascii="Arial" w:cs="Arial" w:eastAsia="Arial" w:hAnsi="Arial"/>
                <w:sz w:val="12"/>
                <w:szCs w:val="12"/>
                <w:b w:val="1"/>
                <w:bCs w:val="1"/>
                <w:color w:val="auto"/>
              </w:rPr>
              <w:t>% of total loans</w:t>
            </w:r>
          </w:p>
        </w:tc>
        <w:tc>
          <w:tcPr>
            <w:tcW w:w="0" w:type="dxa"/>
            <w:vAlign w:val="bottom"/>
          </w:tcPr>
          <w:p>
            <w:pPr>
              <w:spacing w:after="0"/>
              <w:rPr>
                <w:sz w:val="1"/>
                <w:szCs w:val="1"/>
                <w:color w:val="auto"/>
              </w:rPr>
            </w:pPr>
          </w:p>
        </w:tc>
      </w:tr>
      <w:tr>
        <w:trPr>
          <w:trHeight w:val="142"/>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SBA</w:t>
            </w: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135,780</w:t>
            </w:r>
          </w:p>
        </w:tc>
        <w:tc>
          <w:tcPr>
            <w:tcW w:w="6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23.2 %</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162,441</w:t>
            </w:r>
          </w:p>
        </w:tc>
        <w:tc>
          <w:tcPr>
            <w:tcW w:w="8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30.9 %</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240,945</w:t>
            </w:r>
          </w:p>
        </w:tc>
        <w:tc>
          <w:tcPr>
            <w:tcW w:w="6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43.1 %</w:t>
            </w:r>
          </w:p>
        </w:tc>
        <w:tc>
          <w:tcPr>
            <w:tcW w:w="0" w:type="dxa"/>
            <w:vAlign w:val="bottom"/>
          </w:tcPr>
          <w:p>
            <w:pPr>
              <w:spacing w:after="0"/>
              <w:rPr>
                <w:sz w:val="1"/>
                <w:szCs w:val="1"/>
                <w:color w:val="auto"/>
              </w:rPr>
            </w:pPr>
          </w:p>
        </w:tc>
      </w:tr>
      <w:tr>
        <w:trPr>
          <w:trHeight w:val="153"/>
        </w:trPr>
        <w:tc>
          <w:tcPr>
            <w:tcW w:w="3240" w:type="dxa"/>
            <w:vAlign w:val="bottom"/>
          </w:tcPr>
          <w:p>
            <w:pPr>
              <w:spacing w:after="0"/>
              <w:rPr>
                <w:sz w:val="20"/>
                <w:szCs w:val="20"/>
                <w:color w:val="auto"/>
              </w:rPr>
            </w:pPr>
            <w:r>
              <w:rPr>
                <w:rFonts w:ascii="Arial" w:cs="Arial" w:eastAsia="Arial" w:hAnsi="Arial"/>
                <w:sz w:val="12"/>
                <w:szCs w:val="12"/>
                <w:color w:val="auto"/>
              </w:rPr>
              <w:t>Commercial leases</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79,102</w:t>
            </w:r>
          </w:p>
        </w:tc>
        <w:tc>
          <w:tcPr>
            <w:tcW w:w="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13.5 %</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72,940</w:t>
            </w:r>
          </w:p>
        </w:tc>
        <w:tc>
          <w:tcPr>
            <w:tcW w:w="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13.9 %</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77,763</w:t>
            </w:r>
          </w:p>
        </w:tc>
        <w:tc>
          <w:tcPr>
            <w:tcW w:w="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13.9 %</w:t>
            </w:r>
          </w:p>
        </w:tc>
        <w:tc>
          <w:tcPr>
            <w:tcW w:w="0" w:type="dxa"/>
            <w:vAlign w:val="bottom"/>
          </w:tcPr>
          <w:p>
            <w:pPr>
              <w:spacing w:after="0"/>
              <w:rPr>
                <w:sz w:val="1"/>
                <w:szCs w:val="1"/>
                <w:color w:val="auto"/>
              </w:rPr>
            </w:pPr>
          </w:p>
        </w:tc>
      </w:tr>
      <w:tr>
        <w:trPr>
          <w:trHeight w:val="153"/>
        </w:trPr>
        <w:tc>
          <w:tcPr>
            <w:tcW w:w="3240" w:type="dxa"/>
            <w:vAlign w:val="bottom"/>
            <w:shd w:val="clear" w:color="auto" w:fill="CCEEFF"/>
          </w:tcPr>
          <w:p>
            <w:pPr>
              <w:spacing w:after="0"/>
              <w:rPr>
                <w:sz w:val="20"/>
                <w:szCs w:val="20"/>
                <w:color w:val="auto"/>
              </w:rPr>
            </w:pPr>
            <w:r>
              <w:rPr>
                <w:rFonts w:ascii="Arial" w:cs="Arial" w:eastAsia="Arial" w:hAnsi="Arial"/>
                <w:sz w:val="12"/>
                <w:szCs w:val="12"/>
                <w:color w:val="auto"/>
              </w:rPr>
              <w:t>Commercial, non-real estate</w:t>
            </w: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3,157</w:t>
            </w:r>
          </w:p>
        </w:tc>
        <w:tc>
          <w:tcPr>
            <w:tcW w:w="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0.5 %</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3,544</w:t>
            </w: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0.7 %</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4,908</w:t>
            </w:r>
          </w:p>
        </w:tc>
        <w:tc>
          <w:tcPr>
            <w:tcW w:w="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0.9 %</w:t>
            </w:r>
          </w:p>
        </w:tc>
        <w:tc>
          <w:tcPr>
            <w:tcW w:w="0" w:type="dxa"/>
            <w:vAlign w:val="bottom"/>
          </w:tcPr>
          <w:p>
            <w:pPr>
              <w:spacing w:after="0"/>
              <w:rPr>
                <w:sz w:val="1"/>
                <w:szCs w:val="1"/>
                <w:color w:val="auto"/>
              </w:rPr>
            </w:pPr>
          </w:p>
        </w:tc>
      </w:tr>
      <w:tr>
        <w:trPr>
          <w:trHeight w:val="153"/>
        </w:trPr>
        <w:tc>
          <w:tcPr>
            <w:tcW w:w="3240" w:type="dxa"/>
            <w:vAlign w:val="bottom"/>
          </w:tcPr>
          <w:p>
            <w:pPr>
              <w:spacing w:after="0"/>
              <w:rPr>
                <w:sz w:val="20"/>
                <w:szCs w:val="20"/>
                <w:color w:val="auto"/>
              </w:rPr>
            </w:pPr>
            <w:r>
              <w:rPr>
                <w:rFonts w:ascii="Arial" w:cs="Arial" w:eastAsia="Arial" w:hAnsi="Arial"/>
                <w:sz w:val="12"/>
                <w:szCs w:val="12"/>
                <w:color w:val="auto"/>
              </w:rPr>
              <w:t>Residential real estate</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79,934</w:t>
            </w:r>
          </w:p>
        </w:tc>
        <w:tc>
          <w:tcPr>
            <w:tcW w:w="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13.7 %</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71,426</w:t>
            </w:r>
          </w:p>
        </w:tc>
        <w:tc>
          <w:tcPr>
            <w:tcW w:w="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13.6 %</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61,521</w:t>
            </w:r>
          </w:p>
        </w:tc>
        <w:tc>
          <w:tcPr>
            <w:tcW w:w="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11.0 %</w:t>
            </w:r>
          </w:p>
        </w:tc>
        <w:tc>
          <w:tcPr>
            <w:tcW w:w="0" w:type="dxa"/>
            <w:vAlign w:val="bottom"/>
          </w:tcPr>
          <w:p>
            <w:pPr>
              <w:spacing w:after="0"/>
              <w:rPr>
                <w:sz w:val="1"/>
                <w:szCs w:val="1"/>
                <w:color w:val="auto"/>
              </w:rPr>
            </w:pPr>
          </w:p>
        </w:tc>
      </w:tr>
      <w:tr>
        <w:trPr>
          <w:trHeight w:val="153"/>
        </w:trPr>
        <w:tc>
          <w:tcPr>
            <w:tcW w:w="3240" w:type="dxa"/>
            <w:vAlign w:val="bottom"/>
            <w:shd w:val="clear" w:color="auto" w:fill="CCEEFF"/>
          </w:tcPr>
          <w:p>
            <w:pPr>
              <w:spacing w:after="0"/>
              <w:rPr>
                <w:sz w:val="20"/>
                <w:szCs w:val="20"/>
                <w:color w:val="auto"/>
              </w:rPr>
            </w:pPr>
            <w:r>
              <w:rPr>
                <w:rFonts w:ascii="Arial" w:cs="Arial" w:eastAsia="Arial" w:hAnsi="Arial"/>
                <w:sz w:val="12"/>
                <w:szCs w:val="12"/>
                <w:color w:val="auto"/>
              </w:rPr>
              <w:t>Strategic Program loans:</w:t>
            </w: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40" w:type="dxa"/>
            <w:vAlign w:val="bottom"/>
          </w:tcPr>
          <w:p>
            <w:pPr>
              <w:spacing w:after="0"/>
              <w:rPr>
                <w:sz w:val="20"/>
                <w:szCs w:val="20"/>
                <w:color w:val="auto"/>
              </w:rPr>
            </w:pPr>
            <w:r>
              <w:rPr>
                <w:rFonts w:ascii="Arial" w:cs="Arial" w:eastAsia="Arial" w:hAnsi="Arial"/>
                <w:sz w:val="12"/>
                <w:szCs w:val="12"/>
                <w:color w:val="auto"/>
              </w:rPr>
              <w:t>Strategic Program loans - with credit enhancement</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146,241</w:t>
            </w:r>
          </w:p>
        </w:tc>
        <w:tc>
          <w:tcPr>
            <w:tcW w:w="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25.0 %</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74,229</w:t>
            </w:r>
          </w:p>
        </w:tc>
        <w:tc>
          <w:tcPr>
            <w:tcW w:w="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14.1 %</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41,369</w:t>
            </w:r>
          </w:p>
        </w:tc>
        <w:tc>
          <w:tcPr>
            <w:tcW w:w="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7.4 %</w:t>
            </w:r>
          </w:p>
        </w:tc>
        <w:tc>
          <w:tcPr>
            <w:tcW w:w="0" w:type="dxa"/>
            <w:vAlign w:val="bottom"/>
          </w:tcPr>
          <w:p>
            <w:pPr>
              <w:spacing w:after="0"/>
              <w:rPr>
                <w:sz w:val="1"/>
                <w:szCs w:val="1"/>
                <w:color w:val="auto"/>
              </w:rPr>
            </w:pPr>
          </w:p>
        </w:tc>
      </w:tr>
      <w:tr>
        <w:trPr>
          <w:trHeight w:val="153"/>
        </w:trPr>
        <w:tc>
          <w:tcPr>
            <w:tcW w:w="3240" w:type="dxa"/>
            <w:vAlign w:val="bottom"/>
            <w:shd w:val="clear" w:color="auto" w:fill="CCEEFF"/>
          </w:tcPr>
          <w:p>
            <w:pPr>
              <w:spacing w:after="0"/>
              <w:rPr>
                <w:sz w:val="20"/>
                <w:szCs w:val="20"/>
                <w:color w:val="auto"/>
              </w:rPr>
            </w:pPr>
            <w:r>
              <w:rPr>
                <w:rFonts w:ascii="Arial" w:cs="Arial" w:eastAsia="Arial" w:hAnsi="Arial"/>
                <w:sz w:val="12"/>
                <w:szCs w:val="12"/>
                <w:color w:val="auto"/>
              </w:rPr>
              <w:t>Strategic Program loans - without credit enhancement</w:t>
            </w: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36,902</w:t>
            </w:r>
          </w:p>
        </w:tc>
        <w:tc>
          <w:tcPr>
            <w:tcW w:w="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6.3 %</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34,488</w:t>
            </w: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6.6 %</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21,899</w:t>
            </w:r>
          </w:p>
        </w:tc>
        <w:tc>
          <w:tcPr>
            <w:tcW w:w="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3.9 %</w:t>
            </w:r>
          </w:p>
        </w:tc>
        <w:tc>
          <w:tcPr>
            <w:tcW w:w="0" w:type="dxa"/>
            <w:vAlign w:val="bottom"/>
          </w:tcPr>
          <w:p>
            <w:pPr>
              <w:spacing w:after="0"/>
              <w:rPr>
                <w:sz w:val="1"/>
                <w:szCs w:val="1"/>
                <w:color w:val="auto"/>
              </w:rPr>
            </w:pPr>
          </w:p>
        </w:tc>
      </w:tr>
      <w:tr>
        <w:trPr>
          <w:trHeight w:val="153"/>
        </w:trPr>
        <w:tc>
          <w:tcPr>
            <w:tcW w:w="3240" w:type="dxa"/>
            <w:vAlign w:val="bottom"/>
          </w:tcPr>
          <w:p>
            <w:pPr>
              <w:spacing w:after="0"/>
              <w:rPr>
                <w:sz w:val="20"/>
                <w:szCs w:val="20"/>
                <w:color w:val="auto"/>
              </w:rPr>
            </w:pPr>
            <w:r>
              <w:rPr>
                <w:rFonts w:ascii="Arial" w:cs="Arial" w:eastAsia="Arial" w:hAnsi="Arial"/>
                <w:sz w:val="12"/>
                <w:szCs w:val="12"/>
                <w:color w:val="auto"/>
              </w:rPr>
              <w:t>Commercial real estate:</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Owner occupied</w:t>
            </w: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87,465</w:t>
            </w:r>
          </w:p>
        </w:tc>
        <w:tc>
          <w:tcPr>
            <w:tcW w:w="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14.9 %</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87,779</w:t>
            </w: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16.7 %</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84,703</w:t>
            </w:r>
          </w:p>
        </w:tc>
        <w:tc>
          <w:tcPr>
            <w:tcW w:w="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15.1 %</w:t>
            </w:r>
          </w:p>
        </w:tc>
        <w:tc>
          <w:tcPr>
            <w:tcW w:w="0" w:type="dxa"/>
            <w:vAlign w:val="bottom"/>
          </w:tcPr>
          <w:p>
            <w:pPr>
              <w:spacing w:after="0"/>
              <w:rPr>
                <w:sz w:val="1"/>
                <w:szCs w:val="1"/>
                <w:color w:val="auto"/>
              </w:rPr>
            </w:pPr>
          </w:p>
        </w:tc>
      </w:tr>
      <w:tr>
        <w:trPr>
          <w:trHeight w:val="153"/>
        </w:trPr>
        <w:tc>
          <w:tcPr>
            <w:tcW w:w="3240" w:type="dxa"/>
            <w:vAlign w:val="bottom"/>
          </w:tcPr>
          <w:p>
            <w:pPr>
              <w:ind w:left="180"/>
              <w:spacing w:after="0"/>
              <w:rPr>
                <w:sz w:val="20"/>
                <w:szCs w:val="20"/>
                <w:color w:val="auto"/>
              </w:rPr>
            </w:pPr>
            <w:r>
              <w:rPr>
                <w:rFonts w:ascii="Arial" w:cs="Arial" w:eastAsia="Arial" w:hAnsi="Arial"/>
                <w:sz w:val="12"/>
                <w:szCs w:val="12"/>
                <w:color w:val="auto"/>
              </w:rPr>
              <w:t>Non-owner occupied</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2,247</w:t>
            </w:r>
          </w:p>
        </w:tc>
        <w:tc>
          <w:tcPr>
            <w:tcW w:w="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0.4 %</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2,136</w:t>
            </w:r>
          </w:p>
        </w:tc>
        <w:tc>
          <w:tcPr>
            <w:tcW w:w="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0.4 %</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1,448</w:t>
            </w:r>
          </w:p>
        </w:tc>
        <w:tc>
          <w:tcPr>
            <w:tcW w:w="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0.3 %</w:t>
            </w:r>
          </w:p>
        </w:tc>
        <w:tc>
          <w:tcPr>
            <w:tcW w:w="0" w:type="dxa"/>
            <w:vAlign w:val="bottom"/>
          </w:tcPr>
          <w:p>
            <w:pPr>
              <w:spacing w:after="0"/>
              <w:rPr>
                <w:sz w:val="1"/>
                <w:szCs w:val="1"/>
                <w:color w:val="auto"/>
              </w:rPr>
            </w:pPr>
          </w:p>
        </w:tc>
      </w:tr>
      <w:tr>
        <w:trPr>
          <w:trHeight w:val="153"/>
        </w:trPr>
        <w:tc>
          <w:tcPr>
            <w:tcW w:w="3240" w:type="dxa"/>
            <w:vAlign w:val="bottom"/>
            <w:shd w:val="clear" w:color="auto" w:fill="CCEEFF"/>
          </w:tcPr>
          <w:p>
            <w:pPr>
              <w:spacing w:after="0"/>
              <w:rPr>
                <w:sz w:val="20"/>
                <w:szCs w:val="20"/>
                <w:color w:val="auto"/>
              </w:rPr>
            </w:pPr>
            <w:r>
              <w:rPr>
                <w:rFonts w:ascii="Arial" w:cs="Arial" w:eastAsia="Arial" w:hAnsi="Arial"/>
                <w:sz w:val="12"/>
                <w:szCs w:val="12"/>
                <w:color w:val="auto"/>
              </w:rPr>
              <w:t>Consumer</w:t>
            </w:r>
          </w:p>
        </w:tc>
        <w:tc>
          <w:tcPr>
            <w:tcW w:w="220" w:type="dxa"/>
            <w:vAlign w:val="bottom"/>
            <w:tcBorders>
              <w:bottom w:val="single" w:sz="8" w:color="242424"/>
            </w:tcBorders>
            <w:shd w:val="clear" w:color="auto" w:fill="CCEEFF"/>
          </w:tcPr>
          <w:p>
            <w:pPr>
              <w:spacing w:after="0"/>
              <w:rPr>
                <w:sz w:val="13"/>
                <w:szCs w:val="13"/>
                <w:color w:val="auto"/>
              </w:rPr>
            </w:pPr>
          </w:p>
        </w:tc>
        <w:tc>
          <w:tcPr>
            <w:tcW w:w="1000" w:type="dxa"/>
            <w:vAlign w:val="bottom"/>
            <w:tcBorders>
              <w:bottom w:val="single" w:sz="8" w:color="242424"/>
            </w:tcBorders>
            <w:shd w:val="clear" w:color="auto" w:fill="CCEEFF"/>
          </w:tcPr>
          <w:p>
            <w:pPr>
              <w:jc w:val="right"/>
              <w:spacing w:after="0"/>
              <w:rPr>
                <w:sz w:val="20"/>
                <w:szCs w:val="20"/>
                <w:color w:val="auto"/>
              </w:rPr>
            </w:pPr>
            <w:r>
              <w:rPr>
                <w:rFonts w:ascii="Arial" w:cs="Arial" w:eastAsia="Arial" w:hAnsi="Arial"/>
                <w:sz w:val="12"/>
                <w:szCs w:val="12"/>
                <w:color w:val="auto"/>
              </w:rPr>
              <w:t>14,321</w:t>
            </w:r>
          </w:p>
        </w:tc>
        <w:tc>
          <w:tcPr>
            <w:tcW w:w="60" w:type="dxa"/>
            <w:vAlign w:val="bottom"/>
            <w:shd w:val="clear" w:color="auto" w:fill="CCEEFF"/>
          </w:tcPr>
          <w:p>
            <w:pPr>
              <w:spacing w:after="0"/>
              <w:rPr>
                <w:sz w:val="13"/>
                <w:szCs w:val="13"/>
                <w:color w:val="auto"/>
              </w:rPr>
            </w:pPr>
          </w:p>
        </w:tc>
        <w:tc>
          <w:tcPr>
            <w:tcW w:w="1340" w:type="dxa"/>
            <w:vAlign w:val="bottom"/>
            <w:tcBorders>
              <w:bottom w:val="single" w:sz="8" w:color="242424"/>
            </w:tcBorders>
            <w:shd w:val="clear" w:color="auto" w:fill="CCEEFF"/>
          </w:tcPr>
          <w:p>
            <w:pPr>
              <w:jc w:val="right"/>
              <w:spacing w:after="0"/>
              <w:rPr>
                <w:sz w:val="20"/>
                <w:szCs w:val="20"/>
                <w:color w:val="auto"/>
              </w:rPr>
            </w:pPr>
            <w:r>
              <w:rPr>
                <w:rFonts w:ascii="Arial" w:cs="Arial" w:eastAsia="Arial" w:hAnsi="Arial"/>
                <w:sz w:val="12"/>
                <w:szCs w:val="12"/>
                <w:color w:val="auto"/>
              </w:rPr>
              <w:t>2.5 %</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242424"/>
            </w:tcBorders>
            <w:shd w:val="clear" w:color="auto" w:fill="CCEEFF"/>
          </w:tcPr>
          <w:p>
            <w:pPr>
              <w:spacing w:after="0"/>
              <w:rPr>
                <w:sz w:val="13"/>
                <w:szCs w:val="13"/>
                <w:color w:val="auto"/>
              </w:rPr>
            </w:pPr>
          </w:p>
        </w:tc>
        <w:tc>
          <w:tcPr>
            <w:tcW w:w="1000" w:type="dxa"/>
            <w:vAlign w:val="bottom"/>
            <w:tcBorders>
              <w:bottom w:val="single" w:sz="8" w:color="242424"/>
            </w:tcBorders>
            <w:shd w:val="clear" w:color="auto" w:fill="CCEEFF"/>
          </w:tcPr>
          <w:p>
            <w:pPr>
              <w:jc w:val="right"/>
              <w:spacing w:after="0"/>
              <w:rPr>
                <w:sz w:val="20"/>
                <w:szCs w:val="20"/>
                <w:color w:val="auto"/>
              </w:rPr>
            </w:pPr>
            <w:r>
              <w:rPr>
                <w:rFonts w:ascii="Arial" w:cs="Arial" w:eastAsia="Arial" w:hAnsi="Arial"/>
                <w:sz w:val="12"/>
                <w:szCs w:val="12"/>
                <w:color w:val="auto"/>
              </w:rPr>
              <w:t>17,170</w:t>
            </w:r>
          </w:p>
        </w:tc>
        <w:tc>
          <w:tcPr>
            <w:tcW w:w="80" w:type="dxa"/>
            <w:vAlign w:val="bottom"/>
            <w:shd w:val="clear" w:color="auto" w:fill="CCEEFF"/>
          </w:tcPr>
          <w:p>
            <w:pPr>
              <w:spacing w:after="0"/>
              <w:rPr>
                <w:sz w:val="13"/>
                <w:szCs w:val="13"/>
                <w:color w:val="auto"/>
              </w:rPr>
            </w:pPr>
          </w:p>
        </w:tc>
        <w:tc>
          <w:tcPr>
            <w:tcW w:w="1320" w:type="dxa"/>
            <w:vAlign w:val="bottom"/>
            <w:tcBorders>
              <w:bottom w:val="single" w:sz="8" w:color="242424"/>
            </w:tcBorders>
            <w:shd w:val="clear" w:color="auto" w:fill="CCEEFF"/>
          </w:tcPr>
          <w:p>
            <w:pPr>
              <w:jc w:val="right"/>
              <w:spacing w:after="0"/>
              <w:rPr>
                <w:sz w:val="20"/>
                <w:szCs w:val="20"/>
                <w:color w:val="auto"/>
              </w:rPr>
            </w:pPr>
            <w:r>
              <w:rPr>
                <w:rFonts w:ascii="Arial" w:cs="Arial" w:eastAsia="Arial" w:hAnsi="Arial"/>
                <w:sz w:val="12"/>
                <w:szCs w:val="12"/>
                <w:color w:val="auto"/>
              </w:rPr>
              <w:t>3.3 %</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242424"/>
            </w:tcBorders>
            <w:shd w:val="clear" w:color="auto" w:fill="CCEEFF"/>
          </w:tcPr>
          <w:p>
            <w:pPr>
              <w:spacing w:after="0"/>
              <w:rPr>
                <w:sz w:val="13"/>
                <w:szCs w:val="13"/>
                <w:color w:val="auto"/>
              </w:rPr>
            </w:pPr>
          </w:p>
        </w:tc>
        <w:tc>
          <w:tcPr>
            <w:tcW w:w="1000" w:type="dxa"/>
            <w:vAlign w:val="bottom"/>
            <w:tcBorders>
              <w:bottom w:val="single" w:sz="8" w:color="242424"/>
            </w:tcBorders>
            <w:shd w:val="clear" w:color="auto" w:fill="CCEEFF"/>
          </w:tcPr>
          <w:p>
            <w:pPr>
              <w:jc w:val="right"/>
              <w:spacing w:after="0"/>
              <w:rPr>
                <w:sz w:val="20"/>
                <w:szCs w:val="20"/>
                <w:color w:val="auto"/>
              </w:rPr>
            </w:pPr>
            <w:r>
              <w:rPr>
                <w:rFonts w:ascii="Arial" w:cs="Arial" w:eastAsia="Arial" w:hAnsi="Arial"/>
                <w:sz w:val="12"/>
                <w:szCs w:val="12"/>
                <w:color w:val="auto"/>
              </w:rPr>
              <w:t>24,569</w:t>
            </w:r>
          </w:p>
        </w:tc>
        <w:tc>
          <w:tcPr>
            <w:tcW w:w="60" w:type="dxa"/>
            <w:vAlign w:val="bottom"/>
            <w:shd w:val="clear" w:color="auto" w:fill="CCEEFF"/>
          </w:tcPr>
          <w:p>
            <w:pPr>
              <w:spacing w:after="0"/>
              <w:rPr>
                <w:sz w:val="13"/>
                <w:szCs w:val="13"/>
                <w:color w:val="auto"/>
              </w:rPr>
            </w:pPr>
          </w:p>
        </w:tc>
        <w:tc>
          <w:tcPr>
            <w:tcW w:w="1340" w:type="dxa"/>
            <w:vAlign w:val="bottom"/>
            <w:tcBorders>
              <w:bottom w:val="single" w:sz="8" w:color="242424"/>
            </w:tcBorders>
            <w:shd w:val="clear" w:color="auto" w:fill="CCEEFF"/>
          </w:tcPr>
          <w:p>
            <w:pPr>
              <w:jc w:val="right"/>
              <w:spacing w:after="0"/>
              <w:rPr>
                <w:sz w:val="20"/>
                <w:szCs w:val="20"/>
                <w:color w:val="auto"/>
              </w:rPr>
            </w:pPr>
            <w:r>
              <w:rPr>
                <w:rFonts w:ascii="Arial" w:cs="Arial" w:eastAsia="Arial" w:hAnsi="Arial"/>
                <w:sz w:val="12"/>
                <w:szCs w:val="12"/>
                <w:color w:val="auto"/>
              </w:rPr>
              <w:t>4.4 %</w:t>
            </w:r>
          </w:p>
        </w:tc>
        <w:tc>
          <w:tcPr>
            <w:tcW w:w="0" w:type="dxa"/>
            <w:vAlign w:val="bottom"/>
          </w:tcPr>
          <w:p>
            <w:pPr>
              <w:spacing w:after="0"/>
              <w:rPr>
                <w:sz w:val="1"/>
                <w:szCs w:val="1"/>
                <w:color w:val="auto"/>
              </w:rPr>
            </w:pPr>
          </w:p>
        </w:tc>
      </w:tr>
      <w:tr>
        <w:trPr>
          <w:trHeight w:val="142"/>
        </w:trPr>
        <w:tc>
          <w:tcPr>
            <w:tcW w:w="3240" w:type="dxa"/>
            <w:vAlign w:val="bottom"/>
          </w:tcPr>
          <w:p>
            <w:pPr>
              <w:spacing w:after="0"/>
              <w:rPr>
                <w:sz w:val="20"/>
                <w:szCs w:val="20"/>
                <w:color w:val="auto"/>
              </w:rPr>
            </w:pPr>
            <w:r>
              <w:rPr>
                <w:rFonts w:ascii="Arial" w:cs="Arial" w:eastAsia="Arial" w:hAnsi="Arial"/>
                <w:sz w:val="12"/>
                <w:szCs w:val="12"/>
                <w:color w:val="auto"/>
              </w:rPr>
              <w:t>Total period end loans</w:t>
            </w:r>
          </w:p>
        </w:tc>
        <w:tc>
          <w:tcPr>
            <w:tcW w:w="220" w:type="dxa"/>
            <w:vAlign w:val="bottom"/>
            <w:tcBorders>
              <w:bottom w:val="single" w:sz="8" w:color="242424"/>
            </w:tcBorders>
          </w:tcPr>
          <w:p>
            <w:pPr>
              <w:jc w:val="right"/>
              <w:ind w:right="8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242424"/>
            </w:tcBorders>
          </w:tcPr>
          <w:p>
            <w:pPr>
              <w:jc w:val="right"/>
              <w:spacing w:after="0"/>
              <w:rPr>
                <w:sz w:val="20"/>
                <w:szCs w:val="20"/>
                <w:color w:val="auto"/>
              </w:rPr>
            </w:pPr>
            <w:r>
              <w:rPr>
                <w:rFonts w:ascii="Arial" w:cs="Arial" w:eastAsia="Arial" w:hAnsi="Arial"/>
                <w:sz w:val="12"/>
                <w:szCs w:val="12"/>
                <w:color w:val="auto"/>
              </w:rPr>
              <w:t>585,149</w:t>
            </w:r>
          </w:p>
        </w:tc>
        <w:tc>
          <w:tcPr>
            <w:tcW w:w="60" w:type="dxa"/>
            <w:vAlign w:val="bottom"/>
          </w:tcPr>
          <w:p>
            <w:pPr>
              <w:spacing w:after="0"/>
              <w:rPr>
                <w:sz w:val="12"/>
                <w:szCs w:val="12"/>
                <w:color w:val="auto"/>
              </w:rPr>
            </w:pPr>
          </w:p>
        </w:tc>
        <w:tc>
          <w:tcPr>
            <w:tcW w:w="1340" w:type="dxa"/>
            <w:vAlign w:val="bottom"/>
            <w:tcBorders>
              <w:bottom w:val="single" w:sz="8" w:color="242424"/>
            </w:tcBorders>
          </w:tcPr>
          <w:p>
            <w:pPr>
              <w:jc w:val="right"/>
              <w:spacing w:after="0"/>
              <w:rPr>
                <w:sz w:val="20"/>
                <w:szCs w:val="20"/>
                <w:color w:val="auto"/>
              </w:rPr>
            </w:pPr>
            <w:r>
              <w:rPr>
                <w:rFonts w:ascii="Arial" w:cs="Arial" w:eastAsia="Arial" w:hAnsi="Arial"/>
                <w:sz w:val="12"/>
                <w:szCs w:val="12"/>
                <w:color w:val="auto"/>
              </w:rPr>
              <w:t>100.0 %</w:t>
            </w:r>
          </w:p>
        </w:tc>
        <w:tc>
          <w:tcPr>
            <w:tcW w:w="80" w:type="dxa"/>
            <w:vAlign w:val="bottom"/>
          </w:tcPr>
          <w:p>
            <w:pPr>
              <w:spacing w:after="0"/>
              <w:rPr>
                <w:sz w:val="12"/>
                <w:szCs w:val="12"/>
                <w:color w:val="auto"/>
              </w:rPr>
            </w:pPr>
          </w:p>
        </w:tc>
        <w:tc>
          <w:tcPr>
            <w:tcW w:w="220" w:type="dxa"/>
            <w:vAlign w:val="bottom"/>
            <w:tcBorders>
              <w:bottom w:val="single" w:sz="8" w:color="242424"/>
            </w:tcBorders>
          </w:tcPr>
          <w:p>
            <w:pPr>
              <w:jc w:val="right"/>
              <w:ind w:right="8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242424"/>
            </w:tcBorders>
          </w:tcPr>
          <w:p>
            <w:pPr>
              <w:jc w:val="right"/>
              <w:spacing w:after="0"/>
              <w:rPr>
                <w:sz w:val="20"/>
                <w:szCs w:val="20"/>
                <w:color w:val="auto"/>
              </w:rPr>
            </w:pPr>
            <w:r>
              <w:rPr>
                <w:rFonts w:ascii="Arial" w:cs="Arial" w:eastAsia="Arial" w:hAnsi="Arial"/>
                <w:sz w:val="12"/>
                <w:szCs w:val="12"/>
                <w:color w:val="auto"/>
              </w:rPr>
              <w:t>526,153</w:t>
            </w:r>
          </w:p>
        </w:tc>
        <w:tc>
          <w:tcPr>
            <w:tcW w:w="80" w:type="dxa"/>
            <w:vAlign w:val="bottom"/>
          </w:tcPr>
          <w:p>
            <w:pPr>
              <w:spacing w:after="0"/>
              <w:rPr>
                <w:sz w:val="12"/>
                <w:szCs w:val="12"/>
                <w:color w:val="auto"/>
              </w:rPr>
            </w:pPr>
          </w:p>
        </w:tc>
        <w:tc>
          <w:tcPr>
            <w:tcW w:w="1320" w:type="dxa"/>
            <w:vAlign w:val="bottom"/>
            <w:tcBorders>
              <w:bottom w:val="single" w:sz="8" w:color="242424"/>
            </w:tcBorders>
          </w:tcPr>
          <w:p>
            <w:pPr>
              <w:jc w:val="right"/>
              <w:spacing w:after="0"/>
              <w:rPr>
                <w:sz w:val="20"/>
                <w:szCs w:val="20"/>
                <w:color w:val="auto"/>
              </w:rPr>
            </w:pPr>
            <w:r>
              <w:rPr>
                <w:rFonts w:ascii="Arial" w:cs="Arial" w:eastAsia="Arial" w:hAnsi="Arial"/>
                <w:sz w:val="12"/>
                <w:szCs w:val="12"/>
                <w:color w:val="auto"/>
              </w:rPr>
              <w:t>100.0 %</w:t>
            </w:r>
          </w:p>
        </w:tc>
        <w:tc>
          <w:tcPr>
            <w:tcW w:w="80" w:type="dxa"/>
            <w:vAlign w:val="bottom"/>
          </w:tcPr>
          <w:p>
            <w:pPr>
              <w:spacing w:after="0"/>
              <w:rPr>
                <w:sz w:val="12"/>
                <w:szCs w:val="12"/>
                <w:color w:val="auto"/>
              </w:rPr>
            </w:pPr>
          </w:p>
        </w:tc>
        <w:tc>
          <w:tcPr>
            <w:tcW w:w="240" w:type="dxa"/>
            <w:vAlign w:val="bottom"/>
            <w:tcBorders>
              <w:bottom w:val="single" w:sz="8" w:color="242424"/>
            </w:tcBorders>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242424"/>
            </w:tcBorders>
          </w:tcPr>
          <w:p>
            <w:pPr>
              <w:jc w:val="right"/>
              <w:spacing w:after="0"/>
              <w:rPr>
                <w:sz w:val="20"/>
                <w:szCs w:val="20"/>
                <w:color w:val="auto"/>
              </w:rPr>
            </w:pPr>
            <w:r>
              <w:rPr>
                <w:rFonts w:ascii="Arial" w:cs="Arial" w:eastAsia="Arial" w:hAnsi="Arial"/>
                <w:sz w:val="12"/>
                <w:szCs w:val="12"/>
                <w:color w:val="auto"/>
              </w:rPr>
              <w:t>559,125</w:t>
            </w:r>
          </w:p>
        </w:tc>
        <w:tc>
          <w:tcPr>
            <w:tcW w:w="60" w:type="dxa"/>
            <w:vAlign w:val="bottom"/>
          </w:tcPr>
          <w:p>
            <w:pPr>
              <w:spacing w:after="0"/>
              <w:rPr>
                <w:sz w:val="12"/>
                <w:szCs w:val="12"/>
                <w:color w:val="auto"/>
              </w:rPr>
            </w:pPr>
          </w:p>
        </w:tc>
        <w:tc>
          <w:tcPr>
            <w:tcW w:w="1340" w:type="dxa"/>
            <w:vAlign w:val="bottom"/>
            <w:tcBorders>
              <w:bottom w:val="single" w:sz="8" w:color="242424"/>
            </w:tcBorders>
          </w:tcPr>
          <w:p>
            <w:pPr>
              <w:jc w:val="right"/>
              <w:spacing w:after="0"/>
              <w:rPr>
                <w:sz w:val="20"/>
                <w:szCs w:val="20"/>
                <w:color w:val="auto"/>
              </w:rPr>
            </w:pPr>
            <w:r>
              <w:rPr>
                <w:rFonts w:ascii="Arial" w:cs="Arial" w:eastAsia="Arial" w:hAnsi="Arial"/>
                <w:sz w:val="12"/>
                <w:szCs w:val="12"/>
                <w:color w:val="auto"/>
              </w:rPr>
              <w:t>100.0 %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20" w:type="dxa"/>
            <w:vAlign w:val="bottom"/>
            <w:tcBorders>
              <w:bottom w:val="single" w:sz="8" w:color="242424"/>
            </w:tcBorders>
          </w:tcPr>
          <w:p>
            <w:pPr>
              <w:spacing w:after="0" w:line="20" w:lineRule="exact"/>
              <w:rPr>
                <w:sz w:val="1"/>
                <w:szCs w:val="1"/>
                <w:color w:val="auto"/>
              </w:rPr>
            </w:pPr>
          </w:p>
        </w:tc>
        <w:tc>
          <w:tcPr>
            <w:tcW w:w="1000" w:type="dxa"/>
            <w:vAlign w:val="bottom"/>
            <w:tcBorders>
              <w:bottom w:val="single" w:sz="8" w:color="242424"/>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Borders>
              <w:bottom w:val="single" w:sz="8" w:color="24242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42424"/>
            </w:tcBorders>
          </w:tcPr>
          <w:p>
            <w:pPr>
              <w:spacing w:after="0" w:line="20" w:lineRule="exact"/>
              <w:rPr>
                <w:sz w:val="1"/>
                <w:szCs w:val="1"/>
                <w:color w:val="auto"/>
              </w:rPr>
            </w:pPr>
          </w:p>
        </w:tc>
        <w:tc>
          <w:tcPr>
            <w:tcW w:w="1000" w:type="dxa"/>
            <w:vAlign w:val="bottom"/>
            <w:tcBorders>
              <w:bottom w:val="single" w:sz="8" w:color="24242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24242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242424"/>
            </w:tcBorders>
          </w:tcPr>
          <w:p>
            <w:pPr>
              <w:spacing w:after="0" w:line="20" w:lineRule="exact"/>
              <w:rPr>
                <w:sz w:val="1"/>
                <w:szCs w:val="1"/>
                <w:color w:val="auto"/>
              </w:rPr>
            </w:pPr>
          </w:p>
        </w:tc>
        <w:tc>
          <w:tcPr>
            <w:tcW w:w="1000" w:type="dxa"/>
            <w:vAlign w:val="bottom"/>
            <w:tcBorders>
              <w:bottom w:val="single" w:sz="8" w:color="242424"/>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Borders>
              <w:bottom w:val="single" w:sz="8" w:color="24242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0"/>
          <w:szCs w:val="10"/>
          <w:color w:val="auto"/>
        </w:rPr>
        <w:t>Note: SBA loans as of September 30, 2026, June 30, 2026, and September 30, 2025 include $44.0 million, $65.5 million, and $132.7 million, respectively, of SBA 7(a) loan balances that are guaranteed by the SBA.</w:t>
      </w:r>
    </w:p>
    <w:p>
      <w:pPr>
        <w:spacing w:after="0" w:line="163" w:lineRule="exact"/>
        <w:rPr>
          <w:sz w:val="20"/>
          <w:szCs w:val="20"/>
          <w:color w:val="auto"/>
        </w:rPr>
      </w:pPr>
    </w:p>
    <w:p>
      <w:pPr>
        <w:ind w:right="120"/>
        <w:spacing w:after="0" w:line="296" w:lineRule="auto"/>
        <w:rPr>
          <w:sz w:val="20"/>
          <w:szCs w:val="20"/>
          <w:color w:val="auto"/>
        </w:rPr>
      </w:pPr>
      <w:r>
        <w:rPr>
          <w:rFonts w:ascii="Arial" w:cs="Arial" w:eastAsia="Arial" w:hAnsi="Arial"/>
          <w:sz w:val="13"/>
          <w:szCs w:val="13"/>
          <w:color w:val="auto"/>
        </w:rPr>
        <w:t>Total loans HFI as of September 30, 2026 increased $59.0 million and increased $26.0 million compared to June 30, 2026, and September 30, 2025, respectively. The increases were driven by growth in credit-enhanced Strategic Program loans, which increased $72.0 million and $104.9 million compared to June 30, 2026 and September 30, 2025, respectively, reflecting our 2025 strategic initiative to develop the credit-enhanced portfolio. These increases were partially offset by declines in the SBA portfolio of $26.7 million and $105.2 million compared to June 30, 2026 and September 30, 2025, respectively, resulting primarily from sales of the guaranteed portions of SBA 7(a) loans, reflecting ongoing portfolio and credit risk management.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80"/>
          </w:cols>
          <w:pgMar w:left="300" w:top="564" w:right="319" w:bottom="1440" w:gutter="0" w:footer="0" w:header="0"/>
        </w:sectPr>
      </w:pPr>
    </w:p>
    <w:bookmarkStart w:id="9" w:name="page10"/>
    <w:bookmarkEnd w:id="9"/>
    <w:p>
      <w:pPr>
        <w:ind w:left="8"/>
        <w:spacing w:after="0"/>
        <w:rPr>
          <w:sz w:val="20"/>
          <w:szCs w:val="20"/>
          <w:color w:val="auto"/>
        </w:rPr>
      </w:pPr>
      <w:r>
        <w:rPr>
          <w:rFonts w:ascii="Arial" w:cs="Arial" w:eastAsia="Arial" w:hAnsi="Arial"/>
          <w:sz w:val="13"/>
          <w:szCs w:val="13"/>
          <w:color w:val="auto"/>
        </w:rPr>
        <w:t>The following table presents the Company’s deposit composition as of the dates indicated:</w:t>
      </w:r>
    </w:p>
    <w:p>
      <w:pPr>
        <w:spacing w:after="0" w:line="196" w:lineRule="exact"/>
        <w:rPr>
          <w:sz w:val="20"/>
          <w:szCs w:val="20"/>
          <w:color w:val="auto"/>
        </w:rPr>
      </w:pPr>
    </w:p>
    <w:tbl>
      <w:tblPr>
        <w:tblLayout w:type="fixed"/>
        <w:tblInd w:w="8" w:type="dxa"/>
        <w:tblCellMar>
          <w:top w:w="0" w:type="dxa"/>
          <w:left w:w="0" w:type="dxa"/>
          <w:bottom w:w="0" w:type="dxa"/>
          <w:right w:w="0" w:type="dxa"/>
        </w:tblCellMar>
      </w:tblPr>
      <w:tr>
        <w:trPr>
          <w:trHeight w:val="162"/>
        </w:trPr>
        <w:tc>
          <w:tcPr>
            <w:tcW w:w="3520" w:type="dxa"/>
            <w:vAlign w:val="bottom"/>
            <w:vMerge w:val="restart"/>
          </w:tcPr>
          <w:p>
            <w:pPr>
              <w:spacing w:after="0"/>
              <w:rPr>
                <w:sz w:val="20"/>
                <w:szCs w:val="20"/>
                <w:color w:val="auto"/>
              </w:rPr>
            </w:pPr>
            <w:r>
              <w:rPr>
                <w:rFonts w:ascii="Arial" w:cs="Arial" w:eastAsia="Arial" w:hAnsi="Arial"/>
                <w:sz w:val="12"/>
                <w:szCs w:val="12"/>
                <w:i w:val="1"/>
                <w:iCs w:val="1"/>
                <w:color w:val="auto"/>
              </w:rPr>
              <w:t>($ in thousands)</w:t>
            </w:r>
          </w:p>
        </w:tc>
        <w:tc>
          <w:tcPr>
            <w:tcW w:w="22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2"/>
                <w:szCs w:val="12"/>
                <w:b w:val="1"/>
                <w:bCs w:val="1"/>
                <w:color w:val="auto"/>
              </w:rPr>
              <w:t>9/30/2026</w:t>
            </w:r>
          </w:p>
        </w:tc>
        <w:tc>
          <w:tcPr>
            <w:tcW w:w="94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2"/>
                <w:szCs w:val="12"/>
                <w:b w:val="1"/>
                <w:bCs w:val="1"/>
                <w:color w:val="auto"/>
              </w:rPr>
              <w:t>6/30/2026</w:t>
            </w:r>
          </w:p>
        </w:tc>
        <w:tc>
          <w:tcPr>
            <w:tcW w:w="9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2"/>
                <w:szCs w:val="12"/>
                <w:b w:val="1"/>
                <w:bCs w:val="1"/>
                <w:color w:val="auto"/>
              </w:rPr>
              <w:t>9/30/2025</w:t>
            </w:r>
          </w:p>
        </w:tc>
        <w:tc>
          <w:tcPr>
            <w:tcW w:w="94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3"/>
          </w:tcPr>
          <w:p>
            <w:pPr>
              <w:jc w:val="right"/>
              <w:ind w:right="780"/>
              <w:spacing w:after="0"/>
              <w:rPr>
                <w:sz w:val="20"/>
                <w:szCs w:val="20"/>
                <w:color w:val="auto"/>
              </w:rPr>
            </w:pPr>
            <w:r>
              <w:rPr>
                <w:rFonts w:ascii="Arial" w:cs="Arial" w:eastAsia="Arial" w:hAnsi="Arial"/>
                <w:sz w:val="12"/>
                <w:szCs w:val="12"/>
                <w:b w:val="1"/>
                <w:bCs w:val="1"/>
                <w:color w:val="auto"/>
              </w:rPr>
              <w:t>Amount</w:t>
            </w:r>
          </w:p>
        </w:tc>
        <w:tc>
          <w:tcPr>
            <w:tcW w:w="940" w:type="dxa"/>
            <w:vAlign w:val="bottom"/>
          </w:tcPr>
          <w:p>
            <w:pPr>
              <w:jc w:val="right"/>
              <w:ind w:right="360"/>
              <w:spacing w:after="0"/>
              <w:rPr>
                <w:sz w:val="20"/>
                <w:szCs w:val="20"/>
                <w:color w:val="auto"/>
              </w:rPr>
            </w:pPr>
            <w:r>
              <w:rPr>
                <w:rFonts w:ascii="Arial" w:cs="Arial" w:eastAsia="Arial" w:hAnsi="Arial"/>
                <w:sz w:val="12"/>
                <w:szCs w:val="12"/>
                <w:b w:val="1"/>
                <w:bCs w:val="1"/>
                <w:color w:val="auto"/>
              </w:rPr>
              <w:t>Percent</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3"/>
          </w:tcPr>
          <w:p>
            <w:pPr>
              <w:jc w:val="right"/>
              <w:ind w:right="800"/>
              <w:spacing w:after="0"/>
              <w:rPr>
                <w:sz w:val="20"/>
                <w:szCs w:val="20"/>
                <w:color w:val="auto"/>
              </w:rPr>
            </w:pPr>
            <w:r>
              <w:rPr>
                <w:rFonts w:ascii="Arial" w:cs="Arial" w:eastAsia="Arial" w:hAnsi="Arial"/>
                <w:sz w:val="12"/>
                <w:szCs w:val="12"/>
                <w:b w:val="1"/>
                <w:bCs w:val="1"/>
                <w:color w:val="auto"/>
              </w:rPr>
              <w:t>Amount</w:t>
            </w:r>
          </w:p>
        </w:tc>
        <w:tc>
          <w:tcPr>
            <w:tcW w:w="920" w:type="dxa"/>
            <w:vAlign w:val="bottom"/>
          </w:tcPr>
          <w:p>
            <w:pPr>
              <w:jc w:val="right"/>
              <w:ind w:right="360"/>
              <w:spacing w:after="0"/>
              <w:rPr>
                <w:sz w:val="20"/>
                <w:szCs w:val="20"/>
                <w:color w:val="auto"/>
              </w:rPr>
            </w:pPr>
            <w:r>
              <w:rPr>
                <w:rFonts w:ascii="Arial" w:cs="Arial" w:eastAsia="Arial" w:hAnsi="Arial"/>
                <w:sz w:val="12"/>
                <w:szCs w:val="12"/>
                <w:b w:val="1"/>
                <w:bCs w:val="1"/>
                <w:color w:val="auto"/>
              </w:rPr>
              <w:t>Percent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3"/>
          </w:tcPr>
          <w:p>
            <w:pPr>
              <w:jc w:val="right"/>
              <w:ind w:right="780"/>
              <w:spacing w:after="0"/>
              <w:rPr>
                <w:sz w:val="20"/>
                <w:szCs w:val="20"/>
                <w:color w:val="auto"/>
              </w:rPr>
            </w:pPr>
            <w:r>
              <w:rPr>
                <w:rFonts w:ascii="Arial" w:cs="Arial" w:eastAsia="Arial" w:hAnsi="Arial"/>
                <w:sz w:val="12"/>
                <w:szCs w:val="12"/>
                <w:b w:val="1"/>
                <w:bCs w:val="1"/>
                <w:color w:val="auto"/>
              </w:rPr>
              <w:t>Amount</w:t>
            </w:r>
          </w:p>
        </w:tc>
        <w:tc>
          <w:tcPr>
            <w:tcW w:w="940" w:type="dxa"/>
            <w:vAlign w:val="bottom"/>
          </w:tcPr>
          <w:p>
            <w:pPr>
              <w:jc w:val="right"/>
              <w:ind w:right="360"/>
              <w:spacing w:after="0"/>
              <w:rPr>
                <w:sz w:val="20"/>
                <w:szCs w:val="20"/>
                <w:color w:val="auto"/>
              </w:rPr>
            </w:pPr>
            <w:r>
              <w:rPr>
                <w:rFonts w:ascii="Arial" w:cs="Arial" w:eastAsia="Arial" w:hAnsi="Arial"/>
                <w:sz w:val="12"/>
                <w:szCs w:val="12"/>
                <w:b w:val="1"/>
                <w:bCs w:val="1"/>
                <w:color w:val="auto"/>
              </w:rPr>
              <w:t>Percent</w:t>
            </w:r>
          </w:p>
        </w:tc>
        <w:tc>
          <w:tcPr>
            <w:tcW w:w="0" w:type="dxa"/>
            <w:vAlign w:val="bottom"/>
          </w:tcPr>
          <w:p>
            <w:pPr>
              <w:spacing w:after="0"/>
              <w:rPr>
                <w:sz w:val="1"/>
                <w:szCs w:val="1"/>
                <w:color w:val="auto"/>
              </w:rPr>
            </w:pPr>
          </w:p>
        </w:tc>
      </w:tr>
      <w:tr>
        <w:trPr>
          <w:trHeight w:val="142"/>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Noninterest-bearing demand deposits</w:t>
            </w: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137,425</w:t>
            </w: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19.4 %</w:t>
            </w: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118,926</w:t>
            </w: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17.1 %</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130,601</w:t>
            </w: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19.2 %</w:t>
            </w:r>
          </w:p>
        </w:tc>
        <w:tc>
          <w:tcPr>
            <w:tcW w:w="0" w:type="dxa"/>
            <w:vAlign w:val="bottom"/>
          </w:tcPr>
          <w:p>
            <w:pPr>
              <w:spacing w:after="0"/>
              <w:rPr>
                <w:sz w:val="1"/>
                <w:szCs w:val="1"/>
                <w:color w:val="auto"/>
              </w:rPr>
            </w:pPr>
          </w:p>
        </w:tc>
      </w:tr>
      <w:tr>
        <w:trPr>
          <w:trHeight w:val="153"/>
        </w:trPr>
        <w:tc>
          <w:tcPr>
            <w:tcW w:w="3520" w:type="dxa"/>
            <w:vAlign w:val="bottom"/>
          </w:tcPr>
          <w:p>
            <w:pPr>
              <w:spacing w:after="0"/>
              <w:rPr>
                <w:sz w:val="20"/>
                <w:szCs w:val="20"/>
                <w:color w:val="auto"/>
              </w:rPr>
            </w:pPr>
            <w:r>
              <w:rPr>
                <w:rFonts w:ascii="Arial" w:cs="Arial" w:eastAsia="Arial" w:hAnsi="Arial"/>
                <w:sz w:val="12"/>
                <w:szCs w:val="12"/>
                <w:color w:val="auto"/>
              </w:rPr>
              <w:t>Interest-bearing deposits:</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5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Demand</w:t>
            </w: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75,544</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10.7 %</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106,833</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15.4 %</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89,443</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13.1 %</w:t>
            </w:r>
          </w:p>
        </w:tc>
        <w:tc>
          <w:tcPr>
            <w:tcW w:w="0" w:type="dxa"/>
            <w:vAlign w:val="bottom"/>
          </w:tcPr>
          <w:p>
            <w:pPr>
              <w:spacing w:after="0"/>
              <w:rPr>
                <w:sz w:val="1"/>
                <w:szCs w:val="1"/>
                <w:color w:val="auto"/>
              </w:rPr>
            </w:pPr>
          </w:p>
        </w:tc>
      </w:tr>
      <w:tr>
        <w:trPr>
          <w:trHeight w:val="153"/>
        </w:trPr>
        <w:tc>
          <w:tcPr>
            <w:tcW w:w="3520" w:type="dxa"/>
            <w:vAlign w:val="bottom"/>
          </w:tcPr>
          <w:p>
            <w:pPr>
              <w:ind w:left="120"/>
              <w:spacing w:after="0"/>
              <w:rPr>
                <w:sz w:val="20"/>
                <w:szCs w:val="20"/>
                <w:color w:val="auto"/>
              </w:rPr>
            </w:pPr>
            <w:r>
              <w:rPr>
                <w:rFonts w:ascii="Arial" w:cs="Arial" w:eastAsia="Arial" w:hAnsi="Arial"/>
                <w:sz w:val="12"/>
                <w:szCs w:val="12"/>
                <w:color w:val="auto"/>
              </w:rPr>
              <w:t>Savings</w:t>
            </w: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7,290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1.0 %</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7,968</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1.1 %</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11,495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1.7 %</w:t>
            </w:r>
          </w:p>
        </w:tc>
        <w:tc>
          <w:tcPr>
            <w:tcW w:w="0" w:type="dxa"/>
            <w:vAlign w:val="bottom"/>
          </w:tcPr>
          <w:p>
            <w:pPr>
              <w:spacing w:after="0"/>
              <w:rPr>
                <w:sz w:val="1"/>
                <w:szCs w:val="1"/>
                <w:color w:val="auto"/>
              </w:rPr>
            </w:pPr>
          </w:p>
        </w:tc>
      </w:tr>
      <w:tr>
        <w:trPr>
          <w:trHeight w:val="153"/>
        </w:trPr>
        <w:tc>
          <w:tcPr>
            <w:tcW w:w="35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Money market</w:t>
            </w: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20,232</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2.9 %</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21,969</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3.2 %</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22,634</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3.3 %</w:t>
            </w:r>
          </w:p>
        </w:tc>
        <w:tc>
          <w:tcPr>
            <w:tcW w:w="0" w:type="dxa"/>
            <w:vAlign w:val="bottom"/>
          </w:tcPr>
          <w:p>
            <w:pPr>
              <w:spacing w:after="0"/>
              <w:rPr>
                <w:sz w:val="1"/>
                <w:szCs w:val="1"/>
                <w:color w:val="auto"/>
              </w:rPr>
            </w:pPr>
          </w:p>
        </w:tc>
      </w:tr>
      <w:tr>
        <w:trPr>
          <w:trHeight w:val="153"/>
        </w:trPr>
        <w:tc>
          <w:tcPr>
            <w:tcW w:w="352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Time certificates of deposit</w:t>
            </w:r>
          </w:p>
        </w:tc>
        <w:tc>
          <w:tcPr>
            <w:tcW w:w="220" w:type="dxa"/>
            <w:vAlign w:val="bottom"/>
            <w:tcBorders>
              <w:bottom w:val="single" w:sz="8" w:color="242424"/>
            </w:tcBorders>
          </w:tcPr>
          <w:p>
            <w:pPr>
              <w:spacing w:after="0"/>
              <w:rPr>
                <w:sz w:val="13"/>
                <w:szCs w:val="13"/>
                <w:color w:val="auto"/>
              </w:rPr>
            </w:pPr>
          </w:p>
        </w:tc>
        <w:tc>
          <w:tcPr>
            <w:tcW w:w="960" w:type="dxa"/>
            <w:vAlign w:val="bottom"/>
            <w:tcBorders>
              <w:bottom w:val="single" w:sz="8" w:color="242424"/>
            </w:tcBorders>
          </w:tcPr>
          <w:p>
            <w:pPr>
              <w:jc w:val="right"/>
              <w:spacing w:after="0"/>
              <w:rPr>
                <w:sz w:val="20"/>
                <w:szCs w:val="20"/>
                <w:color w:val="auto"/>
              </w:rPr>
            </w:pPr>
            <w:r>
              <w:rPr>
                <w:rFonts w:ascii="Arial" w:cs="Arial" w:eastAsia="Arial" w:hAnsi="Arial"/>
                <w:sz w:val="12"/>
                <w:szCs w:val="12"/>
                <w:color w:val="auto"/>
              </w:rPr>
              <w:t>467,110</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242424"/>
            </w:tcBorders>
          </w:tcPr>
          <w:p>
            <w:pPr>
              <w:spacing w:after="0"/>
              <w:rPr>
                <w:sz w:val="13"/>
                <w:szCs w:val="13"/>
                <w:color w:val="auto"/>
              </w:rPr>
            </w:pPr>
          </w:p>
        </w:tc>
        <w:tc>
          <w:tcPr>
            <w:tcW w:w="940" w:type="dxa"/>
            <w:vAlign w:val="bottom"/>
            <w:tcBorders>
              <w:bottom w:val="single" w:sz="8" w:color="242424"/>
            </w:tcBorders>
          </w:tcPr>
          <w:p>
            <w:pPr>
              <w:jc w:val="right"/>
              <w:spacing w:after="0"/>
              <w:rPr>
                <w:sz w:val="20"/>
                <w:szCs w:val="20"/>
                <w:color w:val="auto"/>
              </w:rPr>
            </w:pPr>
            <w:r>
              <w:rPr>
                <w:rFonts w:ascii="Arial" w:cs="Arial" w:eastAsia="Arial" w:hAnsi="Arial"/>
                <w:sz w:val="12"/>
                <w:szCs w:val="12"/>
                <w:color w:val="auto"/>
              </w:rPr>
              <w:t>66.0 %</w:t>
            </w: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242424"/>
            </w:tcBorders>
          </w:tcPr>
          <w:p>
            <w:pPr>
              <w:spacing w:after="0"/>
              <w:rPr>
                <w:sz w:val="13"/>
                <w:szCs w:val="13"/>
                <w:color w:val="auto"/>
              </w:rPr>
            </w:pPr>
          </w:p>
        </w:tc>
        <w:tc>
          <w:tcPr>
            <w:tcW w:w="940" w:type="dxa"/>
            <w:vAlign w:val="bottom"/>
            <w:tcBorders>
              <w:bottom w:val="single" w:sz="8" w:color="242424"/>
            </w:tcBorders>
          </w:tcPr>
          <w:p>
            <w:pPr>
              <w:jc w:val="right"/>
              <w:spacing w:after="0"/>
              <w:rPr>
                <w:sz w:val="20"/>
                <w:szCs w:val="20"/>
                <w:color w:val="auto"/>
              </w:rPr>
            </w:pPr>
            <w:r>
              <w:rPr>
                <w:rFonts w:ascii="Arial" w:cs="Arial" w:eastAsia="Arial" w:hAnsi="Arial"/>
                <w:sz w:val="12"/>
                <w:szCs w:val="12"/>
                <w:color w:val="auto"/>
              </w:rPr>
              <w:t>438,103</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242424"/>
            </w:tcBorders>
          </w:tcPr>
          <w:p>
            <w:pPr>
              <w:spacing w:after="0"/>
              <w:rPr>
                <w:sz w:val="13"/>
                <w:szCs w:val="13"/>
                <w:color w:val="auto"/>
              </w:rPr>
            </w:pPr>
          </w:p>
        </w:tc>
        <w:tc>
          <w:tcPr>
            <w:tcW w:w="920" w:type="dxa"/>
            <w:vAlign w:val="bottom"/>
            <w:tcBorders>
              <w:bottom w:val="single" w:sz="8" w:color="242424"/>
            </w:tcBorders>
          </w:tcPr>
          <w:p>
            <w:pPr>
              <w:jc w:val="right"/>
              <w:spacing w:after="0"/>
              <w:rPr>
                <w:sz w:val="20"/>
                <w:szCs w:val="20"/>
                <w:color w:val="auto"/>
              </w:rPr>
            </w:pPr>
            <w:r>
              <w:rPr>
                <w:rFonts w:ascii="Arial" w:cs="Arial" w:eastAsia="Arial" w:hAnsi="Arial"/>
                <w:sz w:val="12"/>
                <w:szCs w:val="12"/>
                <w:color w:val="auto"/>
              </w:rPr>
              <w:t>63.2 %</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242424"/>
            </w:tcBorders>
          </w:tcPr>
          <w:p>
            <w:pPr>
              <w:spacing w:after="0"/>
              <w:rPr>
                <w:sz w:val="13"/>
                <w:szCs w:val="13"/>
                <w:color w:val="auto"/>
              </w:rPr>
            </w:pPr>
          </w:p>
        </w:tc>
        <w:tc>
          <w:tcPr>
            <w:tcW w:w="960" w:type="dxa"/>
            <w:vAlign w:val="bottom"/>
            <w:tcBorders>
              <w:bottom w:val="single" w:sz="8" w:color="242424"/>
            </w:tcBorders>
          </w:tcPr>
          <w:p>
            <w:pPr>
              <w:jc w:val="right"/>
              <w:spacing w:after="0"/>
              <w:rPr>
                <w:sz w:val="20"/>
                <w:szCs w:val="20"/>
                <w:color w:val="auto"/>
              </w:rPr>
            </w:pPr>
            <w:r>
              <w:rPr>
                <w:rFonts w:ascii="Arial" w:cs="Arial" w:eastAsia="Arial" w:hAnsi="Arial"/>
                <w:sz w:val="12"/>
                <w:szCs w:val="12"/>
                <w:color w:val="auto"/>
              </w:rPr>
              <w:t>428,137</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242424"/>
            </w:tcBorders>
          </w:tcPr>
          <w:p>
            <w:pPr>
              <w:spacing w:after="0"/>
              <w:rPr>
                <w:sz w:val="13"/>
                <w:szCs w:val="13"/>
                <w:color w:val="auto"/>
              </w:rPr>
            </w:pPr>
          </w:p>
        </w:tc>
        <w:tc>
          <w:tcPr>
            <w:tcW w:w="940" w:type="dxa"/>
            <w:vAlign w:val="bottom"/>
            <w:tcBorders>
              <w:bottom w:val="single" w:sz="8" w:color="242424"/>
            </w:tcBorders>
          </w:tcPr>
          <w:p>
            <w:pPr>
              <w:jc w:val="right"/>
              <w:spacing w:after="0"/>
              <w:rPr>
                <w:sz w:val="20"/>
                <w:szCs w:val="20"/>
                <w:color w:val="auto"/>
              </w:rPr>
            </w:pPr>
            <w:r>
              <w:rPr>
                <w:rFonts w:ascii="Arial" w:cs="Arial" w:eastAsia="Arial" w:hAnsi="Arial"/>
                <w:sz w:val="12"/>
                <w:szCs w:val="12"/>
                <w:color w:val="auto"/>
              </w:rPr>
              <w:t>62.7 %</w:t>
            </w:r>
          </w:p>
        </w:tc>
        <w:tc>
          <w:tcPr>
            <w:tcW w:w="0" w:type="dxa"/>
            <w:vAlign w:val="bottom"/>
          </w:tcPr>
          <w:p>
            <w:pPr>
              <w:spacing w:after="0"/>
              <w:rPr>
                <w:sz w:val="1"/>
                <w:szCs w:val="1"/>
                <w:color w:val="auto"/>
              </w:rPr>
            </w:pPr>
          </w:p>
        </w:tc>
      </w:tr>
      <w:tr>
        <w:trPr>
          <w:trHeight w:val="158"/>
        </w:trPr>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period end deposits</w:t>
            </w:r>
          </w:p>
        </w:tc>
        <w:tc>
          <w:tcPr>
            <w:tcW w:w="220" w:type="dxa"/>
            <w:vAlign w:val="bottom"/>
            <w:tcBorders>
              <w:bottom w:val="single" w:sz="8" w:color="242424"/>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242424"/>
            </w:tcBorders>
            <w:shd w:val="clear" w:color="auto" w:fill="CCEEFF"/>
          </w:tcPr>
          <w:p>
            <w:pPr>
              <w:jc w:val="right"/>
              <w:spacing w:after="0"/>
              <w:rPr>
                <w:sz w:val="20"/>
                <w:szCs w:val="20"/>
                <w:color w:val="auto"/>
              </w:rPr>
            </w:pPr>
            <w:r>
              <w:rPr>
                <w:rFonts w:ascii="Arial" w:cs="Arial" w:eastAsia="Arial" w:hAnsi="Arial"/>
                <w:sz w:val="12"/>
                <w:szCs w:val="12"/>
                <w:color w:val="auto"/>
              </w:rPr>
              <w:t>707,601</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242424"/>
            </w:tcBorders>
            <w:shd w:val="clear" w:color="auto" w:fill="CCEEFF"/>
          </w:tcPr>
          <w:p>
            <w:pPr>
              <w:spacing w:after="0"/>
              <w:rPr>
                <w:sz w:val="13"/>
                <w:szCs w:val="13"/>
                <w:color w:val="auto"/>
              </w:rPr>
            </w:pPr>
          </w:p>
        </w:tc>
        <w:tc>
          <w:tcPr>
            <w:tcW w:w="940" w:type="dxa"/>
            <w:vAlign w:val="bottom"/>
            <w:tcBorders>
              <w:bottom w:val="single" w:sz="8" w:color="242424"/>
            </w:tcBorders>
            <w:shd w:val="clear" w:color="auto" w:fill="CCEEFF"/>
          </w:tcPr>
          <w:p>
            <w:pPr>
              <w:jc w:val="right"/>
              <w:spacing w:after="0"/>
              <w:rPr>
                <w:sz w:val="20"/>
                <w:szCs w:val="20"/>
                <w:color w:val="auto"/>
              </w:rPr>
            </w:pPr>
            <w:r>
              <w:rPr>
                <w:rFonts w:ascii="Arial" w:cs="Arial" w:eastAsia="Arial" w:hAnsi="Arial"/>
                <w:sz w:val="12"/>
                <w:szCs w:val="12"/>
                <w:color w:val="auto"/>
              </w:rPr>
              <w:t>100.0 %</w:t>
            </w:r>
          </w:p>
        </w:tc>
        <w:tc>
          <w:tcPr>
            <w:tcW w:w="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242424"/>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242424"/>
            </w:tcBorders>
            <w:shd w:val="clear" w:color="auto" w:fill="CCEEFF"/>
          </w:tcPr>
          <w:p>
            <w:pPr>
              <w:jc w:val="right"/>
              <w:spacing w:after="0"/>
              <w:rPr>
                <w:sz w:val="20"/>
                <w:szCs w:val="20"/>
                <w:color w:val="auto"/>
              </w:rPr>
            </w:pPr>
            <w:r>
              <w:rPr>
                <w:rFonts w:ascii="Arial" w:cs="Arial" w:eastAsia="Arial" w:hAnsi="Arial"/>
                <w:sz w:val="12"/>
                <w:szCs w:val="12"/>
                <w:color w:val="auto"/>
              </w:rPr>
              <w:t>693,799</w:t>
            </w: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242424"/>
            </w:tcBorders>
            <w:shd w:val="clear" w:color="auto" w:fill="CCEEFF"/>
          </w:tcPr>
          <w:p>
            <w:pPr>
              <w:spacing w:after="0"/>
              <w:rPr>
                <w:sz w:val="13"/>
                <w:szCs w:val="13"/>
                <w:color w:val="auto"/>
              </w:rPr>
            </w:pPr>
          </w:p>
        </w:tc>
        <w:tc>
          <w:tcPr>
            <w:tcW w:w="920" w:type="dxa"/>
            <w:vAlign w:val="bottom"/>
            <w:tcBorders>
              <w:bottom w:val="single" w:sz="8" w:color="242424"/>
            </w:tcBorders>
            <w:shd w:val="clear" w:color="auto" w:fill="CCEEFF"/>
          </w:tcPr>
          <w:p>
            <w:pPr>
              <w:jc w:val="right"/>
              <w:spacing w:after="0"/>
              <w:rPr>
                <w:sz w:val="20"/>
                <w:szCs w:val="20"/>
                <w:color w:val="auto"/>
              </w:rPr>
            </w:pPr>
            <w:r>
              <w:rPr>
                <w:rFonts w:ascii="Arial" w:cs="Arial" w:eastAsia="Arial" w:hAnsi="Arial"/>
                <w:sz w:val="12"/>
                <w:szCs w:val="12"/>
                <w:color w:val="auto"/>
              </w:rPr>
              <w:t>100.0 %</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242424"/>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242424"/>
            </w:tcBorders>
            <w:shd w:val="clear" w:color="auto" w:fill="CCEEFF"/>
          </w:tcPr>
          <w:p>
            <w:pPr>
              <w:jc w:val="right"/>
              <w:spacing w:after="0"/>
              <w:rPr>
                <w:sz w:val="20"/>
                <w:szCs w:val="20"/>
                <w:color w:val="auto"/>
              </w:rPr>
            </w:pPr>
            <w:r>
              <w:rPr>
                <w:rFonts w:ascii="Arial" w:cs="Arial" w:eastAsia="Arial" w:hAnsi="Arial"/>
                <w:sz w:val="12"/>
                <w:szCs w:val="12"/>
                <w:color w:val="auto"/>
              </w:rPr>
              <w:t>682,310</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242424"/>
            </w:tcBorders>
            <w:shd w:val="clear" w:color="auto" w:fill="CCEEFF"/>
          </w:tcPr>
          <w:p>
            <w:pPr>
              <w:spacing w:after="0"/>
              <w:rPr>
                <w:sz w:val="13"/>
                <w:szCs w:val="13"/>
                <w:color w:val="auto"/>
              </w:rPr>
            </w:pPr>
          </w:p>
        </w:tc>
        <w:tc>
          <w:tcPr>
            <w:tcW w:w="940" w:type="dxa"/>
            <w:vAlign w:val="bottom"/>
            <w:tcBorders>
              <w:bottom w:val="single" w:sz="8" w:color="242424"/>
            </w:tcBorders>
            <w:shd w:val="clear" w:color="auto" w:fill="CCEEFF"/>
          </w:tcPr>
          <w:p>
            <w:pPr>
              <w:jc w:val="right"/>
              <w:spacing w:after="0"/>
              <w:rPr>
                <w:sz w:val="20"/>
                <w:szCs w:val="20"/>
                <w:color w:val="auto"/>
              </w:rPr>
            </w:pPr>
            <w:r>
              <w:rPr>
                <w:rFonts w:ascii="Arial" w:cs="Arial" w:eastAsia="Arial" w:hAnsi="Arial"/>
                <w:sz w:val="12"/>
                <w:szCs w:val="12"/>
                <w:color w:val="auto"/>
              </w:rPr>
              <w:t>100.0 %</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8" w:right="100"/>
        <w:spacing w:after="0" w:line="296" w:lineRule="auto"/>
        <w:rPr>
          <w:sz w:val="20"/>
          <w:szCs w:val="20"/>
          <w:color w:val="auto"/>
        </w:rPr>
      </w:pPr>
      <w:r>
        <w:rPr>
          <w:rFonts w:ascii="Arial" w:cs="Arial" w:eastAsia="Arial" w:hAnsi="Arial"/>
          <w:sz w:val="13"/>
          <w:szCs w:val="13"/>
          <w:color w:val="auto"/>
        </w:rPr>
        <w:t>The increase in total deposits as of September 30, 2026 from June 30, 2026 was primarily due to growth in time certificates of deposit of $29.0 million and noninterest-bearing demand deposits of $18.5 million, partially offset by a decrease in interest-bearing demand deposits of $31.3 million. The increase in total deposits as of September 30, 2026 from September 30, 2025 was primarily driven by growth in time certificates of deposit of $39.0 million, which were utilized to fund growth in credit-enhanced loans and enhance the Company’s liquidity profile, and in noninterest-bearing demand deposits of $6.8 million, partially offset by a decrease in interest-bearing demand deposits of $13.9 million.</w:t>
      </w:r>
    </w:p>
    <w:p>
      <w:pPr>
        <w:spacing w:after="0" w:line="126" w:lineRule="exact"/>
        <w:rPr>
          <w:sz w:val="20"/>
          <w:szCs w:val="20"/>
          <w:color w:val="auto"/>
        </w:rPr>
      </w:pPr>
    </w:p>
    <w:p>
      <w:pPr>
        <w:ind w:left="8" w:right="140"/>
        <w:spacing w:after="0" w:line="300" w:lineRule="auto"/>
        <w:rPr>
          <w:sz w:val="20"/>
          <w:szCs w:val="20"/>
          <w:color w:val="auto"/>
        </w:rPr>
      </w:pPr>
      <w:r>
        <w:rPr>
          <w:rFonts w:ascii="Arial" w:cs="Arial" w:eastAsia="Arial" w:hAnsi="Arial"/>
          <w:sz w:val="13"/>
          <w:szCs w:val="13"/>
          <w:color w:val="auto"/>
        </w:rPr>
        <w:t>Total shareholders’ equity as of September 30, 2026 increased $8.9 million to $208.1 million from $199.2 million at June 30, 2026. Compared to September 30, 2025, total shareholders’ equity increased by $20.3 million from $187.8 million. The increases from June 30, 2026, and September 30, 2025 were primarily due to net income generated throughout the respective period, partially offset by repurchases of common stock under the Company’s stock repurchase program.</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365F91"/>
        </w:rPr>
        <w:t>Bank Regulatory Capital Ratios</w:t>
      </w:r>
    </w:p>
    <w:p>
      <w:pPr>
        <w:spacing w:after="0" w:line="35" w:lineRule="exact"/>
        <w:rPr>
          <w:sz w:val="20"/>
          <w:szCs w:val="20"/>
          <w:color w:val="auto"/>
        </w:rPr>
      </w:pPr>
    </w:p>
    <w:p>
      <w:pPr>
        <w:ind w:left="8" w:right="220"/>
        <w:spacing w:after="0" w:line="288" w:lineRule="auto"/>
        <w:rPr>
          <w:sz w:val="20"/>
          <w:szCs w:val="20"/>
          <w:color w:val="auto"/>
        </w:rPr>
      </w:pPr>
      <w:r>
        <w:rPr>
          <w:rFonts w:ascii="Arial" w:cs="Arial" w:eastAsia="Arial" w:hAnsi="Arial"/>
          <w:sz w:val="13"/>
          <w:szCs w:val="13"/>
          <w:color w:val="auto"/>
        </w:rPr>
        <w:t>The following table presents the leverage ratios for the Bank as of the dates indicated as determined under the Community Bank Leverage Ratio Framework of the Federal Deposit Insurance Corporation:</w:t>
      </w:r>
    </w:p>
    <w:tbl>
      <w:tblPr>
        <w:tblLayout w:type="fixed"/>
        <w:tblInd w:w="8" w:type="dxa"/>
        <w:tblCellMar>
          <w:top w:w="0" w:type="dxa"/>
          <w:left w:w="0" w:type="dxa"/>
          <w:bottom w:w="0" w:type="dxa"/>
          <w:right w:w="0" w:type="dxa"/>
        </w:tblCellMar>
      </w:tblPr>
      <w:tr>
        <w:trPr>
          <w:trHeight w:val="157"/>
        </w:trPr>
        <w:tc>
          <w:tcPr>
            <w:tcW w:w="3380" w:type="dxa"/>
            <w:vAlign w:val="bottom"/>
            <w:vMerge w:val="restart"/>
          </w:tcPr>
          <w:p>
            <w:pPr>
              <w:spacing w:after="0"/>
              <w:rPr>
                <w:sz w:val="20"/>
                <w:szCs w:val="20"/>
                <w:color w:val="auto"/>
              </w:rPr>
            </w:pPr>
            <w:r>
              <w:rPr>
                <w:rFonts w:ascii="Arial" w:cs="Arial" w:eastAsia="Arial" w:hAnsi="Arial"/>
                <w:sz w:val="12"/>
                <w:szCs w:val="12"/>
                <w:i w:val="1"/>
                <w:iCs w:val="1"/>
                <w:color w:val="auto"/>
              </w:rPr>
              <w:t>Capital Ratios</w:t>
            </w:r>
          </w:p>
        </w:tc>
        <w:tc>
          <w:tcPr>
            <w:tcW w:w="14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ind w:left="580"/>
              <w:spacing w:after="0"/>
              <w:rPr>
                <w:sz w:val="20"/>
                <w:szCs w:val="20"/>
                <w:color w:val="auto"/>
              </w:rPr>
            </w:pPr>
            <w:r>
              <w:rPr>
                <w:rFonts w:ascii="Arial" w:cs="Arial" w:eastAsia="Arial" w:hAnsi="Arial"/>
                <w:sz w:val="12"/>
                <w:szCs w:val="12"/>
                <w:b w:val="1"/>
                <w:bCs w:val="1"/>
                <w:color w:val="auto"/>
              </w:rPr>
              <w:t>As of</w:t>
            </w:r>
          </w:p>
        </w:tc>
        <w:tc>
          <w:tcPr>
            <w:tcW w:w="14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3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Well-Capitalized Requirement</w:t>
            </w:r>
            <w:r>
              <w:rPr>
                <w:rFonts w:ascii="Arial" w:cs="Arial" w:eastAsia="Arial" w:hAnsi="Arial"/>
                <w:sz w:val="15"/>
                <w:szCs w:val="15"/>
                <w:b w:val="1"/>
                <w:bCs w:val="1"/>
                <w:color w:val="auto"/>
                <w:w w:val="98"/>
                <w:vertAlign w:val="superscript"/>
              </w:rPr>
              <w:t>(1)</w:t>
            </w:r>
          </w:p>
        </w:tc>
        <w:tc>
          <w:tcPr>
            <w:tcW w:w="0" w:type="dxa"/>
            <w:vAlign w:val="bottom"/>
          </w:tcPr>
          <w:p>
            <w:pPr>
              <w:spacing w:after="0"/>
              <w:rPr>
                <w:sz w:val="1"/>
                <w:szCs w:val="1"/>
                <w:color w:val="auto"/>
              </w:rPr>
            </w:pPr>
          </w:p>
        </w:tc>
      </w:tr>
      <w:tr>
        <w:trPr>
          <w:trHeight w:val="142"/>
        </w:trPr>
        <w:tc>
          <w:tcPr>
            <w:tcW w:w="3380" w:type="dxa"/>
            <w:vAlign w:val="bottom"/>
            <w:tcBorders>
              <w:bottom w:val="single" w:sz="8" w:color="CCEEFF"/>
            </w:tcBorders>
            <w:vMerge w:val="continue"/>
          </w:tcPr>
          <w:p>
            <w:pPr>
              <w:spacing w:after="0"/>
              <w:rPr>
                <w:sz w:val="12"/>
                <w:szCs w:val="12"/>
                <w:color w:val="auto"/>
              </w:rPr>
            </w:pPr>
          </w:p>
        </w:tc>
        <w:tc>
          <w:tcPr>
            <w:tcW w:w="14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9/30/2026</w:t>
            </w:r>
          </w:p>
        </w:tc>
        <w:tc>
          <w:tcPr>
            <w:tcW w:w="60" w:type="dxa"/>
            <w:vAlign w:val="bottom"/>
            <w:tcBorders>
              <w:bottom w:val="single" w:sz="8" w:color="CCEEFF"/>
            </w:tcBorders>
          </w:tcPr>
          <w:p>
            <w:pPr>
              <w:spacing w:after="0"/>
              <w:rPr>
                <w:sz w:val="12"/>
                <w:szCs w:val="12"/>
                <w:color w:val="auto"/>
              </w:rPr>
            </w:pPr>
          </w:p>
        </w:tc>
        <w:tc>
          <w:tcPr>
            <w:tcW w:w="14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6/30/2026</w:t>
            </w:r>
          </w:p>
        </w:tc>
        <w:tc>
          <w:tcPr>
            <w:tcW w:w="80" w:type="dxa"/>
            <w:vAlign w:val="bottom"/>
            <w:tcBorders>
              <w:bottom w:val="single" w:sz="8" w:color="CCEEFF"/>
            </w:tcBorders>
          </w:tcPr>
          <w:p>
            <w:pPr>
              <w:spacing w:after="0"/>
              <w:rPr>
                <w:sz w:val="12"/>
                <w:szCs w:val="12"/>
                <w:color w:val="auto"/>
              </w:rPr>
            </w:pPr>
          </w:p>
        </w:tc>
        <w:tc>
          <w:tcPr>
            <w:tcW w:w="14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9/30/2025</w:t>
            </w:r>
          </w:p>
        </w:tc>
        <w:tc>
          <w:tcPr>
            <w:tcW w:w="60" w:type="dxa"/>
            <w:vAlign w:val="bottom"/>
            <w:tcBorders>
              <w:bottom w:val="single" w:sz="8" w:color="CCEEFF"/>
            </w:tcBorders>
          </w:tcPr>
          <w:p>
            <w:pPr>
              <w:spacing w:after="0"/>
              <w:rPr>
                <w:sz w:val="12"/>
                <w:szCs w:val="12"/>
                <w:color w:val="auto"/>
              </w:rPr>
            </w:pPr>
          </w:p>
        </w:tc>
        <w:tc>
          <w:tcPr>
            <w:tcW w:w="33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80" w:type="dxa"/>
            <w:vAlign w:val="bottom"/>
            <w:shd w:val="clear" w:color="auto" w:fill="CCEEFF"/>
          </w:tcPr>
          <w:p>
            <w:pPr>
              <w:spacing w:after="0"/>
              <w:rPr>
                <w:sz w:val="20"/>
                <w:szCs w:val="20"/>
                <w:color w:val="auto"/>
              </w:rPr>
            </w:pPr>
            <w:r>
              <w:rPr>
                <w:rFonts w:ascii="Arial" w:cs="Arial" w:eastAsia="Arial" w:hAnsi="Arial"/>
                <w:sz w:val="11"/>
                <w:szCs w:val="11"/>
                <w:color w:val="auto"/>
              </w:rPr>
              <w:t>Leverage ratio</w:t>
            </w:r>
          </w:p>
        </w:tc>
        <w:tc>
          <w:tcPr>
            <w:tcW w:w="146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rPr>
              <w:t>18.1%</w:t>
            </w:r>
          </w:p>
        </w:tc>
        <w:tc>
          <w:tcPr>
            <w:tcW w:w="6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rPr>
              <w:t>18.1%</w:t>
            </w: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rPr>
              <w:t>17.2%</w:t>
            </w:r>
          </w:p>
        </w:tc>
        <w:tc>
          <w:tcPr>
            <w:tcW w:w="60" w:type="dxa"/>
            <w:vAlign w:val="bottom"/>
            <w:shd w:val="clear" w:color="auto" w:fill="CCEEFF"/>
          </w:tcPr>
          <w:p>
            <w:pPr>
              <w:spacing w:after="0"/>
              <w:rPr>
                <w:sz w:val="12"/>
                <w:szCs w:val="12"/>
                <w:color w:val="auto"/>
              </w:rPr>
            </w:pPr>
          </w:p>
        </w:tc>
        <w:tc>
          <w:tcPr>
            <w:tcW w:w="3320" w:type="dxa"/>
            <w:vAlign w:val="bottom"/>
            <w:shd w:val="clear" w:color="auto" w:fill="CCEEFF"/>
          </w:tcPr>
          <w:p>
            <w:pPr>
              <w:jc w:val="right"/>
              <w:ind w:right="1460"/>
              <w:spacing w:after="0"/>
              <w:rPr>
                <w:sz w:val="20"/>
                <w:szCs w:val="20"/>
                <w:color w:val="auto"/>
              </w:rPr>
            </w:pPr>
            <w:r>
              <w:rPr>
                <w:rFonts w:ascii="Arial" w:cs="Arial" w:eastAsia="Arial" w:hAnsi="Arial"/>
                <w:sz w:val="12"/>
                <w:szCs w:val="12"/>
                <w:color w:val="auto"/>
              </w:rPr>
              <w:t>8.0%</w:t>
            </w: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08" w:hanging="108"/>
        <w:spacing w:after="0"/>
        <w:tabs>
          <w:tab w:leader="none" w:pos="108" w:val="left"/>
        </w:tabs>
        <w:numPr>
          <w:ilvl w:val="0"/>
          <w:numId w:val="7"/>
        </w:numPr>
        <w:rPr>
          <w:rFonts w:ascii="Arial" w:cs="Arial" w:eastAsia="Arial" w:hAnsi="Arial"/>
          <w:sz w:val="13"/>
          <w:szCs w:val="13"/>
          <w:color w:val="auto"/>
          <w:vertAlign w:val="superscript"/>
        </w:rPr>
      </w:pPr>
      <w:r>
        <w:rPr>
          <w:rFonts w:ascii="Arial" w:cs="Arial" w:eastAsia="Arial" w:hAnsi="Arial"/>
          <w:sz w:val="10"/>
          <w:szCs w:val="10"/>
          <w:color w:val="auto"/>
        </w:rPr>
        <w:t>The well-capitalized requirement was 9.0% until July 1, 2026, at which time it was reduced to 8.0%.</w:t>
      </w:r>
    </w:p>
    <w:p>
      <w:pPr>
        <w:spacing w:after="0" w:line="150" w:lineRule="exact"/>
        <w:rPr>
          <w:sz w:val="20"/>
          <w:szCs w:val="20"/>
          <w:color w:val="auto"/>
        </w:rPr>
      </w:pPr>
    </w:p>
    <w:p>
      <w:pPr>
        <w:ind w:left="8" w:right="240"/>
        <w:spacing w:after="0" w:line="300" w:lineRule="auto"/>
        <w:rPr>
          <w:sz w:val="20"/>
          <w:szCs w:val="20"/>
          <w:color w:val="auto"/>
        </w:rPr>
      </w:pPr>
      <w:r>
        <w:rPr>
          <w:rFonts w:ascii="Arial" w:cs="Arial" w:eastAsia="Arial" w:hAnsi="Arial"/>
          <w:sz w:val="13"/>
          <w:szCs w:val="13"/>
          <w:color w:val="auto"/>
        </w:rPr>
        <w:t>The leverage ratio was unchanged from the prior quarter, as growth in capital from earnings was offset by growth in average assets. The increase from the prior year period resulted primarily from growth in capital from earnings exceeding the relative growth in average assets. The Bank’s capital levels as of September 30, 2026 remain significantly above the regulatory well-capitalized guidelines as of September 30, 2026.</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365F91"/>
        </w:rPr>
        <w:t>Share Repurchase Program</w:t>
      </w:r>
    </w:p>
    <w:p>
      <w:pPr>
        <w:spacing w:after="0" w:line="35" w:lineRule="exact"/>
        <w:rPr>
          <w:sz w:val="20"/>
          <w:szCs w:val="20"/>
          <w:color w:val="auto"/>
        </w:rPr>
      </w:pPr>
    </w:p>
    <w:p>
      <w:pPr>
        <w:ind w:left="8" w:right="40"/>
        <w:spacing w:after="0" w:line="285" w:lineRule="auto"/>
        <w:rPr>
          <w:sz w:val="20"/>
          <w:szCs w:val="20"/>
          <w:color w:val="auto"/>
        </w:rPr>
      </w:pPr>
      <w:r>
        <w:rPr>
          <w:rFonts w:ascii="Arial" w:cs="Arial" w:eastAsia="Arial" w:hAnsi="Arial"/>
          <w:sz w:val="13"/>
          <w:szCs w:val="13"/>
          <w:color w:val="auto"/>
        </w:rPr>
        <w:t>During the three months ended September 30, 2026, the Company repurchased 159,099 shares for $2.2 million under the Company’s share repurchase program announced in May 2026, which provides for the purchase of up to 685,000 of the Company’s issued and outstanding shares, from time to time, on or before the program's expiration date, in the open market, in privately-negotiated transactions, or otherwise, subject to applicable laws and regulations. As of September 30, 2026, the Company has repurchased an aggregate amount of 188,835 shares under the plan since its inception.</w:t>
      </w: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88"/>
          </w:cols>
          <w:pgMar w:left="292" w:top="566"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365F91"/>
        </w:rPr>
        <w:t>Asset Quality</w:t>
      </w:r>
    </w:p>
    <w:p>
      <w:pPr>
        <w:spacing w:after="0" w:line="35" w:lineRule="exact"/>
        <w:rPr>
          <w:sz w:val="20"/>
          <w:szCs w:val="20"/>
          <w:color w:val="auto"/>
        </w:rPr>
      </w:pPr>
    </w:p>
    <w:p>
      <w:pPr>
        <w:ind w:right="120"/>
        <w:spacing w:after="0" w:line="284" w:lineRule="auto"/>
        <w:rPr>
          <w:sz w:val="20"/>
          <w:szCs w:val="20"/>
          <w:color w:val="auto"/>
        </w:rPr>
      </w:pPr>
      <w:r>
        <w:rPr>
          <w:rFonts w:ascii="Arial" w:cs="Arial" w:eastAsia="Arial" w:hAnsi="Arial"/>
          <w:sz w:val="13"/>
          <w:szCs w:val="13"/>
          <w:color w:val="auto"/>
        </w:rPr>
        <w:t>The recorded balances of nonperforming loans were $37.1 million, or 6.3% of total loans held-for-investment, as of September 30, 2026, compared to $37.7 million, or 7.2% of total loans held-for-investment, as of June 30, 2026 and $43.1 million, or 7.7% of total loans held-for-investment, as of September 30, 2025. The balances of nonperforming loans guaranteed by the SBA were $17.7 million, $19.1 million, and $23.6 million as of September 30, 2026, June 30, 2026, and September 30, 2025, respectively. The decrease in nonperforming loans from the prior quarter and prior year period was primarily attributable to paydowns resulting from the sale of real property collateralizing nonperforming SBA 7(a) and commercial real estate loans. The decrease in nonperforming loans as a percentage of total loans held-for-investment from the prior quarter also reflects growth in credit-enhanced loans held-for-investment. The Company’s allowance for credit losses to total loans held-for-investment was 13.6% as of September 30, 2026 compared to 8.3% as of June 30, 2026 and 4.6% as of September 30, 2025. The increase in the ratio from the prior quarter and prior year period was primarily due to the provision for credit losses related to the growth of the credit enhanced loan balances.</w:t>
      </w:r>
    </w:p>
    <w:p>
      <w:pPr>
        <w:spacing w:after="0" w:line="145" w:lineRule="exact"/>
        <w:rPr>
          <w:sz w:val="20"/>
          <w:szCs w:val="20"/>
          <w:color w:val="auto"/>
        </w:rPr>
      </w:pPr>
    </w:p>
    <w:p>
      <w:pPr>
        <w:ind w:right="20"/>
        <w:spacing w:after="0" w:line="287" w:lineRule="auto"/>
        <w:rPr>
          <w:sz w:val="20"/>
          <w:szCs w:val="20"/>
          <w:color w:val="auto"/>
        </w:rPr>
      </w:pPr>
      <w:r>
        <w:rPr>
          <w:rFonts w:ascii="Arial" w:cs="Arial" w:eastAsia="Arial" w:hAnsi="Arial"/>
          <w:sz w:val="13"/>
          <w:szCs w:val="13"/>
          <w:color w:val="auto"/>
        </w:rPr>
        <w:t>The Company’s net charge-offs were $10.6 million, $11.4 million, and $3.1 million for the three months ended September 30, 2026, June 30, 2026, and September 30, 2025, respectively. The decrease in net charge-offs from the prior quarter resulted primarily from lower charge-offs in the traditional bank portfolio, partially offset by higher charge-offs associated with credit-enhanced Strategic Program loans. The increase from the third quarter of 2025 resulted primarily from higher charge-offs associated with credit-enhanced Strategic Program loans as that program increased in size and matured. Charge-offs for the traditional bank portfolio totaled $1.1 million in the third quarter compared to $3.3 million in the prior quarter and $0.9 million in the third quarter of 2025. The decrease from the prior quarter reflects lower charge-offs on owner-occupied commercial real estate and commercial and industrial loans, while the increase from the prior year period primarily reflects charge-offs on owner-occupied commercial real estate loans resulting from the resolution of specific nonperforming loans.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a summary of changes in the allowance for credit losses and credit quality data for the periods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220" w:type="dxa"/>
            <w:vAlign w:val="bottom"/>
            <w:vMerge w:val="restart"/>
          </w:tcPr>
          <w:p>
            <w:pPr>
              <w:spacing w:after="0"/>
              <w:rPr>
                <w:sz w:val="20"/>
                <w:szCs w:val="20"/>
                <w:color w:val="auto"/>
              </w:rPr>
            </w:pPr>
            <w:r>
              <w:rPr>
                <w:rFonts w:ascii="Arial" w:cs="Arial" w:eastAsia="Arial" w:hAnsi="Arial"/>
                <w:sz w:val="12"/>
                <w:szCs w:val="12"/>
                <w:i w:val="1"/>
                <w:iCs w:val="1"/>
                <w:color w:val="auto"/>
              </w:rPr>
              <w:t>($ in thousands)</w:t>
            </w: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rPr>
              <w:t>Three Months Ended</w:t>
            </w: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220" w:type="dxa"/>
            <w:vAlign w:val="bottom"/>
            <w:tcBorders>
              <w:bottom w:val="single" w:sz="8" w:color="CCEEFF"/>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9/30/2026</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6/30/2026</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9/30/2025</w:t>
            </w:r>
          </w:p>
        </w:tc>
        <w:tc>
          <w:tcPr>
            <w:tcW w:w="0" w:type="dxa"/>
            <w:vAlign w:val="bottom"/>
          </w:tcPr>
          <w:p>
            <w:pPr>
              <w:spacing w:after="0"/>
              <w:rPr>
                <w:sz w:val="1"/>
                <w:szCs w:val="1"/>
                <w:color w:val="auto"/>
              </w:rPr>
            </w:pPr>
          </w:p>
        </w:tc>
      </w:tr>
      <w:tr>
        <w:trPr>
          <w:trHeight w:val="160"/>
        </w:trPr>
        <w:tc>
          <w:tcPr>
            <w:tcW w:w="7220" w:type="dxa"/>
            <w:vAlign w:val="bottom"/>
            <w:shd w:val="clear" w:color="auto" w:fill="CCEEFF"/>
          </w:tcPr>
          <w:p>
            <w:pPr>
              <w:spacing w:after="0"/>
              <w:rPr>
                <w:sz w:val="20"/>
                <w:szCs w:val="20"/>
                <w:color w:val="auto"/>
              </w:rPr>
            </w:pPr>
            <w:r>
              <w:rPr>
                <w:rFonts w:ascii="Arial" w:cs="Arial" w:eastAsia="Arial" w:hAnsi="Arial"/>
                <w:sz w:val="12"/>
                <w:szCs w:val="12"/>
                <w:color w:val="auto"/>
              </w:rPr>
              <w:t>Allowance for credit losses:</w:t>
            </w: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220" w:type="dxa"/>
            <w:vAlign w:val="bottom"/>
          </w:tcPr>
          <w:p>
            <w:pPr>
              <w:spacing w:after="0"/>
              <w:rPr>
                <w:sz w:val="20"/>
                <w:szCs w:val="20"/>
                <w:color w:val="auto"/>
              </w:rPr>
            </w:pPr>
            <w:r>
              <w:rPr>
                <w:rFonts w:ascii="Arial" w:cs="Arial" w:eastAsia="Arial" w:hAnsi="Arial"/>
                <w:sz w:val="12"/>
                <w:szCs w:val="12"/>
                <w:color w:val="auto"/>
              </w:rPr>
              <w:t>Beginning balance</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43,851</w:t>
            </w:r>
          </w:p>
        </w:tc>
        <w:tc>
          <w:tcPr>
            <w:tcW w:w="80" w:type="dxa"/>
            <w:vAlign w:val="bottom"/>
          </w:tcPr>
          <w:p>
            <w:pPr>
              <w:spacing w:after="0"/>
              <w:rPr>
                <w:sz w:val="15"/>
                <w:szCs w:val="15"/>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34,382</w:t>
            </w:r>
          </w:p>
        </w:tc>
        <w:tc>
          <w:tcPr>
            <w:tcW w:w="80" w:type="dxa"/>
            <w:vAlign w:val="bottom"/>
          </w:tcPr>
          <w:p>
            <w:pPr>
              <w:spacing w:after="0"/>
              <w:rPr>
                <w:sz w:val="15"/>
                <w:szCs w:val="15"/>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16,247</w:t>
            </w:r>
          </w:p>
        </w:tc>
        <w:tc>
          <w:tcPr>
            <w:tcW w:w="0" w:type="dxa"/>
            <w:vAlign w:val="bottom"/>
          </w:tcPr>
          <w:p>
            <w:pPr>
              <w:spacing w:after="0"/>
              <w:rPr>
                <w:sz w:val="1"/>
                <w:szCs w:val="1"/>
                <w:color w:val="auto"/>
              </w:rPr>
            </w:pPr>
          </w:p>
        </w:tc>
      </w:tr>
      <w:tr>
        <w:trPr>
          <w:trHeight w:val="180"/>
        </w:trPr>
        <w:tc>
          <w:tcPr>
            <w:tcW w:w="7220" w:type="dxa"/>
            <w:vAlign w:val="bottom"/>
            <w:shd w:val="clear" w:color="auto" w:fill="CCEEFF"/>
          </w:tcPr>
          <w:p>
            <w:pPr>
              <w:spacing w:after="0"/>
              <w:rPr>
                <w:sz w:val="20"/>
                <w:szCs w:val="20"/>
                <w:color w:val="auto"/>
              </w:rPr>
            </w:pPr>
            <w:r>
              <w:rPr>
                <w:rFonts w:ascii="Arial" w:cs="Arial" w:eastAsia="Arial" w:hAnsi="Arial"/>
                <w:sz w:val="12"/>
                <w:szCs w:val="12"/>
                <w:color w:val="auto"/>
              </w:rPr>
              <w:t>Provision for credit losses</w:t>
            </w:r>
            <w:r>
              <w:rPr>
                <w:rFonts w:ascii="Arial" w:cs="Arial" w:eastAsia="Arial" w:hAnsi="Arial"/>
                <w:sz w:val="15"/>
                <w:szCs w:val="15"/>
                <w:color w:val="auto"/>
                <w:vertAlign w:val="superscript"/>
              </w:rPr>
              <w:t>(1)</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46,590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20,819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12,658</w:t>
            </w:r>
          </w:p>
        </w:tc>
        <w:tc>
          <w:tcPr>
            <w:tcW w:w="0" w:type="dxa"/>
            <w:vAlign w:val="bottom"/>
          </w:tcPr>
          <w:p>
            <w:pPr>
              <w:spacing w:after="0"/>
              <w:rPr>
                <w:sz w:val="1"/>
                <w:szCs w:val="1"/>
                <w:color w:val="auto"/>
              </w:rPr>
            </w:pPr>
          </w:p>
        </w:tc>
      </w:tr>
      <w:tr>
        <w:trPr>
          <w:trHeight w:val="175"/>
        </w:trPr>
        <w:tc>
          <w:tcPr>
            <w:tcW w:w="7220" w:type="dxa"/>
            <w:vAlign w:val="bottom"/>
          </w:tcPr>
          <w:p>
            <w:pPr>
              <w:spacing w:after="0"/>
              <w:rPr>
                <w:sz w:val="20"/>
                <w:szCs w:val="20"/>
                <w:color w:val="auto"/>
              </w:rPr>
            </w:pPr>
            <w:r>
              <w:rPr>
                <w:rFonts w:ascii="Arial" w:cs="Arial" w:eastAsia="Arial" w:hAnsi="Arial"/>
                <w:sz w:val="12"/>
                <w:szCs w:val="12"/>
                <w:b w:val="1"/>
                <w:bCs w:val="1"/>
                <w:color w:val="auto"/>
              </w:rPr>
              <w:t>Charge-offs</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7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Construction and land development</w:t>
            </w: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7220" w:type="dxa"/>
            <w:vAlign w:val="bottom"/>
          </w:tcPr>
          <w:p>
            <w:pPr>
              <w:ind w:left="120"/>
              <w:spacing w:after="0"/>
              <w:rPr>
                <w:sz w:val="20"/>
                <w:szCs w:val="20"/>
                <w:color w:val="auto"/>
              </w:rPr>
            </w:pPr>
            <w:r>
              <w:rPr>
                <w:rFonts w:ascii="Arial" w:cs="Arial" w:eastAsia="Arial" w:hAnsi="Arial"/>
                <w:sz w:val="12"/>
                <w:szCs w:val="12"/>
                <w:color w:val="auto"/>
              </w:rPr>
              <w:t>Residential real estate</w:t>
            </w: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(98)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(153)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53"/>
        </w:trPr>
        <w:tc>
          <w:tcPr>
            <w:tcW w:w="7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Residential real estate multifamily</w:t>
            </w: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7220" w:type="dxa"/>
            <w:vAlign w:val="bottom"/>
          </w:tcPr>
          <w:p>
            <w:pPr>
              <w:ind w:left="120"/>
              <w:spacing w:after="0"/>
              <w:rPr>
                <w:sz w:val="20"/>
                <w:szCs w:val="20"/>
                <w:color w:val="auto"/>
              </w:rPr>
            </w:pPr>
            <w:r>
              <w:rPr>
                <w:rFonts w:ascii="Arial" w:cs="Arial" w:eastAsia="Arial" w:hAnsi="Arial"/>
                <w:sz w:val="12"/>
                <w:szCs w:val="12"/>
                <w:color w:val="auto"/>
              </w:rPr>
              <w:t>Commercial real estate:</w:t>
            </w: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Owner occupied</w:t>
            </w: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(2,258)</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(258)</w:t>
            </w:r>
          </w:p>
        </w:tc>
        <w:tc>
          <w:tcPr>
            <w:tcW w:w="0" w:type="dxa"/>
            <w:vAlign w:val="bottom"/>
          </w:tcPr>
          <w:p>
            <w:pPr>
              <w:spacing w:after="0"/>
              <w:rPr>
                <w:sz w:val="1"/>
                <w:szCs w:val="1"/>
                <w:color w:val="auto"/>
              </w:rPr>
            </w:pPr>
          </w:p>
        </w:tc>
      </w:tr>
      <w:tr>
        <w:trPr>
          <w:trHeight w:val="153"/>
        </w:trPr>
        <w:tc>
          <w:tcPr>
            <w:tcW w:w="7220" w:type="dxa"/>
            <w:vAlign w:val="bottom"/>
          </w:tcPr>
          <w:p>
            <w:pPr>
              <w:ind w:left="180"/>
              <w:spacing w:after="0"/>
              <w:rPr>
                <w:sz w:val="20"/>
                <w:szCs w:val="20"/>
                <w:color w:val="auto"/>
              </w:rPr>
            </w:pPr>
            <w:r>
              <w:rPr>
                <w:rFonts w:ascii="Arial" w:cs="Arial" w:eastAsia="Arial" w:hAnsi="Arial"/>
                <w:sz w:val="12"/>
                <w:szCs w:val="12"/>
                <w:color w:val="auto"/>
              </w:rPr>
              <w:t>Non-owner occupied</w:t>
            </w:r>
          </w:p>
        </w:tc>
        <w:tc>
          <w:tcPr>
            <w:tcW w:w="2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7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Commercial and industrial</w:t>
            </w: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(763)</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(409)</w:t>
            </w:r>
          </w:p>
        </w:tc>
        <w:tc>
          <w:tcPr>
            <w:tcW w:w="0" w:type="dxa"/>
            <w:vAlign w:val="bottom"/>
          </w:tcPr>
          <w:p>
            <w:pPr>
              <w:spacing w:after="0"/>
              <w:rPr>
                <w:sz w:val="1"/>
                <w:szCs w:val="1"/>
                <w:color w:val="auto"/>
              </w:rPr>
            </w:pPr>
          </w:p>
        </w:tc>
      </w:tr>
      <w:tr>
        <w:trPr>
          <w:trHeight w:val="153"/>
        </w:trPr>
        <w:tc>
          <w:tcPr>
            <w:tcW w:w="7220" w:type="dxa"/>
            <w:vAlign w:val="bottom"/>
          </w:tcPr>
          <w:p>
            <w:pPr>
              <w:ind w:left="120"/>
              <w:spacing w:after="0"/>
              <w:rPr>
                <w:sz w:val="20"/>
                <w:szCs w:val="20"/>
                <w:color w:val="auto"/>
              </w:rPr>
            </w:pPr>
            <w:r>
              <w:rPr>
                <w:rFonts w:ascii="Arial" w:cs="Arial" w:eastAsia="Arial" w:hAnsi="Arial"/>
                <w:sz w:val="12"/>
                <w:szCs w:val="12"/>
                <w:color w:val="auto"/>
              </w:rPr>
              <w:t>Consumer</w:t>
            </w: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(119)</w:t>
            </w:r>
          </w:p>
        </w:tc>
        <w:tc>
          <w:tcPr>
            <w:tcW w:w="0" w:type="dxa"/>
            <w:vAlign w:val="bottom"/>
          </w:tcPr>
          <w:p>
            <w:pPr>
              <w:spacing w:after="0"/>
              <w:rPr>
                <w:sz w:val="1"/>
                <w:szCs w:val="1"/>
                <w:color w:val="auto"/>
              </w:rPr>
            </w:pPr>
          </w:p>
        </w:tc>
      </w:tr>
      <w:tr>
        <w:trPr>
          <w:trHeight w:val="153"/>
        </w:trPr>
        <w:tc>
          <w:tcPr>
            <w:tcW w:w="7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Lease financing receivables</w:t>
            </w: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w:t>
            </w:r>
          </w:p>
        </w:tc>
        <w:tc>
          <w:tcPr>
            <w:tcW w:w="0" w:type="dxa"/>
            <w:vAlign w:val="bottom"/>
          </w:tcPr>
          <w:p>
            <w:pPr>
              <w:spacing w:after="0"/>
              <w:rPr>
                <w:sz w:val="1"/>
                <w:szCs w:val="1"/>
                <w:color w:val="auto"/>
              </w:rPr>
            </w:pPr>
          </w:p>
        </w:tc>
      </w:tr>
      <w:tr>
        <w:trPr>
          <w:trHeight w:val="153"/>
        </w:trPr>
        <w:tc>
          <w:tcPr>
            <w:tcW w:w="7220" w:type="dxa"/>
            <w:vAlign w:val="bottom"/>
          </w:tcPr>
          <w:p>
            <w:pPr>
              <w:ind w:left="120"/>
              <w:spacing w:after="0"/>
              <w:rPr>
                <w:sz w:val="20"/>
                <w:szCs w:val="20"/>
                <w:color w:val="auto"/>
              </w:rPr>
            </w:pPr>
            <w:r>
              <w:rPr>
                <w:rFonts w:ascii="Arial" w:cs="Arial" w:eastAsia="Arial" w:hAnsi="Arial"/>
                <w:sz w:val="12"/>
                <w:szCs w:val="12"/>
                <w:color w:val="auto"/>
              </w:rPr>
              <w:t>Strategic Program loans:</w:t>
            </w: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20" w:type="dxa"/>
            <w:vAlign w:val="bottom"/>
            <w:shd w:val="clear" w:color="auto" w:fill="CCEEFF"/>
          </w:tcPr>
          <w:p>
            <w:pPr>
              <w:ind w:left="200"/>
              <w:spacing w:after="0"/>
              <w:rPr>
                <w:sz w:val="20"/>
                <w:szCs w:val="20"/>
                <w:color w:val="auto"/>
              </w:rPr>
            </w:pPr>
            <w:r>
              <w:rPr>
                <w:rFonts w:ascii="Arial" w:cs="Arial" w:eastAsia="Arial" w:hAnsi="Arial"/>
                <w:sz w:val="12"/>
                <w:szCs w:val="12"/>
                <w:color w:val="auto"/>
              </w:rPr>
              <w:t>Strategic Program loans - with credit enhancement</w:t>
            </w: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(8,216)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(6,224)</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w:t>
            </w:r>
          </w:p>
        </w:tc>
        <w:tc>
          <w:tcPr>
            <w:tcW w:w="0" w:type="dxa"/>
            <w:vAlign w:val="bottom"/>
          </w:tcPr>
          <w:p>
            <w:pPr>
              <w:spacing w:after="0"/>
              <w:rPr>
                <w:sz w:val="1"/>
                <w:szCs w:val="1"/>
                <w:color w:val="auto"/>
              </w:rPr>
            </w:pPr>
          </w:p>
        </w:tc>
      </w:tr>
      <w:tr>
        <w:trPr>
          <w:trHeight w:val="153"/>
        </w:trPr>
        <w:tc>
          <w:tcPr>
            <w:tcW w:w="7220" w:type="dxa"/>
            <w:vAlign w:val="bottom"/>
          </w:tcPr>
          <w:p>
            <w:pPr>
              <w:ind w:left="200"/>
              <w:spacing w:after="0"/>
              <w:rPr>
                <w:sz w:val="20"/>
                <w:szCs w:val="20"/>
                <w:color w:val="auto"/>
              </w:rPr>
            </w:pPr>
            <w:r>
              <w:rPr>
                <w:rFonts w:ascii="Arial" w:cs="Arial" w:eastAsia="Arial" w:hAnsi="Arial"/>
                <w:sz w:val="12"/>
                <w:szCs w:val="12"/>
                <w:color w:val="auto"/>
              </w:rPr>
              <w:t>Strategic Program loans - without credit enhancement</w:t>
            </w: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(2,528)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(2,677)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(2,641)</w:t>
            </w:r>
          </w:p>
        </w:tc>
        <w:tc>
          <w:tcPr>
            <w:tcW w:w="0" w:type="dxa"/>
            <w:vAlign w:val="bottom"/>
          </w:tcPr>
          <w:p>
            <w:pPr>
              <w:spacing w:after="0"/>
              <w:rPr>
                <w:sz w:val="1"/>
                <w:szCs w:val="1"/>
                <w:color w:val="auto"/>
              </w:rPr>
            </w:pPr>
          </w:p>
        </w:tc>
      </w:tr>
      <w:tr>
        <w:trPr>
          <w:trHeight w:val="180"/>
        </w:trPr>
        <w:tc>
          <w:tcPr>
            <w:tcW w:w="72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Recoveries</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7220" w:type="dxa"/>
            <w:vAlign w:val="bottom"/>
          </w:tcPr>
          <w:p>
            <w:pPr>
              <w:ind w:left="120"/>
              <w:spacing w:after="0"/>
              <w:rPr>
                <w:sz w:val="20"/>
                <w:szCs w:val="20"/>
                <w:color w:val="auto"/>
              </w:rPr>
            </w:pPr>
            <w:r>
              <w:rPr>
                <w:rFonts w:ascii="Arial" w:cs="Arial" w:eastAsia="Arial" w:hAnsi="Arial"/>
                <w:sz w:val="12"/>
                <w:szCs w:val="12"/>
                <w:color w:val="auto"/>
              </w:rPr>
              <w:t>Construction and land development</w:t>
            </w:r>
          </w:p>
        </w:tc>
        <w:tc>
          <w:tcPr>
            <w:tcW w:w="2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7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Residential real estate</w:t>
            </w: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59"/>
        </w:trPr>
        <w:tc>
          <w:tcPr>
            <w:tcW w:w="7220" w:type="dxa"/>
            <w:vAlign w:val="bottom"/>
          </w:tcPr>
          <w:p>
            <w:pPr>
              <w:ind w:left="120"/>
              <w:spacing w:after="0"/>
              <w:rPr>
                <w:sz w:val="20"/>
                <w:szCs w:val="20"/>
                <w:color w:val="auto"/>
              </w:rPr>
            </w:pPr>
            <w:r>
              <w:rPr>
                <w:rFonts w:ascii="Arial" w:cs="Arial" w:eastAsia="Arial" w:hAnsi="Arial"/>
                <w:sz w:val="12"/>
                <w:szCs w:val="12"/>
                <w:color w:val="auto"/>
              </w:rPr>
              <w:t>Residential real estate multifamily</w:t>
            </w:r>
          </w:p>
        </w:tc>
        <w:tc>
          <w:tcPr>
            <w:tcW w:w="2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80"/>
          </w:cols>
          <w:pgMar w:left="300" w:top="571" w:right="319" w:bottom="1440" w:gutter="0" w:footer="0" w:header="0"/>
        </w:sectPr>
      </w:pPr>
    </w:p>
    <w:bookmarkStart w:id="11" w:name="page12"/>
    <w:bookmarkEnd w:id="11"/>
    <w:tbl>
      <w:tblPr>
        <w:tblLayout w:type="fixed"/>
        <w:tblInd w:w="8" w:type="dxa"/>
        <w:tblCellMar>
          <w:top w:w="0" w:type="dxa"/>
          <w:left w:w="0" w:type="dxa"/>
          <w:bottom w:w="0" w:type="dxa"/>
          <w:right w:w="0" w:type="dxa"/>
        </w:tblCellMar>
      </w:tblPr>
      <w:tr>
        <w:trPr>
          <w:trHeight w:val="153"/>
        </w:trPr>
        <w:tc>
          <w:tcPr>
            <w:tcW w:w="69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Commercial real estate:</w:t>
            </w:r>
          </w:p>
        </w:tc>
        <w:tc>
          <w:tcPr>
            <w:tcW w:w="4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53"/>
        </w:trPr>
        <w:tc>
          <w:tcPr>
            <w:tcW w:w="6980" w:type="dxa"/>
            <w:vAlign w:val="bottom"/>
          </w:tcPr>
          <w:p>
            <w:pPr>
              <w:ind w:left="180"/>
              <w:spacing w:after="0"/>
              <w:rPr>
                <w:sz w:val="20"/>
                <w:szCs w:val="20"/>
                <w:color w:val="auto"/>
              </w:rPr>
            </w:pPr>
            <w:r>
              <w:rPr>
                <w:rFonts w:ascii="Arial" w:cs="Arial" w:eastAsia="Arial" w:hAnsi="Arial"/>
                <w:sz w:val="12"/>
                <w:szCs w:val="12"/>
                <w:color w:val="auto"/>
              </w:rPr>
              <w:t>Owner occupied</w:t>
            </w:r>
          </w:p>
        </w:tc>
        <w:tc>
          <w:tcPr>
            <w:tcW w:w="440" w:type="dxa"/>
            <w:vAlign w:val="bottom"/>
          </w:tcPr>
          <w:p>
            <w:pPr>
              <w:spacing w:after="0"/>
              <w:rPr>
                <w:sz w:val="13"/>
                <w:szCs w:val="13"/>
                <w:color w:val="auto"/>
              </w:rPr>
            </w:pPr>
          </w:p>
        </w:tc>
        <w:tc>
          <w:tcPr>
            <w:tcW w:w="940" w:type="dxa"/>
            <w:vAlign w:val="bottom"/>
          </w:tcPr>
          <w:p>
            <w:pPr>
              <w:jc w:val="right"/>
              <w:ind w:right="100"/>
              <w:spacing w:after="0"/>
              <w:rPr>
                <w:sz w:val="20"/>
                <w:szCs w:val="20"/>
                <w:color w:val="auto"/>
              </w:rPr>
            </w:pPr>
            <w:r>
              <w:rPr>
                <w:rFonts w:ascii="Arial" w:cs="Arial" w:eastAsia="Arial" w:hAnsi="Arial"/>
                <w:sz w:val="12"/>
                <w:szCs w:val="12"/>
                <w:color w:val="auto"/>
              </w:rPr>
              <w:t>423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ind w:right="100"/>
              <w:spacing w:after="0"/>
              <w:rPr>
                <w:sz w:val="20"/>
                <w:szCs w:val="20"/>
                <w:color w:val="auto"/>
              </w:rPr>
            </w:pPr>
            <w:r>
              <w:rPr>
                <w:rFonts w:ascii="Arial" w:cs="Arial" w:eastAsia="Arial" w:hAnsi="Arial"/>
                <w:sz w:val="12"/>
                <w:szCs w:val="12"/>
                <w:color w:val="auto"/>
              </w:rPr>
              <w:t>333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jc w:val="right"/>
              <w:ind w:right="100"/>
              <w:spacing w:after="0"/>
              <w:rPr>
                <w:sz w:val="20"/>
                <w:szCs w:val="20"/>
                <w:color w:val="auto"/>
              </w:rPr>
            </w:pPr>
            <w:r>
              <w:rPr>
                <w:rFonts w:ascii="Arial" w:cs="Arial" w:eastAsia="Arial" w:hAnsi="Arial"/>
                <w:sz w:val="12"/>
                <w:szCs w:val="12"/>
                <w:color w:val="auto"/>
              </w:rPr>
              <w:t>90</w:t>
            </w:r>
          </w:p>
        </w:tc>
      </w:tr>
      <w:tr>
        <w:trPr>
          <w:trHeight w:val="153"/>
        </w:trPr>
        <w:tc>
          <w:tcPr>
            <w:tcW w:w="69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Non-owner occupied</w:t>
            </w:r>
          </w:p>
        </w:tc>
        <w:tc>
          <w:tcPr>
            <w:tcW w:w="44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53"/>
        </w:trPr>
        <w:tc>
          <w:tcPr>
            <w:tcW w:w="6980" w:type="dxa"/>
            <w:vAlign w:val="bottom"/>
          </w:tcPr>
          <w:p>
            <w:pPr>
              <w:ind w:left="120"/>
              <w:spacing w:after="0"/>
              <w:rPr>
                <w:sz w:val="20"/>
                <w:szCs w:val="20"/>
                <w:color w:val="auto"/>
              </w:rPr>
            </w:pPr>
            <w:r>
              <w:rPr>
                <w:rFonts w:ascii="Arial" w:cs="Arial" w:eastAsia="Arial" w:hAnsi="Arial"/>
                <w:sz w:val="12"/>
                <w:szCs w:val="12"/>
                <w:color w:val="auto"/>
              </w:rPr>
              <w:t>Commercial and industrial</w:t>
            </w:r>
          </w:p>
        </w:tc>
        <w:tc>
          <w:tcPr>
            <w:tcW w:w="440" w:type="dxa"/>
            <w:vAlign w:val="bottom"/>
          </w:tcPr>
          <w:p>
            <w:pPr>
              <w:spacing w:after="0"/>
              <w:rPr>
                <w:sz w:val="13"/>
                <w:szCs w:val="13"/>
                <w:color w:val="auto"/>
              </w:rPr>
            </w:pPr>
          </w:p>
        </w:tc>
        <w:tc>
          <w:tcPr>
            <w:tcW w:w="940" w:type="dxa"/>
            <w:vAlign w:val="bottom"/>
          </w:tcPr>
          <w:p>
            <w:pPr>
              <w:jc w:val="right"/>
              <w:ind w:right="100"/>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ind w:right="100"/>
              <w:spacing w:after="0"/>
              <w:rPr>
                <w:sz w:val="20"/>
                <w:szCs w:val="20"/>
                <w:color w:val="auto"/>
              </w:rPr>
            </w:pPr>
            <w:r>
              <w:rPr>
                <w:rFonts w:ascii="Arial" w:cs="Arial" w:eastAsia="Arial" w:hAnsi="Arial"/>
                <w:sz w:val="12"/>
                <w:szCs w:val="12"/>
                <w:color w:val="auto"/>
              </w:rPr>
              <w:t>33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jc w:val="right"/>
              <w:ind w:right="100"/>
              <w:spacing w:after="0"/>
              <w:rPr>
                <w:sz w:val="20"/>
                <w:szCs w:val="20"/>
                <w:color w:val="auto"/>
              </w:rPr>
            </w:pPr>
            <w:r>
              <w:rPr>
                <w:rFonts w:ascii="Arial" w:cs="Arial" w:eastAsia="Arial" w:hAnsi="Arial"/>
                <w:sz w:val="12"/>
                <w:szCs w:val="12"/>
                <w:color w:val="auto"/>
              </w:rPr>
              <w:t>1</w:t>
            </w:r>
          </w:p>
        </w:tc>
      </w:tr>
      <w:tr>
        <w:trPr>
          <w:trHeight w:val="153"/>
        </w:trPr>
        <w:tc>
          <w:tcPr>
            <w:tcW w:w="69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Consumer</w:t>
            </w:r>
          </w:p>
        </w:tc>
        <w:tc>
          <w:tcPr>
            <w:tcW w:w="44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7</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w:t>
            </w:r>
          </w:p>
        </w:tc>
      </w:tr>
      <w:tr>
        <w:trPr>
          <w:trHeight w:val="153"/>
        </w:trPr>
        <w:tc>
          <w:tcPr>
            <w:tcW w:w="6980" w:type="dxa"/>
            <w:vAlign w:val="bottom"/>
          </w:tcPr>
          <w:p>
            <w:pPr>
              <w:ind w:left="120"/>
              <w:spacing w:after="0"/>
              <w:rPr>
                <w:sz w:val="20"/>
                <w:szCs w:val="20"/>
                <w:color w:val="auto"/>
              </w:rPr>
            </w:pPr>
            <w:r>
              <w:rPr>
                <w:rFonts w:ascii="Arial" w:cs="Arial" w:eastAsia="Arial" w:hAnsi="Arial"/>
                <w:sz w:val="12"/>
                <w:szCs w:val="12"/>
                <w:color w:val="auto"/>
              </w:rPr>
              <w:t>Lease financing receivables</w:t>
            </w:r>
          </w:p>
        </w:tc>
        <w:tc>
          <w:tcPr>
            <w:tcW w:w="440" w:type="dxa"/>
            <w:vAlign w:val="bottom"/>
          </w:tcPr>
          <w:p>
            <w:pPr>
              <w:spacing w:after="0"/>
              <w:rPr>
                <w:sz w:val="13"/>
                <w:szCs w:val="13"/>
                <w:color w:val="auto"/>
              </w:rPr>
            </w:pPr>
          </w:p>
        </w:tc>
        <w:tc>
          <w:tcPr>
            <w:tcW w:w="940" w:type="dxa"/>
            <w:vAlign w:val="bottom"/>
          </w:tcPr>
          <w:p>
            <w:pPr>
              <w:jc w:val="right"/>
              <w:ind w:right="100"/>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ind w:right="100"/>
              <w:spacing w:after="0"/>
              <w:rPr>
                <w:sz w:val="20"/>
                <w:szCs w:val="20"/>
                <w:color w:val="auto"/>
              </w:rPr>
            </w:pPr>
            <w:r>
              <w:rPr>
                <w:rFonts w:ascii="Arial" w:cs="Arial" w:eastAsia="Arial" w:hAnsi="Arial"/>
                <w:sz w:val="12"/>
                <w:szCs w:val="12"/>
                <w:color w:val="auto"/>
              </w:rPr>
              <w:t>21</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jc w:val="right"/>
              <w:ind w:right="100"/>
              <w:spacing w:after="0"/>
              <w:rPr>
                <w:sz w:val="20"/>
                <w:szCs w:val="20"/>
                <w:color w:val="auto"/>
              </w:rPr>
            </w:pPr>
            <w:r>
              <w:rPr>
                <w:rFonts w:ascii="Arial" w:cs="Arial" w:eastAsia="Arial" w:hAnsi="Arial"/>
                <w:sz w:val="12"/>
                <w:szCs w:val="12"/>
                <w:color w:val="auto"/>
              </w:rPr>
              <w:t>52</w:t>
            </w:r>
          </w:p>
        </w:tc>
      </w:tr>
      <w:tr>
        <w:trPr>
          <w:trHeight w:val="153"/>
        </w:trPr>
        <w:tc>
          <w:tcPr>
            <w:tcW w:w="6980" w:type="dxa"/>
            <w:vAlign w:val="bottom"/>
            <w:shd w:val="clear" w:color="auto" w:fill="CCEEFF"/>
          </w:tcPr>
          <w:p>
            <w:pPr>
              <w:ind w:left="120"/>
              <w:spacing w:after="0" w:line="153" w:lineRule="exact"/>
              <w:rPr>
                <w:sz w:val="20"/>
                <w:szCs w:val="20"/>
                <w:color w:val="auto"/>
              </w:rPr>
            </w:pPr>
            <w:r>
              <w:rPr>
                <w:rFonts w:ascii="Arial" w:cs="Arial" w:eastAsia="Arial" w:hAnsi="Arial"/>
                <w:sz w:val="12"/>
                <w:szCs w:val="12"/>
                <w:color w:val="auto"/>
              </w:rPr>
              <w:t>Strategic Program loans</w:t>
            </w:r>
            <w:r>
              <w:rPr>
                <w:rFonts w:ascii="Arial" w:cs="Arial" w:eastAsia="Arial" w:hAnsi="Arial"/>
                <w:sz w:val="15"/>
                <w:szCs w:val="15"/>
                <w:color w:val="auto"/>
                <w:vertAlign w:val="superscript"/>
              </w:rPr>
              <w:t>(2)</w:t>
            </w:r>
          </w:p>
        </w:tc>
        <w:tc>
          <w:tcPr>
            <w:tcW w:w="440" w:type="dxa"/>
            <w:vAlign w:val="bottom"/>
            <w:tcBorders>
              <w:bottom w:val="single" w:sz="8" w:color="242424"/>
            </w:tcBorders>
            <w:shd w:val="clear" w:color="auto" w:fill="CCEEFF"/>
          </w:tcPr>
          <w:p>
            <w:pPr>
              <w:spacing w:after="0"/>
              <w:rPr>
                <w:sz w:val="13"/>
                <w:szCs w:val="13"/>
                <w:color w:val="auto"/>
              </w:rPr>
            </w:pPr>
          </w:p>
        </w:tc>
        <w:tc>
          <w:tcPr>
            <w:tcW w:w="940" w:type="dxa"/>
            <w:vAlign w:val="bottom"/>
            <w:tcBorders>
              <w:bottom w:val="single" w:sz="8" w:color="242424"/>
            </w:tcBorders>
            <w:shd w:val="clear" w:color="auto" w:fill="CCEEFF"/>
          </w:tcPr>
          <w:p>
            <w:pPr>
              <w:jc w:val="right"/>
              <w:ind w:right="100"/>
              <w:spacing w:after="0"/>
              <w:rPr>
                <w:sz w:val="20"/>
                <w:szCs w:val="20"/>
                <w:color w:val="auto"/>
              </w:rPr>
            </w:pPr>
            <w:r>
              <w:rPr>
                <w:rFonts w:ascii="Arial" w:cs="Arial" w:eastAsia="Arial" w:hAnsi="Arial"/>
                <w:sz w:val="12"/>
                <w:szCs w:val="12"/>
                <w:color w:val="auto"/>
              </w:rPr>
              <w:t>546</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242424"/>
            </w:tcBorders>
            <w:shd w:val="clear" w:color="auto" w:fill="CCEEFF"/>
          </w:tcPr>
          <w:p>
            <w:pPr>
              <w:spacing w:after="0"/>
              <w:rPr>
                <w:sz w:val="13"/>
                <w:szCs w:val="13"/>
                <w:color w:val="auto"/>
              </w:rPr>
            </w:pPr>
          </w:p>
        </w:tc>
        <w:tc>
          <w:tcPr>
            <w:tcW w:w="1140" w:type="dxa"/>
            <w:vAlign w:val="bottom"/>
            <w:tcBorders>
              <w:bottom w:val="single" w:sz="8" w:color="242424"/>
            </w:tcBorders>
            <w:shd w:val="clear" w:color="auto" w:fill="CCEEFF"/>
          </w:tcPr>
          <w:p>
            <w:pPr>
              <w:jc w:val="right"/>
              <w:ind w:right="100"/>
              <w:spacing w:after="0"/>
              <w:rPr>
                <w:sz w:val="20"/>
                <w:szCs w:val="20"/>
                <w:color w:val="auto"/>
              </w:rPr>
            </w:pPr>
            <w:r>
              <w:rPr>
                <w:rFonts w:ascii="Arial" w:cs="Arial" w:eastAsia="Arial" w:hAnsi="Arial"/>
                <w:sz w:val="12"/>
                <w:szCs w:val="12"/>
                <w:color w:val="auto"/>
              </w:rPr>
              <w:t>486</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242424"/>
            </w:tcBorders>
            <w:shd w:val="clear" w:color="auto" w:fill="CCEEFF"/>
          </w:tcPr>
          <w:p>
            <w:pPr>
              <w:spacing w:after="0"/>
              <w:rPr>
                <w:sz w:val="13"/>
                <w:szCs w:val="13"/>
                <w:color w:val="auto"/>
              </w:rPr>
            </w:pPr>
          </w:p>
        </w:tc>
        <w:tc>
          <w:tcPr>
            <w:tcW w:w="1000" w:type="dxa"/>
            <w:vAlign w:val="bottom"/>
            <w:tcBorders>
              <w:bottom w:val="single" w:sz="8" w:color="242424"/>
            </w:tcBorders>
            <w:shd w:val="clear" w:color="auto" w:fill="CCEEFF"/>
          </w:tcPr>
          <w:p>
            <w:pPr>
              <w:jc w:val="right"/>
              <w:ind w:right="100"/>
              <w:spacing w:after="0"/>
              <w:rPr>
                <w:sz w:val="20"/>
                <w:szCs w:val="20"/>
                <w:color w:val="auto"/>
              </w:rPr>
            </w:pPr>
            <w:r>
              <w:rPr>
                <w:rFonts w:ascii="Arial" w:cs="Arial" w:eastAsia="Arial" w:hAnsi="Arial"/>
                <w:sz w:val="12"/>
                <w:szCs w:val="12"/>
                <w:color w:val="auto"/>
              </w:rPr>
              <w:t>341</w:t>
            </w:r>
          </w:p>
        </w:tc>
      </w:tr>
      <w:tr>
        <w:trPr>
          <w:trHeight w:val="174"/>
        </w:trPr>
        <w:tc>
          <w:tcPr>
            <w:tcW w:w="69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Ending Balance</w:t>
            </w:r>
          </w:p>
        </w:tc>
        <w:tc>
          <w:tcPr>
            <w:tcW w:w="440" w:type="dxa"/>
            <w:vAlign w:val="bottom"/>
            <w:tcBorders>
              <w:bottom w:val="single" w:sz="8" w:color="242424"/>
            </w:tcBorders>
          </w:tcPr>
          <w:p>
            <w:pPr>
              <w:jc w:val="right"/>
              <w:ind w:right="30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242424"/>
            </w:tcBorders>
          </w:tcPr>
          <w:p>
            <w:pPr>
              <w:jc w:val="right"/>
              <w:ind w:right="100"/>
              <w:spacing w:after="0"/>
              <w:rPr>
                <w:sz w:val="20"/>
                <w:szCs w:val="20"/>
                <w:color w:val="auto"/>
              </w:rPr>
            </w:pPr>
            <w:r>
              <w:rPr>
                <w:rFonts w:ascii="Arial" w:cs="Arial" w:eastAsia="Arial" w:hAnsi="Arial"/>
                <w:sz w:val="12"/>
                <w:szCs w:val="12"/>
                <w:color w:val="auto"/>
              </w:rPr>
              <w:t>79,821</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CCEEFF"/>
            </w:tcBorders>
          </w:tcPr>
          <w:p>
            <w:pPr>
              <w:jc w:val="right"/>
              <w:ind w:right="100"/>
              <w:spacing w:after="0"/>
              <w:rPr>
                <w:sz w:val="20"/>
                <w:szCs w:val="20"/>
                <w:color w:val="auto"/>
              </w:rPr>
            </w:pPr>
            <w:r>
              <w:rPr>
                <w:rFonts w:ascii="Arial" w:cs="Arial" w:eastAsia="Arial" w:hAnsi="Arial"/>
                <w:sz w:val="12"/>
                <w:szCs w:val="12"/>
                <w:color w:val="auto"/>
              </w:rPr>
              <w:t>43,851</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jc w:val="right"/>
              <w:ind w:right="24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242424"/>
            </w:tcBorders>
          </w:tcPr>
          <w:p>
            <w:pPr>
              <w:jc w:val="right"/>
              <w:ind w:right="100"/>
              <w:spacing w:after="0"/>
              <w:rPr>
                <w:sz w:val="20"/>
                <w:szCs w:val="20"/>
                <w:color w:val="auto"/>
              </w:rPr>
            </w:pPr>
            <w:r>
              <w:rPr>
                <w:rFonts w:ascii="Arial" w:cs="Arial" w:eastAsia="Arial" w:hAnsi="Arial"/>
                <w:sz w:val="12"/>
                <w:szCs w:val="12"/>
                <w:color w:val="auto"/>
              </w:rPr>
              <w:t>25,778</w:t>
            </w:r>
          </w:p>
        </w:tc>
      </w:tr>
      <w:tr>
        <w:trPr>
          <w:trHeight w:val="151"/>
        </w:trPr>
        <w:tc>
          <w:tcPr>
            <w:tcW w:w="69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242424"/>
            </w:tcBorders>
            <w:shd w:val="clear" w:color="auto" w:fill="CCEEFF"/>
          </w:tcPr>
          <w:p>
            <w:pPr>
              <w:spacing w:after="0"/>
              <w:rPr>
                <w:sz w:val="13"/>
                <w:szCs w:val="13"/>
                <w:color w:val="auto"/>
              </w:rPr>
            </w:pPr>
          </w:p>
        </w:tc>
        <w:tc>
          <w:tcPr>
            <w:tcW w:w="940" w:type="dxa"/>
            <w:vAlign w:val="bottom"/>
            <w:tcBorders>
              <w:top w:val="single" w:sz="8" w:color="242424"/>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242424"/>
            </w:tcBorders>
            <w:shd w:val="clear" w:color="auto" w:fill="CCEEFF"/>
          </w:tcPr>
          <w:p>
            <w:pPr>
              <w:spacing w:after="0"/>
              <w:rPr>
                <w:sz w:val="13"/>
                <w:szCs w:val="13"/>
                <w:color w:val="auto"/>
              </w:rPr>
            </w:pPr>
          </w:p>
        </w:tc>
        <w:tc>
          <w:tcPr>
            <w:tcW w:w="1140" w:type="dxa"/>
            <w:vAlign w:val="bottom"/>
            <w:tcBorders>
              <w:top w:val="single" w:sz="8" w:color="242424"/>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242424"/>
            </w:tcBorders>
            <w:shd w:val="clear" w:color="auto" w:fill="CCEEFF"/>
          </w:tcPr>
          <w:p>
            <w:pPr>
              <w:spacing w:after="0"/>
              <w:rPr>
                <w:sz w:val="13"/>
                <w:szCs w:val="13"/>
                <w:color w:val="auto"/>
              </w:rPr>
            </w:pPr>
          </w:p>
        </w:tc>
        <w:tc>
          <w:tcPr>
            <w:tcW w:w="1000" w:type="dxa"/>
            <w:vAlign w:val="bottom"/>
            <w:tcBorders>
              <w:top w:val="single" w:sz="8" w:color="242424"/>
            </w:tcBorders>
            <w:shd w:val="clear" w:color="auto" w:fill="CCEEFF"/>
          </w:tcPr>
          <w:p>
            <w:pPr>
              <w:spacing w:after="0"/>
              <w:rPr>
                <w:sz w:val="13"/>
                <w:szCs w:val="13"/>
                <w:color w:val="auto"/>
              </w:rPr>
            </w:pPr>
          </w:p>
        </w:tc>
      </w:tr>
      <w:tr>
        <w:trPr>
          <w:trHeight w:val="180"/>
        </w:trPr>
        <w:tc>
          <w:tcPr>
            <w:tcW w:w="698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Credit Quality Data</w:t>
            </w:r>
          </w:p>
        </w:tc>
        <w:tc>
          <w:tcPr>
            <w:tcW w:w="44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6"/>
          </w:tcPr>
          <w:p>
            <w:pPr>
              <w:jc w:val="right"/>
              <w:spacing w:after="0"/>
              <w:rPr>
                <w:sz w:val="20"/>
                <w:szCs w:val="20"/>
                <w:color w:val="auto"/>
              </w:rPr>
            </w:pPr>
            <w:r>
              <w:rPr>
                <w:rFonts w:ascii="Arial" w:cs="Arial" w:eastAsia="Arial" w:hAnsi="Arial"/>
                <w:sz w:val="12"/>
                <w:szCs w:val="12"/>
                <w:b w:val="1"/>
                <w:bCs w:val="1"/>
                <w:color w:val="auto"/>
              </w:rPr>
              <w:t>As of and For the Three Months Ended</w:t>
            </w:r>
          </w:p>
        </w:tc>
        <w:tc>
          <w:tcPr>
            <w:tcW w:w="1000" w:type="dxa"/>
            <w:vAlign w:val="bottom"/>
            <w:tcBorders>
              <w:bottom w:val="single" w:sz="8" w:color="auto"/>
            </w:tcBorders>
          </w:tcPr>
          <w:p>
            <w:pPr>
              <w:spacing w:after="0"/>
              <w:rPr>
                <w:sz w:val="15"/>
                <w:szCs w:val="15"/>
                <w:color w:val="auto"/>
              </w:rPr>
            </w:pPr>
          </w:p>
        </w:tc>
      </w:tr>
      <w:tr>
        <w:trPr>
          <w:trHeight w:val="160"/>
        </w:trPr>
        <w:tc>
          <w:tcPr>
            <w:tcW w:w="698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 in thousands)</w:t>
            </w:r>
          </w:p>
        </w:tc>
        <w:tc>
          <w:tcPr>
            <w:tcW w:w="4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9/30/2026</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b w:val="1"/>
                <w:bCs w:val="1"/>
                <w:color w:val="auto"/>
              </w:rPr>
              <w:t>6/30/2026</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b w:val="1"/>
                <w:bCs w:val="1"/>
                <w:color w:val="auto"/>
              </w:rPr>
              <w:t>9/30/2025</w:t>
            </w:r>
          </w:p>
        </w:tc>
      </w:tr>
      <w:tr>
        <w:trPr>
          <w:trHeight w:val="152"/>
        </w:trPr>
        <w:tc>
          <w:tcPr>
            <w:tcW w:w="6980" w:type="dxa"/>
            <w:vAlign w:val="bottom"/>
          </w:tcPr>
          <w:p>
            <w:pPr>
              <w:spacing w:after="0"/>
              <w:rPr>
                <w:sz w:val="20"/>
                <w:szCs w:val="20"/>
                <w:color w:val="auto"/>
              </w:rPr>
            </w:pPr>
            <w:r>
              <w:rPr>
                <w:rFonts w:ascii="Arial" w:cs="Arial" w:eastAsia="Arial" w:hAnsi="Arial"/>
                <w:sz w:val="12"/>
                <w:szCs w:val="12"/>
                <w:color w:val="auto"/>
              </w:rPr>
              <w:t>Nonperforming loans:</w:t>
            </w: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8"/>
        </w:trPr>
        <w:tc>
          <w:tcPr>
            <w:tcW w:w="6980" w:type="dxa"/>
            <w:vAlign w:val="bottom"/>
            <w:shd w:val="clear" w:color="auto" w:fill="CCEEFF"/>
          </w:tcPr>
          <w:p>
            <w:pPr>
              <w:ind w:left="80"/>
              <w:spacing w:after="0"/>
              <w:rPr>
                <w:sz w:val="20"/>
                <w:szCs w:val="20"/>
                <w:color w:val="auto"/>
              </w:rPr>
            </w:pPr>
            <w:r>
              <w:rPr>
                <w:rFonts w:ascii="Arial" w:cs="Arial" w:eastAsia="Arial" w:hAnsi="Arial"/>
                <w:sz w:val="12"/>
                <w:szCs w:val="12"/>
                <w:color w:val="auto"/>
              </w:rPr>
              <w:t>Guaranteed</w:t>
            </w: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17,743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19,100</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23,572</w:t>
            </w:r>
          </w:p>
        </w:tc>
      </w:tr>
      <w:tr>
        <w:trPr>
          <w:trHeight w:val="180"/>
        </w:trPr>
        <w:tc>
          <w:tcPr>
            <w:tcW w:w="698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Unguaranteed</w:t>
            </w: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19,390</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18,570</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19,534</w:t>
            </w:r>
          </w:p>
        </w:tc>
      </w:tr>
      <w:tr>
        <w:trPr>
          <w:trHeight w:val="160"/>
        </w:trPr>
        <w:tc>
          <w:tcPr>
            <w:tcW w:w="6980" w:type="dxa"/>
            <w:vAlign w:val="bottom"/>
            <w:shd w:val="clear" w:color="auto" w:fill="CCEEFF"/>
          </w:tcPr>
          <w:p>
            <w:pPr>
              <w:spacing w:after="0"/>
              <w:rPr>
                <w:sz w:val="20"/>
                <w:szCs w:val="20"/>
                <w:color w:val="auto"/>
              </w:rPr>
            </w:pPr>
            <w:r>
              <w:rPr>
                <w:rFonts w:ascii="Arial" w:cs="Arial" w:eastAsia="Arial" w:hAnsi="Arial"/>
                <w:sz w:val="12"/>
                <w:szCs w:val="12"/>
                <w:color w:val="auto"/>
              </w:rPr>
              <w:t>Total nonperforming loans</w:t>
            </w: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37,133</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37,670</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43,106</w:t>
            </w:r>
          </w:p>
        </w:tc>
      </w:tr>
      <w:tr>
        <w:trPr>
          <w:trHeight w:val="180"/>
        </w:trPr>
        <w:tc>
          <w:tcPr>
            <w:tcW w:w="6980" w:type="dxa"/>
            <w:vAlign w:val="bottom"/>
          </w:tcPr>
          <w:p>
            <w:pPr>
              <w:spacing w:after="0"/>
              <w:rPr>
                <w:sz w:val="20"/>
                <w:szCs w:val="20"/>
                <w:color w:val="auto"/>
              </w:rPr>
            </w:pPr>
            <w:r>
              <w:rPr>
                <w:rFonts w:ascii="Arial" w:cs="Arial" w:eastAsia="Arial" w:hAnsi="Arial"/>
                <w:sz w:val="12"/>
                <w:szCs w:val="12"/>
                <w:color w:val="auto"/>
              </w:rPr>
              <w:t>Allowance for credit losses</w:t>
            </w: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100"/>
              <w:spacing w:after="0"/>
              <w:rPr>
                <w:sz w:val="20"/>
                <w:szCs w:val="20"/>
                <w:color w:val="auto"/>
              </w:rPr>
            </w:pPr>
            <w:r>
              <w:rPr>
                <w:rFonts w:ascii="Arial" w:cs="Arial" w:eastAsia="Arial" w:hAnsi="Arial"/>
                <w:sz w:val="12"/>
                <w:szCs w:val="12"/>
                <w:color w:val="auto"/>
              </w:rPr>
              <w:t>79,821</w:t>
            </w:r>
          </w:p>
        </w:tc>
        <w:tc>
          <w:tcPr>
            <w:tcW w:w="80" w:type="dxa"/>
            <w:vAlign w:val="bottom"/>
          </w:tcPr>
          <w:p>
            <w:pPr>
              <w:spacing w:after="0"/>
              <w:rPr>
                <w:sz w:val="15"/>
                <w:szCs w:val="15"/>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100"/>
              <w:spacing w:after="0"/>
              <w:rPr>
                <w:sz w:val="20"/>
                <w:szCs w:val="20"/>
                <w:color w:val="auto"/>
              </w:rPr>
            </w:pPr>
            <w:r>
              <w:rPr>
                <w:rFonts w:ascii="Arial" w:cs="Arial" w:eastAsia="Arial" w:hAnsi="Arial"/>
                <w:sz w:val="12"/>
                <w:szCs w:val="12"/>
                <w:color w:val="auto"/>
              </w:rPr>
              <w:t>43,851</w:t>
            </w:r>
          </w:p>
        </w:tc>
        <w:tc>
          <w:tcPr>
            <w:tcW w:w="80" w:type="dxa"/>
            <w:vAlign w:val="bottom"/>
          </w:tcPr>
          <w:p>
            <w:pPr>
              <w:spacing w:after="0"/>
              <w:rPr>
                <w:sz w:val="15"/>
                <w:szCs w:val="15"/>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100"/>
              <w:spacing w:after="0"/>
              <w:rPr>
                <w:sz w:val="20"/>
                <w:szCs w:val="20"/>
                <w:color w:val="auto"/>
              </w:rPr>
            </w:pPr>
            <w:r>
              <w:rPr>
                <w:rFonts w:ascii="Arial" w:cs="Arial" w:eastAsia="Arial" w:hAnsi="Arial"/>
                <w:sz w:val="12"/>
                <w:szCs w:val="12"/>
                <w:color w:val="auto"/>
              </w:rPr>
              <w:t>25,778</w:t>
            </w:r>
          </w:p>
        </w:tc>
      </w:tr>
      <w:tr>
        <w:trPr>
          <w:trHeight w:val="180"/>
        </w:trPr>
        <w:tc>
          <w:tcPr>
            <w:tcW w:w="6980" w:type="dxa"/>
            <w:vAlign w:val="bottom"/>
            <w:shd w:val="clear" w:color="auto" w:fill="CCEEFF"/>
          </w:tcPr>
          <w:p>
            <w:pPr>
              <w:spacing w:after="0"/>
              <w:rPr>
                <w:sz w:val="20"/>
                <w:szCs w:val="20"/>
                <w:color w:val="auto"/>
              </w:rPr>
            </w:pPr>
            <w:r>
              <w:rPr>
                <w:rFonts w:ascii="Arial" w:cs="Arial" w:eastAsia="Arial" w:hAnsi="Arial"/>
                <w:sz w:val="12"/>
                <w:szCs w:val="12"/>
                <w:color w:val="auto"/>
              </w:rPr>
              <w:t>Net charge-offs:</w:t>
            </w: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53"/>
        </w:trPr>
        <w:tc>
          <w:tcPr>
            <w:tcW w:w="6980" w:type="dxa"/>
            <w:vAlign w:val="bottom"/>
          </w:tcPr>
          <w:p>
            <w:pPr>
              <w:ind w:left="60"/>
              <w:spacing w:after="0"/>
              <w:rPr>
                <w:sz w:val="20"/>
                <w:szCs w:val="20"/>
                <w:color w:val="auto"/>
              </w:rPr>
            </w:pPr>
            <w:r>
              <w:rPr>
                <w:rFonts w:ascii="Arial" w:cs="Arial" w:eastAsia="Arial" w:hAnsi="Arial"/>
                <w:sz w:val="12"/>
                <w:szCs w:val="12"/>
                <w:color w:val="auto"/>
              </w:rPr>
              <w:t>Core portfolio</w:t>
            </w: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100"/>
              <w:spacing w:after="0"/>
              <w:rPr>
                <w:sz w:val="20"/>
                <w:szCs w:val="20"/>
                <w:color w:val="auto"/>
              </w:rPr>
            </w:pPr>
            <w:r>
              <w:rPr>
                <w:rFonts w:ascii="Arial" w:cs="Arial" w:eastAsia="Arial" w:hAnsi="Arial"/>
                <w:sz w:val="12"/>
                <w:szCs w:val="12"/>
                <w:color w:val="auto"/>
              </w:rPr>
              <w:t>422</w:t>
            </w:r>
          </w:p>
        </w:tc>
        <w:tc>
          <w:tcPr>
            <w:tcW w:w="8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100"/>
              <w:spacing w:after="0"/>
              <w:rPr>
                <w:sz w:val="20"/>
                <w:szCs w:val="20"/>
                <w:color w:val="auto"/>
              </w:rPr>
            </w:pPr>
            <w:r>
              <w:rPr>
                <w:rFonts w:ascii="Arial" w:cs="Arial" w:eastAsia="Arial" w:hAnsi="Arial"/>
                <w:sz w:val="12"/>
                <w:szCs w:val="12"/>
                <w:color w:val="auto"/>
              </w:rPr>
              <w:t>2,935</w:t>
            </w:r>
          </w:p>
        </w:tc>
        <w:tc>
          <w:tcPr>
            <w:tcW w:w="8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100"/>
              <w:spacing w:after="0"/>
              <w:rPr>
                <w:sz w:val="20"/>
                <w:szCs w:val="20"/>
                <w:color w:val="auto"/>
              </w:rPr>
            </w:pPr>
            <w:r>
              <w:rPr>
                <w:rFonts w:ascii="Arial" w:cs="Arial" w:eastAsia="Arial" w:hAnsi="Arial"/>
                <w:sz w:val="12"/>
                <w:szCs w:val="12"/>
                <w:color w:val="auto"/>
              </w:rPr>
              <w:t>722</w:t>
            </w:r>
          </w:p>
        </w:tc>
      </w:tr>
      <w:tr>
        <w:trPr>
          <w:trHeight w:val="153"/>
        </w:trPr>
        <w:tc>
          <w:tcPr>
            <w:tcW w:w="6980" w:type="dxa"/>
            <w:vAlign w:val="bottom"/>
            <w:shd w:val="clear" w:color="auto" w:fill="CCEEFF"/>
          </w:tcPr>
          <w:p>
            <w:pPr>
              <w:ind w:left="60"/>
              <w:spacing w:after="0" w:line="153" w:lineRule="exact"/>
              <w:rPr>
                <w:sz w:val="20"/>
                <w:szCs w:val="20"/>
                <w:color w:val="auto"/>
              </w:rPr>
            </w:pPr>
            <w:r>
              <w:rPr>
                <w:rFonts w:ascii="Arial" w:cs="Arial" w:eastAsia="Arial" w:hAnsi="Arial"/>
                <w:sz w:val="12"/>
                <w:szCs w:val="12"/>
                <w:color w:val="auto"/>
              </w:rPr>
              <w:t>Strategic Program loans - with credit enhancement</w:t>
            </w:r>
            <w:r>
              <w:rPr>
                <w:rFonts w:ascii="Arial" w:cs="Arial" w:eastAsia="Arial" w:hAnsi="Arial"/>
                <w:sz w:val="15"/>
                <w:szCs w:val="15"/>
                <w:color w:val="auto"/>
                <w:vertAlign w:val="superscript"/>
              </w:rPr>
              <w:t>(2)</w:t>
            </w:r>
          </w:p>
        </w:tc>
        <w:tc>
          <w:tcPr>
            <w:tcW w:w="44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8,055</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6,139</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105</w:t>
            </w:r>
          </w:p>
        </w:tc>
      </w:tr>
      <w:tr>
        <w:trPr>
          <w:trHeight w:val="153"/>
        </w:trPr>
        <w:tc>
          <w:tcPr>
            <w:tcW w:w="6980" w:type="dxa"/>
            <w:vAlign w:val="bottom"/>
            <w:tcBorders>
              <w:bottom w:val="single" w:sz="8" w:color="CCEEFF"/>
            </w:tcBorders>
          </w:tcPr>
          <w:p>
            <w:pPr>
              <w:ind w:left="60"/>
              <w:spacing w:after="0"/>
              <w:rPr>
                <w:sz w:val="20"/>
                <w:szCs w:val="20"/>
                <w:color w:val="auto"/>
              </w:rPr>
            </w:pPr>
            <w:r>
              <w:rPr>
                <w:rFonts w:ascii="Arial" w:cs="Arial" w:eastAsia="Arial" w:hAnsi="Arial"/>
                <w:sz w:val="12"/>
                <w:szCs w:val="12"/>
                <w:color w:val="auto"/>
              </w:rPr>
              <w:t>Strategic Program loans - without credit enhancement</w:t>
            </w:r>
          </w:p>
        </w:tc>
        <w:tc>
          <w:tcPr>
            <w:tcW w:w="4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2,143</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2,276</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2,300</w:t>
            </w:r>
          </w:p>
        </w:tc>
      </w:tr>
      <w:tr>
        <w:trPr>
          <w:trHeight w:val="160"/>
        </w:trPr>
        <w:tc>
          <w:tcPr>
            <w:tcW w:w="6980" w:type="dxa"/>
            <w:vAlign w:val="bottom"/>
            <w:shd w:val="clear" w:color="auto" w:fill="CCEEFF"/>
          </w:tcPr>
          <w:p>
            <w:pPr>
              <w:spacing w:after="0"/>
              <w:rPr>
                <w:sz w:val="20"/>
                <w:szCs w:val="20"/>
                <w:color w:val="auto"/>
              </w:rPr>
            </w:pPr>
            <w:r>
              <w:rPr>
                <w:rFonts w:ascii="Arial" w:cs="Arial" w:eastAsia="Arial" w:hAnsi="Arial"/>
                <w:sz w:val="12"/>
                <w:szCs w:val="12"/>
                <w:color w:val="auto"/>
              </w:rPr>
              <w:t>Total net charge-offs</w:t>
            </w: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10,620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11,350</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3,127</w:t>
            </w:r>
          </w:p>
        </w:tc>
      </w:tr>
      <w:tr>
        <w:trPr>
          <w:trHeight w:val="180"/>
        </w:trPr>
        <w:tc>
          <w:tcPr>
            <w:tcW w:w="6980" w:type="dxa"/>
            <w:vAlign w:val="bottom"/>
          </w:tcPr>
          <w:p>
            <w:pPr>
              <w:spacing w:after="0"/>
              <w:rPr>
                <w:sz w:val="20"/>
                <w:szCs w:val="20"/>
                <w:color w:val="auto"/>
              </w:rPr>
            </w:pPr>
            <w:r>
              <w:rPr>
                <w:rFonts w:ascii="Arial" w:cs="Arial" w:eastAsia="Arial" w:hAnsi="Arial"/>
                <w:sz w:val="12"/>
                <w:szCs w:val="12"/>
                <w:color w:val="auto"/>
              </w:rPr>
              <w:t>Total loans held-for-investment</w:t>
            </w: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100"/>
              <w:spacing w:after="0"/>
              <w:rPr>
                <w:sz w:val="20"/>
                <w:szCs w:val="20"/>
                <w:color w:val="auto"/>
              </w:rPr>
            </w:pPr>
            <w:r>
              <w:rPr>
                <w:rFonts w:ascii="Arial" w:cs="Arial" w:eastAsia="Arial" w:hAnsi="Arial"/>
                <w:sz w:val="12"/>
                <w:szCs w:val="12"/>
                <w:color w:val="auto"/>
              </w:rPr>
              <w:t>585,149</w:t>
            </w:r>
          </w:p>
        </w:tc>
        <w:tc>
          <w:tcPr>
            <w:tcW w:w="80" w:type="dxa"/>
            <w:vAlign w:val="bottom"/>
          </w:tcPr>
          <w:p>
            <w:pPr>
              <w:spacing w:after="0"/>
              <w:rPr>
                <w:sz w:val="15"/>
                <w:szCs w:val="15"/>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100"/>
              <w:spacing w:after="0"/>
              <w:rPr>
                <w:sz w:val="20"/>
                <w:szCs w:val="20"/>
                <w:color w:val="auto"/>
              </w:rPr>
            </w:pPr>
            <w:r>
              <w:rPr>
                <w:rFonts w:ascii="Arial" w:cs="Arial" w:eastAsia="Arial" w:hAnsi="Arial"/>
                <w:sz w:val="12"/>
                <w:szCs w:val="12"/>
                <w:color w:val="auto"/>
              </w:rPr>
              <w:t>526,153</w:t>
            </w:r>
          </w:p>
        </w:tc>
        <w:tc>
          <w:tcPr>
            <w:tcW w:w="80" w:type="dxa"/>
            <w:vAlign w:val="bottom"/>
          </w:tcPr>
          <w:p>
            <w:pPr>
              <w:spacing w:after="0"/>
              <w:rPr>
                <w:sz w:val="15"/>
                <w:szCs w:val="15"/>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100"/>
              <w:spacing w:after="0"/>
              <w:rPr>
                <w:sz w:val="20"/>
                <w:szCs w:val="20"/>
                <w:color w:val="auto"/>
              </w:rPr>
            </w:pPr>
            <w:r>
              <w:rPr>
                <w:rFonts w:ascii="Arial" w:cs="Arial" w:eastAsia="Arial" w:hAnsi="Arial"/>
                <w:sz w:val="12"/>
                <w:szCs w:val="12"/>
                <w:color w:val="auto"/>
              </w:rPr>
              <w:t>559,125</w:t>
            </w:r>
          </w:p>
        </w:tc>
      </w:tr>
      <w:tr>
        <w:trPr>
          <w:trHeight w:val="180"/>
        </w:trPr>
        <w:tc>
          <w:tcPr>
            <w:tcW w:w="6980" w:type="dxa"/>
            <w:vAlign w:val="bottom"/>
            <w:shd w:val="clear" w:color="auto" w:fill="CCEEFF"/>
          </w:tcPr>
          <w:p>
            <w:pPr>
              <w:spacing w:after="0"/>
              <w:rPr>
                <w:sz w:val="20"/>
                <w:szCs w:val="20"/>
                <w:color w:val="auto"/>
              </w:rPr>
            </w:pPr>
            <w:r>
              <w:rPr>
                <w:rFonts w:ascii="Arial" w:cs="Arial" w:eastAsia="Arial" w:hAnsi="Arial"/>
                <w:sz w:val="12"/>
                <w:szCs w:val="12"/>
                <w:color w:val="auto"/>
              </w:rPr>
              <w:t>Total loans held-for-investment less guaranteed balances</w:t>
            </w: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541,143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460,650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426,392</w:t>
            </w:r>
          </w:p>
        </w:tc>
      </w:tr>
      <w:tr>
        <w:trPr>
          <w:trHeight w:val="180"/>
        </w:trPr>
        <w:tc>
          <w:tcPr>
            <w:tcW w:w="6980" w:type="dxa"/>
            <w:vAlign w:val="bottom"/>
          </w:tcPr>
          <w:p>
            <w:pPr>
              <w:spacing w:after="0"/>
              <w:rPr>
                <w:sz w:val="20"/>
                <w:szCs w:val="20"/>
                <w:color w:val="auto"/>
              </w:rPr>
            </w:pPr>
            <w:r>
              <w:rPr>
                <w:rFonts w:ascii="Arial" w:cs="Arial" w:eastAsia="Arial" w:hAnsi="Arial"/>
                <w:sz w:val="12"/>
                <w:szCs w:val="12"/>
                <w:color w:val="auto"/>
              </w:rPr>
              <w:t>Average loans held-for-investment</w:t>
            </w: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100"/>
              <w:spacing w:after="0"/>
              <w:rPr>
                <w:sz w:val="20"/>
                <w:szCs w:val="20"/>
                <w:color w:val="auto"/>
              </w:rPr>
            </w:pPr>
            <w:r>
              <w:rPr>
                <w:rFonts w:ascii="Arial" w:cs="Arial" w:eastAsia="Arial" w:hAnsi="Arial"/>
                <w:sz w:val="12"/>
                <w:szCs w:val="12"/>
                <w:color w:val="auto"/>
              </w:rPr>
              <w:t>608,198</w:t>
            </w:r>
          </w:p>
        </w:tc>
        <w:tc>
          <w:tcPr>
            <w:tcW w:w="80" w:type="dxa"/>
            <w:vAlign w:val="bottom"/>
          </w:tcPr>
          <w:p>
            <w:pPr>
              <w:spacing w:after="0"/>
              <w:rPr>
                <w:sz w:val="15"/>
                <w:szCs w:val="15"/>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100"/>
              <w:spacing w:after="0"/>
              <w:rPr>
                <w:sz w:val="20"/>
                <w:szCs w:val="20"/>
                <w:color w:val="auto"/>
              </w:rPr>
            </w:pPr>
            <w:r>
              <w:rPr>
                <w:rFonts w:ascii="Arial" w:cs="Arial" w:eastAsia="Arial" w:hAnsi="Arial"/>
                <w:sz w:val="12"/>
                <w:szCs w:val="12"/>
                <w:color w:val="auto"/>
              </w:rPr>
              <w:t>582,171</w:t>
            </w:r>
          </w:p>
        </w:tc>
        <w:tc>
          <w:tcPr>
            <w:tcW w:w="80" w:type="dxa"/>
            <w:vAlign w:val="bottom"/>
          </w:tcPr>
          <w:p>
            <w:pPr>
              <w:spacing w:after="0"/>
              <w:rPr>
                <w:sz w:val="15"/>
                <w:szCs w:val="15"/>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100"/>
              <w:spacing w:after="0"/>
              <w:rPr>
                <w:sz w:val="20"/>
                <w:szCs w:val="20"/>
                <w:color w:val="auto"/>
              </w:rPr>
            </w:pPr>
            <w:r>
              <w:rPr>
                <w:rFonts w:ascii="Arial" w:cs="Arial" w:eastAsia="Arial" w:hAnsi="Arial"/>
                <w:sz w:val="12"/>
                <w:szCs w:val="12"/>
                <w:color w:val="auto"/>
              </w:rPr>
              <w:t>542,595</w:t>
            </w:r>
          </w:p>
        </w:tc>
      </w:tr>
      <w:tr>
        <w:trPr>
          <w:trHeight w:val="180"/>
        </w:trPr>
        <w:tc>
          <w:tcPr>
            <w:tcW w:w="6980" w:type="dxa"/>
            <w:vAlign w:val="bottom"/>
            <w:shd w:val="clear" w:color="auto" w:fill="CCEEFF"/>
          </w:tcPr>
          <w:p>
            <w:pPr>
              <w:spacing w:after="0"/>
              <w:rPr>
                <w:sz w:val="20"/>
                <w:szCs w:val="20"/>
                <w:color w:val="auto"/>
              </w:rPr>
            </w:pPr>
            <w:r>
              <w:rPr>
                <w:rFonts w:ascii="Arial" w:cs="Arial" w:eastAsia="Arial" w:hAnsi="Arial"/>
                <w:sz w:val="12"/>
                <w:szCs w:val="12"/>
                <w:color w:val="auto"/>
              </w:rPr>
              <w:t>Nonperforming loans to total loans held-for-investment</w:t>
            </w: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7.2 %</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7.7 %</w:t>
            </w:r>
          </w:p>
        </w:tc>
      </w:tr>
      <w:tr>
        <w:trPr>
          <w:trHeight w:val="180"/>
        </w:trPr>
        <w:tc>
          <w:tcPr>
            <w:tcW w:w="6980" w:type="dxa"/>
            <w:vAlign w:val="bottom"/>
          </w:tcPr>
          <w:p>
            <w:pPr>
              <w:spacing w:after="0"/>
              <w:rPr>
                <w:sz w:val="20"/>
                <w:szCs w:val="20"/>
                <w:color w:val="auto"/>
              </w:rPr>
            </w:pPr>
            <w:r>
              <w:rPr>
                <w:rFonts w:ascii="Arial" w:cs="Arial" w:eastAsia="Arial" w:hAnsi="Arial"/>
                <w:sz w:val="12"/>
                <w:szCs w:val="12"/>
                <w:color w:val="auto"/>
              </w:rPr>
              <w:t>Unguaranteed nonperforming loans to total loans held-for-investment</w:t>
            </w: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3.3 %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3.5 %</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3.5 %</w:t>
            </w:r>
          </w:p>
        </w:tc>
      </w:tr>
      <w:tr>
        <w:trPr>
          <w:trHeight w:val="180"/>
        </w:trPr>
        <w:tc>
          <w:tcPr>
            <w:tcW w:w="6980" w:type="dxa"/>
            <w:vAlign w:val="bottom"/>
            <w:shd w:val="clear" w:color="auto" w:fill="CCEEFF"/>
          </w:tcPr>
          <w:p>
            <w:pPr>
              <w:spacing w:after="0"/>
              <w:rPr>
                <w:sz w:val="20"/>
                <w:szCs w:val="20"/>
                <w:color w:val="auto"/>
              </w:rPr>
            </w:pPr>
            <w:r>
              <w:rPr>
                <w:rFonts w:ascii="Arial" w:cs="Arial" w:eastAsia="Arial" w:hAnsi="Arial"/>
                <w:sz w:val="12"/>
                <w:szCs w:val="12"/>
                <w:color w:val="auto"/>
              </w:rPr>
              <w:t>Net charge-offs to average loans held-for-investment (annualized)</w:t>
            </w: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7.8 %</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2.3 %</w:t>
            </w:r>
          </w:p>
        </w:tc>
      </w:tr>
      <w:tr>
        <w:trPr>
          <w:trHeight w:val="180"/>
        </w:trPr>
        <w:tc>
          <w:tcPr>
            <w:tcW w:w="6980" w:type="dxa"/>
            <w:vAlign w:val="bottom"/>
          </w:tcPr>
          <w:p>
            <w:pPr>
              <w:spacing w:after="0"/>
              <w:rPr>
                <w:sz w:val="20"/>
                <w:szCs w:val="20"/>
                <w:color w:val="auto"/>
              </w:rPr>
            </w:pPr>
            <w:r>
              <w:rPr>
                <w:rFonts w:ascii="Arial" w:cs="Arial" w:eastAsia="Arial" w:hAnsi="Arial"/>
                <w:sz w:val="12"/>
                <w:szCs w:val="12"/>
                <w:color w:val="auto"/>
              </w:rPr>
              <w:t>Allowance for credit losses to total loans held-for-investment</w:t>
            </w: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13.6 %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8.3 %</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4.6 %</w:t>
            </w:r>
          </w:p>
        </w:tc>
      </w:tr>
      <w:tr>
        <w:trPr>
          <w:trHeight w:val="180"/>
        </w:trPr>
        <w:tc>
          <w:tcPr>
            <w:tcW w:w="6980" w:type="dxa"/>
            <w:vAlign w:val="bottom"/>
            <w:shd w:val="clear" w:color="auto" w:fill="CCEEFF"/>
          </w:tcPr>
          <w:p>
            <w:pPr>
              <w:spacing w:after="0"/>
              <w:rPr>
                <w:sz w:val="20"/>
                <w:szCs w:val="20"/>
                <w:color w:val="auto"/>
              </w:rPr>
            </w:pPr>
            <w:r>
              <w:rPr>
                <w:rFonts w:ascii="Arial" w:cs="Arial" w:eastAsia="Arial" w:hAnsi="Arial"/>
                <w:sz w:val="12"/>
                <w:szCs w:val="12"/>
                <w:color w:val="auto"/>
              </w:rPr>
              <w:t>Allowance for credit losses to total loans held-for-investment, excluding guaranteed and credit-enhanced balances</w:t>
            </w: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4.0 %</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3.8 %</w:t>
            </w:r>
          </w:p>
        </w:tc>
      </w:tr>
    </w:tbl>
    <w:p>
      <w:pPr>
        <w:spacing w:after="0" w:line="67" w:lineRule="exact"/>
        <w:rPr>
          <w:sz w:val="20"/>
          <w:szCs w:val="20"/>
          <w:color w:val="auto"/>
        </w:rPr>
      </w:pPr>
    </w:p>
    <w:p>
      <w:pPr>
        <w:ind w:left="228" w:hanging="228"/>
        <w:spacing w:after="0"/>
        <w:tabs>
          <w:tab w:leader="none" w:pos="228" w:val="left"/>
        </w:tabs>
        <w:numPr>
          <w:ilvl w:val="0"/>
          <w:numId w:val="8"/>
        </w:numPr>
        <w:rPr>
          <w:rFonts w:ascii="Arial" w:cs="Arial" w:eastAsia="Arial" w:hAnsi="Arial"/>
          <w:sz w:val="10"/>
          <w:szCs w:val="10"/>
          <w:color w:val="auto"/>
        </w:rPr>
      </w:pPr>
      <w:r>
        <w:rPr>
          <w:rFonts w:ascii="Arial" w:cs="Arial" w:eastAsia="Arial" w:hAnsi="Arial"/>
          <w:sz w:val="10"/>
          <w:szCs w:val="10"/>
          <w:color w:val="auto"/>
        </w:rPr>
        <w:t>Excludes the provision for unfunded commitments.</w:t>
      </w:r>
    </w:p>
    <w:p>
      <w:pPr>
        <w:spacing w:after="0" w:line="11" w:lineRule="exact"/>
        <w:rPr>
          <w:rFonts w:ascii="Arial" w:cs="Arial" w:eastAsia="Arial" w:hAnsi="Arial"/>
          <w:sz w:val="10"/>
          <w:szCs w:val="10"/>
          <w:color w:val="auto"/>
        </w:rPr>
      </w:pPr>
    </w:p>
    <w:p>
      <w:pPr>
        <w:ind w:left="8" w:right="480" w:hanging="8"/>
        <w:spacing w:after="0" w:line="283" w:lineRule="auto"/>
        <w:tabs>
          <w:tab w:leader="none" w:pos="232" w:val="left"/>
        </w:tabs>
        <w:numPr>
          <w:ilvl w:val="0"/>
          <w:numId w:val="8"/>
        </w:numPr>
        <w:rPr>
          <w:rFonts w:ascii="Arial" w:cs="Arial" w:eastAsia="Arial" w:hAnsi="Arial"/>
          <w:sz w:val="10"/>
          <w:szCs w:val="10"/>
          <w:color w:val="auto"/>
        </w:rPr>
      </w:pPr>
      <w:r>
        <w:rPr>
          <w:rFonts w:ascii="Arial" w:cs="Arial" w:eastAsia="Arial" w:hAnsi="Arial"/>
          <w:sz w:val="10"/>
          <w:szCs w:val="10"/>
          <w:color w:val="auto"/>
        </w:rPr>
        <w:t>Recoveries related to Strategic Program loans that were reimbursed fully on the credit enhanced portfolio totaled $9.5 million, $6.1 million, and $17.0 thousand for the three months ended September 30, 2026, June 30, 2026, and September 30, 2025, respectively.</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365F91"/>
        </w:rPr>
        <w:t>Webcast and Conference Call Information</w:t>
      </w:r>
    </w:p>
    <w:p>
      <w:pPr>
        <w:spacing w:after="0" w:line="26" w:lineRule="exact"/>
        <w:rPr>
          <w:sz w:val="20"/>
          <w:szCs w:val="20"/>
          <w:color w:val="auto"/>
        </w:rPr>
      </w:pPr>
    </w:p>
    <w:p>
      <w:pPr>
        <w:ind w:left="8" w:right="400"/>
        <w:spacing w:after="0" w:line="308" w:lineRule="auto"/>
        <w:rPr>
          <w:sz w:val="20"/>
          <w:szCs w:val="20"/>
          <w:color w:val="auto"/>
        </w:rPr>
      </w:pPr>
      <w:r>
        <w:rPr>
          <w:rFonts w:ascii="Arial" w:cs="Arial" w:eastAsia="Arial" w:hAnsi="Arial"/>
          <w:sz w:val="13"/>
          <w:szCs w:val="13"/>
          <w:color w:val="auto"/>
        </w:rPr>
        <w:t>FinWise will host a conference call today at 5:00 PM ET to discuss its financial results for the third quarter of 2026. A simultaneous audio webcast of the conference call will be available at https://investors.finwisebancorp.com/.</w:t>
      </w:r>
    </w:p>
    <w:p>
      <w:pPr>
        <w:spacing w:after="0" w:line="117" w:lineRule="exact"/>
        <w:rPr>
          <w:sz w:val="20"/>
          <w:szCs w:val="20"/>
          <w:color w:val="auto"/>
        </w:rPr>
      </w:pPr>
    </w:p>
    <w:p>
      <w:pPr>
        <w:ind w:left="8" w:right="600"/>
        <w:spacing w:after="0" w:line="327" w:lineRule="auto"/>
        <w:rPr>
          <w:sz w:val="20"/>
          <w:szCs w:val="20"/>
          <w:color w:val="auto"/>
        </w:rPr>
      </w:pPr>
      <w:r>
        <w:rPr>
          <w:rFonts w:ascii="Arial" w:cs="Arial" w:eastAsia="Arial" w:hAnsi="Arial"/>
          <w:sz w:val="13"/>
          <w:szCs w:val="13"/>
          <w:color w:val="auto"/>
        </w:rPr>
        <w:t>The dial-in number for the conference call is (877) 423-9813 (toll-free) or (201) 689-8573 (international). The conference ID is 13762479. Please dial the number 10 minutes prior to the scheduled start time.</w:t>
      </w:r>
    </w:p>
    <w:p>
      <w:pPr>
        <w:spacing w:after="0" w:line="106" w:lineRule="exact"/>
        <w:rPr>
          <w:sz w:val="20"/>
          <w:szCs w:val="20"/>
          <w:color w:val="auto"/>
        </w:rPr>
      </w:pPr>
    </w:p>
    <w:p>
      <w:pPr>
        <w:ind w:left="8"/>
        <w:spacing w:after="0"/>
        <w:rPr>
          <w:sz w:val="20"/>
          <w:szCs w:val="20"/>
          <w:color w:val="auto"/>
        </w:rPr>
      </w:pPr>
      <w:r>
        <w:rPr>
          <w:rFonts w:ascii="Arial" w:cs="Arial" w:eastAsia="Arial" w:hAnsi="Arial"/>
          <w:sz w:val="13"/>
          <w:szCs w:val="13"/>
          <w:color w:val="auto"/>
        </w:rPr>
        <w:t>A webcast replay of the call will be available at investors.finwisebancorp.com for six months following the call.</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365F91"/>
        </w:rPr>
        <w:t>About FinWise Bancorp</w:t>
      </w:r>
    </w:p>
    <w:p>
      <w:pPr>
        <w:spacing w:after="0" w:line="26" w:lineRule="exact"/>
        <w:rPr>
          <w:sz w:val="20"/>
          <w:szCs w:val="20"/>
          <w:color w:val="auto"/>
        </w:rPr>
      </w:pPr>
    </w:p>
    <w:p>
      <w:pPr>
        <w:ind w:left="8" w:right="160"/>
        <w:spacing w:after="0" w:line="290" w:lineRule="auto"/>
        <w:rPr>
          <w:sz w:val="20"/>
          <w:szCs w:val="20"/>
          <w:color w:val="auto"/>
        </w:rPr>
      </w:pPr>
      <w:r>
        <w:rPr>
          <w:rFonts w:ascii="Arial" w:cs="Arial" w:eastAsia="Arial" w:hAnsi="Arial"/>
          <w:sz w:val="13"/>
          <w:szCs w:val="13"/>
          <w:color w:val="auto"/>
        </w:rPr>
        <w:t>FinWise Bancorp is a Utah bank holding company headquartered in Murray, Utah which wholly owns FinWise Bank, a Utah chartered state bank, and FinWise Investment LLC (together “FinWise”). FinWise provides Banking and Payments solutions to fintech brands. FinWise’s existing Strategic Program Lending business, conducted through scalable API-driven infrastructure, powers deposit, lending and payments programs for leading fintech brands. As part of Strategic Program Lending, FinWise also provides a Credit Enhanced Balance Sheet Program, which addresses the challenges that lending and card programs face diversifying their funding sources and</w:t>
      </w:r>
    </w:p>
    <w:p>
      <w:pPr>
        <w:spacing w:after="0" w:line="66"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88"/>
          </w:cols>
          <w:pgMar w:left="292" w:top="590" w:right="319" w:bottom="1440" w:gutter="0" w:footer="0" w:header="0"/>
        </w:sectPr>
      </w:pPr>
    </w:p>
    <w:bookmarkStart w:id="12" w:name="page13"/>
    <w:bookmarkEnd w:id="12"/>
    <w:p>
      <w:pPr>
        <w:ind w:right="220"/>
        <w:spacing w:after="0" w:line="296" w:lineRule="auto"/>
        <w:rPr>
          <w:sz w:val="20"/>
          <w:szCs w:val="20"/>
          <w:color w:val="auto"/>
        </w:rPr>
      </w:pPr>
      <w:r>
        <w:rPr>
          <w:rFonts w:ascii="Arial" w:cs="Arial" w:eastAsia="Arial" w:hAnsi="Arial"/>
          <w:sz w:val="13"/>
          <w:szCs w:val="13"/>
          <w:color w:val="auto"/>
        </w:rPr>
        <w:t>managing capital efficiency. In addition, FinWise manages other Lending programs such as SBA 7(a), Owner Occupied Commercial Real Estate, and Leasing, which provide flexibility for disciplined balance sheet growth. FinWise is also expanding and diversifying its business model by incorporating Payments (MoneyRails™) and BIN Sponsorship offerings. Through its compliance oversight and risk management-first culture, FinWise is well positioned to guide fintechs through a rigorous process to facilitate regulatory compliance. For more information about FinWise visit https://investors.finwisebancorp.com.</w:t>
      </w:r>
    </w:p>
    <w:p>
      <w:pPr>
        <w:spacing w:after="0" w:line="126" w:lineRule="exact"/>
        <w:rPr>
          <w:sz w:val="20"/>
          <w:szCs w:val="20"/>
          <w:color w:val="auto"/>
        </w:rPr>
      </w:pPr>
    </w:p>
    <w:p>
      <w:pPr>
        <w:ind w:right="200"/>
        <w:spacing w:after="0" w:line="327" w:lineRule="auto"/>
        <w:rPr>
          <w:sz w:val="20"/>
          <w:szCs w:val="20"/>
          <w:color w:val="auto"/>
        </w:rPr>
      </w:pPr>
      <w:r>
        <w:rPr>
          <w:rFonts w:ascii="Arial" w:cs="Arial" w:eastAsia="Arial" w:hAnsi="Arial"/>
          <w:sz w:val="13"/>
          <w:szCs w:val="13"/>
          <w:color w:val="auto"/>
        </w:rPr>
        <w:t>We periodically provide information for investors on our corporate website, finwisebancorp.com, and our investor relations website, investors.finwisebancorp.com. This includes press releases and other information about financial performance, reports filed or furnished with the SEC, information on corporate governance, and details related to our annual meeting of shareholders.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365F91"/>
        </w:rPr>
        <w:t>"Safe Harbor" Statement Under the Private Securities Litigation Reform Act of 1995</w:t>
      </w:r>
    </w:p>
    <w:p>
      <w:pPr>
        <w:spacing w:after="0" w:line="26" w:lineRule="exact"/>
        <w:rPr>
          <w:sz w:val="20"/>
          <w:szCs w:val="20"/>
          <w:color w:val="auto"/>
        </w:rPr>
      </w:pPr>
    </w:p>
    <w:p>
      <w:pPr>
        <w:spacing w:after="0" w:line="286" w:lineRule="auto"/>
        <w:rPr>
          <w:sz w:val="20"/>
          <w:szCs w:val="20"/>
          <w:color w:val="auto"/>
        </w:rPr>
      </w:pPr>
      <w:r>
        <w:rPr>
          <w:rFonts w:ascii="Arial" w:cs="Arial" w:eastAsia="Arial" w:hAnsi="Arial"/>
          <w:sz w:val="13"/>
          <w:szCs w:val="13"/>
          <w:color w:val="auto"/>
        </w:rPr>
        <w:t>This release may contain forward-looking statements within the meaning of the “safe harbor” provisions of the Private Securities Litigation Reform Act of 1995. These forward-looking statements reflect the Company’s current views with respect to, among other things, the Company’s strategies, goals, beliefs, expectations, estimates, intentions, capital raising efforts, financial condition and results of operations, future performance and business. These statements are often, but not always, made through the use of words or phrases such as “may,” “should,” “could,” “predict,” “believe,” “expect,” “anticipate,” “seek,” “estimate,” “intend,” “plan,” “project,” “projection,” “forecast,” “budget,” “goal,” “target,” “would,” “aim” and “outlook,” or similar expressions generally indicate a forward-looking statement.</w:t>
      </w:r>
    </w:p>
    <w:p>
      <w:pPr>
        <w:spacing w:after="0" w:line="141" w:lineRule="exact"/>
        <w:rPr>
          <w:sz w:val="20"/>
          <w:szCs w:val="20"/>
          <w:color w:val="auto"/>
        </w:rPr>
      </w:pPr>
    </w:p>
    <w:p>
      <w:pPr>
        <w:ind w:right="120"/>
        <w:spacing w:after="0" w:line="296" w:lineRule="auto"/>
        <w:rPr>
          <w:sz w:val="20"/>
          <w:szCs w:val="20"/>
          <w:color w:val="auto"/>
        </w:rPr>
      </w:pPr>
      <w:r>
        <w:rPr>
          <w:rFonts w:ascii="Arial" w:cs="Arial" w:eastAsia="Arial" w:hAnsi="Arial"/>
          <w:sz w:val="13"/>
          <w:szCs w:val="13"/>
          <w:color w:val="auto"/>
        </w:rPr>
        <w:t>These forward-looking statements are based on management assumptions and involve risks and uncertainties that are subject to change based on various important factors, some of which are beyond the Company’s control. Numerous competitive, economic, regulatory, legal and technological events and factors, among others, could cause the Company’s actual results to differ</w:t>
      </w:r>
    </w:p>
    <w:p>
      <w:pPr>
        <w:ind w:right="140"/>
        <w:spacing w:after="0" w:line="296" w:lineRule="auto"/>
        <w:rPr>
          <w:sz w:val="20"/>
          <w:szCs w:val="20"/>
          <w:color w:val="auto"/>
        </w:rPr>
      </w:pPr>
      <w:r>
        <w:rPr>
          <w:rFonts w:ascii="Arial" w:cs="Arial" w:eastAsia="Arial" w:hAnsi="Arial"/>
          <w:sz w:val="13"/>
          <w:szCs w:val="13"/>
          <w:color w:val="auto"/>
        </w:rPr>
        <w:t>materially from those indicated in these forward-looking statements, including: the success of the financial technology and banking-as-a-service industries, as well as the continued evolution of the regulation of these industries; the Company’s ability to maintain and grow its relationships with its service providers and reliance on such providers to comply with regulatory regimes; the Company’s ability to keep pace with rapid technological changes in the industry or implement new technology effectively, in particular the recent advancements in artificial intelligence and the risks that such technology presents; ability to effectively manage and remediate system failure or cybersecurity breaches of the Company’s network security; the Company’s ability to measure</w:t>
      </w:r>
    </w:p>
    <w:p>
      <w:pPr>
        <w:ind w:right="20"/>
        <w:spacing w:after="0" w:line="289" w:lineRule="auto"/>
        <w:rPr>
          <w:sz w:val="20"/>
          <w:szCs w:val="20"/>
          <w:color w:val="auto"/>
        </w:rPr>
      </w:pPr>
      <w:r>
        <w:rPr>
          <w:rFonts w:ascii="Arial" w:cs="Arial" w:eastAsia="Arial" w:hAnsi="Arial"/>
          <w:sz w:val="13"/>
          <w:szCs w:val="13"/>
          <w:color w:val="auto"/>
        </w:rPr>
        <w:t xml:space="preserve">and manage its credit risk effectively and any deterioration of the business and economic conditions in the Company’s primary market areas; the adequacy of the Company’s allowance for credit losses; changes in Small Business Administration rules, regulations and loan products and the existing regulatory framework for brokered deposits; higher inflation and its impacts; the effects of changes in U.S. trade policies, including the imposition of tariffs and retaliatory tariffs on its trading partners; the value of collateral securing the Company’s loans; the Company’s levels of nonperforming assets; the potential for negative consequences resulting from regulatory violations, investigations and examinations, including potential supervisory actions, the assessment of fines and penalties, the imposition of sanctions, the need to undertake remedial actions and possible damage to the Company’s reputation; natural disasters and adverse weather, acts of terrorism, pandemics, an outbreak of hostilities or other international or domestic calamities, including the ongoing conflicts in Iran and Middle East that can increase levels of political and economic unpredictability, contribute to rising energy and commodity prices, and increase the volatility of financial markets; anticipated benefits of new lines of business that the Company may enter or investments or acquisitions the Company may make </w:t>
      </w:r>
      <w:r>
        <w:rPr>
          <w:rFonts w:ascii="Arial" w:cs="Arial" w:eastAsia="Arial" w:hAnsi="Arial"/>
          <w:sz w:val="14"/>
          <w:szCs w:val="14"/>
          <w:color w:val="auto"/>
        </w:rPr>
        <w:t>that</w:t>
      </w:r>
      <w:r>
        <w:rPr>
          <w:rFonts w:ascii="Arial" w:cs="Arial" w:eastAsia="Arial" w:hAnsi="Arial"/>
          <w:sz w:val="13"/>
          <w:szCs w:val="13"/>
          <w:color w:val="auto"/>
        </w:rPr>
        <w:t xml:space="preserve"> are not realized within the expected time frame or at all, including the Company’s ability to manage integration costs and the timing in disposing of acquired assets classified as discontinued operations</w:t>
      </w:r>
      <w:r>
        <w:rPr>
          <w:rFonts w:ascii="Arial" w:cs="Arial" w:eastAsia="Arial" w:hAnsi="Arial"/>
          <w:sz w:val="14"/>
          <w:szCs w:val="14"/>
          <w:color w:val="auto"/>
        </w:rPr>
        <w:t>;</w:t>
      </w:r>
      <w:r>
        <w:rPr>
          <w:rFonts w:ascii="Arial" w:cs="Arial" w:eastAsia="Arial" w:hAnsi="Arial"/>
          <w:sz w:val="13"/>
          <w:szCs w:val="13"/>
          <w:color w:val="auto"/>
        </w:rPr>
        <w:t xml:space="preserve"> further negative ratings outlooks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300"/>
          </w:cols>
          <w:pgMar w:left="300" w:top="566" w:right="299" w:bottom="1440" w:gutter="0" w:footer="0" w:header="0"/>
        </w:sectPr>
      </w:pPr>
    </w:p>
    <w:bookmarkStart w:id="13" w:name="page14"/>
    <w:bookmarkEnd w:id="13"/>
    <w:p>
      <w:pPr>
        <w:ind w:right="240"/>
        <w:spacing w:after="0" w:line="283" w:lineRule="auto"/>
        <w:rPr>
          <w:sz w:val="20"/>
          <w:szCs w:val="20"/>
          <w:color w:val="auto"/>
        </w:rPr>
      </w:pPr>
      <w:r>
        <w:rPr>
          <w:rFonts w:ascii="Arial" w:cs="Arial" w:eastAsia="Arial" w:hAnsi="Arial"/>
          <w:sz w:val="13"/>
          <w:szCs w:val="13"/>
          <w:color w:val="auto"/>
        </w:rPr>
        <w:t>or downgrades of the long-term credit rating of the United States; and potential government shutdowns and other political impasses, including with respect to the debt ceiling and the federal budget of the United States.</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The Company cautions that the foregoing factors are not exclusive, and neither such factors nor any such forward-looking statement takes into account the impact of any future events. All forward-looking statements and information set forth herein are based on management’s current beliefs and assumptions as of the date hereof and speak only as of the date they are made. For a more complete discussion of the assumptions, risks and uncertainties related to our business, you are encouraged to review the Company’s filings with the Securities and Exchange Commission, including its most recent annual report on Form 10-K. The Company does not undertake to update any forward-looking statement whether written or oral, that may be made from time to time by the Company or by or on behalf of the Company, except as may be required under applicable law.</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365F91"/>
        </w:rPr>
        <w:t>Contacts</w:t>
      </w:r>
    </w:p>
    <w:p>
      <w:pPr>
        <w:spacing w:after="0" w:line="214" w:lineRule="auto"/>
        <w:rPr>
          <w:sz w:val="20"/>
          <w:szCs w:val="20"/>
          <w:color w:val="auto"/>
        </w:rPr>
      </w:pPr>
      <w:r>
        <w:rPr>
          <w:rFonts w:ascii="Arial" w:cs="Arial" w:eastAsia="Arial" w:hAnsi="Arial"/>
          <w:sz w:val="13"/>
          <w:szCs w:val="13"/>
          <w:color w:val="auto"/>
        </w:rPr>
        <w:t>investors@finwisebank.com</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media@finwisebank.com</w:t>
      </w: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200"/>
          </w:cols>
          <w:pgMar w:left="300" w:top="566" w:right="399" w:bottom="1440" w:gutter="0" w:footer="0" w:header="0"/>
        </w:sectPr>
      </w:pPr>
    </w:p>
    <w:bookmarkStart w:id="14" w:name="page15"/>
    <w:bookmarkEnd w:id="14"/>
    <w:p>
      <w:pPr>
        <w:ind w:left="5020"/>
        <w:spacing w:after="0"/>
        <w:rPr>
          <w:sz w:val="20"/>
          <w:szCs w:val="20"/>
          <w:color w:val="auto"/>
        </w:rPr>
      </w:pPr>
      <w:r>
        <w:rPr>
          <w:rFonts w:ascii="Arial" w:cs="Arial" w:eastAsia="Arial" w:hAnsi="Arial"/>
          <w:sz w:val="13"/>
          <w:szCs w:val="13"/>
          <w:b w:val="1"/>
          <w:bCs w:val="1"/>
          <w:color w:val="365F91"/>
        </w:rPr>
        <w:t>FINWISE BANCORP</w:t>
      </w:r>
    </w:p>
    <w:p>
      <w:pPr>
        <w:spacing w:after="0" w:line="25" w:lineRule="exact"/>
        <w:rPr>
          <w:sz w:val="20"/>
          <w:szCs w:val="20"/>
          <w:color w:val="auto"/>
        </w:rPr>
      </w:pPr>
    </w:p>
    <w:p>
      <w:pPr>
        <w:ind w:left="4500"/>
        <w:spacing w:after="0"/>
        <w:rPr>
          <w:sz w:val="20"/>
          <w:szCs w:val="20"/>
          <w:color w:val="auto"/>
        </w:rPr>
      </w:pPr>
      <w:r>
        <w:rPr>
          <w:rFonts w:ascii="Arial" w:cs="Arial" w:eastAsia="Arial" w:hAnsi="Arial"/>
          <w:sz w:val="13"/>
          <w:szCs w:val="13"/>
          <w:b w:val="1"/>
          <w:bCs w:val="1"/>
          <w:color w:val="365F91"/>
        </w:rPr>
        <w:t>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365F91"/>
        </w:rPr>
        <w:t>($ in thousands; 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0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9/30/2026</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6/30/2026</w:t>
            </w: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9/30/2025</w:t>
            </w:r>
          </w:p>
        </w:tc>
      </w:tr>
      <w:tr>
        <w:trPr>
          <w:trHeight w:val="133"/>
        </w:trPr>
        <w:tc>
          <w:tcPr>
            <w:tcW w:w="702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b w:val="1"/>
                <w:bCs w:val="1"/>
                <w:color w:val="auto"/>
              </w:rPr>
              <w:t>ASSETS</w:t>
            </w: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153"/>
        </w:trPr>
        <w:tc>
          <w:tcPr>
            <w:tcW w:w="7020" w:type="dxa"/>
            <w:vAlign w:val="bottom"/>
          </w:tcPr>
          <w:p>
            <w:pPr>
              <w:ind w:left="180"/>
              <w:spacing w:after="0"/>
              <w:rPr>
                <w:sz w:val="20"/>
                <w:szCs w:val="20"/>
                <w:color w:val="auto"/>
              </w:rPr>
            </w:pPr>
            <w:r>
              <w:rPr>
                <w:rFonts w:ascii="Arial" w:cs="Arial" w:eastAsia="Arial" w:hAnsi="Arial"/>
                <w:sz w:val="12"/>
                <w:szCs w:val="12"/>
                <w:color w:val="auto"/>
              </w:rPr>
              <w:t>Cash and cash equivalents</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3"/>
        </w:trPr>
        <w:tc>
          <w:tcPr>
            <w:tcW w:w="7020" w:type="dxa"/>
            <w:vAlign w:val="bottom"/>
            <w:shd w:val="clear" w:color="auto" w:fill="CCEEFF"/>
          </w:tcPr>
          <w:p>
            <w:pPr>
              <w:ind w:left="360"/>
              <w:spacing w:after="0"/>
              <w:rPr>
                <w:sz w:val="20"/>
                <w:szCs w:val="20"/>
                <w:color w:val="auto"/>
              </w:rPr>
            </w:pPr>
            <w:r>
              <w:rPr>
                <w:rFonts w:ascii="Arial" w:cs="Arial" w:eastAsia="Arial" w:hAnsi="Arial"/>
                <w:sz w:val="12"/>
                <w:szCs w:val="12"/>
                <w:color w:val="auto"/>
              </w:rPr>
              <w:t>Cash and due from banks</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8,786</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6,111</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10,362</w:t>
            </w:r>
          </w:p>
        </w:tc>
      </w:tr>
      <w:tr>
        <w:trPr>
          <w:trHeight w:val="153"/>
        </w:trPr>
        <w:tc>
          <w:tcPr>
            <w:tcW w:w="7020" w:type="dxa"/>
            <w:vAlign w:val="bottom"/>
            <w:tcBorders>
              <w:bottom w:val="single" w:sz="8" w:color="CCEEFF"/>
            </w:tcBorders>
          </w:tcPr>
          <w:p>
            <w:pPr>
              <w:ind w:left="360"/>
              <w:spacing w:after="0"/>
              <w:rPr>
                <w:sz w:val="20"/>
                <w:szCs w:val="20"/>
                <w:color w:val="auto"/>
              </w:rPr>
            </w:pPr>
            <w:r>
              <w:rPr>
                <w:rFonts w:ascii="Arial" w:cs="Arial" w:eastAsia="Arial" w:hAnsi="Arial"/>
                <w:sz w:val="12"/>
                <w:szCs w:val="12"/>
                <w:color w:val="auto"/>
              </w:rPr>
              <w:t>Interest-bearing deposits</w:t>
            </w: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83,786</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87,527</w:t>
            </w: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95,265</w:t>
            </w:r>
          </w:p>
        </w:tc>
      </w:tr>
      <w:tr>
        <w:trPr>
          <w:trHeight w:val="142"/>
        </w:trPr>
        <w:tc>
          <w:tcPr>
            <w:tcW w:w="70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cash and cash equivalents</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92,572</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93,638</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105,627</w:t>
            </w:r>
          </w:p>
        </w:tc>
      </w:tr>
      <w:tr>
        <w:trPr>
          <w:trHeight w:val="153"/>
        </w:trPr>
        <w:tc>
          <w:tcPr>
            <w:tcW w:w="7020" w:type="dxa"/>
            <w:vAlign w:val="bottom"/>
          </w:tcPr>
          <w:p>
            <w:pPr>
              <w:ind w:left="180"/>
              <w:spacing w:after="0"/>
              <w:rPr>
                <w:sz w:val="20"/>
                <w:szCs w:val="20"/>
                <w:color w:val="auto"/>
              </w:rPr>
            </w:pPr>
            <w:r>
              <w:rPr>
                <w:rFonts w:ascii="Arial" w:cs="Arial" w:eastAsia="Arial" w:hAnsi="Arial"/>
                <w:sz w:val="12"/>
                <w:szCs w:val="12"/>
                <w:color w:val="auto"/>
              </w:rPr>
              <w:t>Investment securities available-for-sale, at fair value</w:t>
            </w: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24,998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27,546</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27,761</w:t>
            </w:r>
          </w:p>
        </w:tc>
      </w:tr>
      <w:tr>
        <w:trPr>
          <w:trHeight w:val="153"/>
        </w:trPr>
        <w:tc>
          <w:tcPr>
            <w:tcW w:w="70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Investment securities held-to-maturity, at cost</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8,414</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8,882</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10,617</w:t>
            </w:r>
          </w:p>
        </w:tc>
      </w:tr>
      <w:tr>
        <w:trPr>
          <w:trHeight w:val="153"/>
        </w:trPr>
        <w:tc>
          <w:tcPr>
            <w:tcW w:w="7020" w:type="dxa"/>
            <w:vAlign w:val="bottom"/>
          </w:tcPr>
          <w:p>
            <w:pPr>
              <w:ind w:left="180"/>
              <w:spacing w:after="0"/>
              <w:rPr>
                <w:sz w:val="20"/>
                <w:szCs w:val="20"/>
                <w:color w:val="auto"/>
              </w:rPr>
            </w:pPr>
            <w:r>
              <w:rPr>
                <w:rFonts w:ascii="Arial" w:cs="Arial" w:eastAsia="Arial" w:hAnsi="Arial"/>
                <w:sz w:val="12"/>
                <w:szCs w:val="12"/>
                <w:color w:val="auto"/>
              </w:rPr>
              <w:t>Strategic Program loans held-for-sale, at lower of cost or fair value</w:t>
            </w: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134,661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164,906</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156,718</w:t>
            </w:r>
          </w:p>
        </w:tc>
      </w:tr>
      <w:tr>
        <w:trPr>
          <w:trHeight w:val="153"/>
        </w:trPr>
        <w:tc>
          <w:tcPr>
            <w:tcW w:w="70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Loans held-for-investment, net</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505,328</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482,302</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533,347</w:t>
            </w:r>
          </w:p>
        </w:tc>
      </w:tr>
      <w:tr>
        <w:trPr>
          <w:trHeight w:val="153"/>
        </w:trPr>
        <w:tc>
          <w:tcPr>
            <w:tcW w:w="7020" w:type="dxa"/>
            <w:vAlign w:val="bottom"/>
          </w:tcPr>
          <w:p>
            <w:pPr>
              <w:ind w:left="180"/>
              <w:spacing w:after="0"/>
              <w:rPr>
                <w:sz w:val="20"/>
                <w:szCs w:val="20"/>
                <w:color w:val="auto"/>
              </w:rPr>
            </w:pPr>
            <w:r>
              <w:rPr>
                <w:rFonts w:ascii="Arial" w:cs="Arial" w:eastAsia="Arial" w:hAnsi="Arial"/>
                <w:sz w:val="12"/>
                <w:szCs w:val="12"/>
                <w:color w:val="auto"/>
              </w:rPr>
              <w:t>Credit enhancement asset</w:t>
            </w: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64,247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28,322</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11,214</w:t>
            </w:r>
          </w:p>
        </w:tc>
      </w:tr>
      <w:tr>
        <w:trPr>
          <w:trHeight w:val="153"/>
        </w:trPr>
        <w:tc>
          <w:tcPr>
            <w:tcW w:w="70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Assets subject to operating leases, net</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10,040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11,107</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13,317</w:t>
            </w:r>
          </w:p>
        </w:tc>
      </w:tr>
      <w:tr>
        <w:trPr>
          <w:trHeight w:val="153"/>
        </w:trPr>
        <w:tc>
          <w:tcPr>
            <w:tcW w:w="7020" w:type="dxa"/>
            <w:vAlign w:val="bottom"/>
          </w:tcPr>
          <w:p>
            <w:pPr>
              <w:ind w:left="180"/>
              <w:spacing w:after="0"/>
              <w:rPr>
                <w:sz w:val="20"/>
                <w:szCs w:val="20"/>
                <w:color w:val="auto"/>
              </w:rPr>
            </w:pPr>
            <w:r>
              <w:rPr>
                <w:rFonts w:ascii="Arial" w:cs="Arial" w:eastAsia="Arial" w:hAnsi="Arial"/>
                <w:sz w:val="12"/>
                <w:szCs w:val="12"/>
                <w:color w:val="auto"/>
              </w:rPr>
              <w:t>Deferred taxes, net</w:t>
            </w: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2,926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2,848</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1,079</w:t>
            </w:r>
          </w:p>
        </w:tc>
      </w:tr>
      <w:tr>
        <w:trPr>
          <w:trHeight w:val="153"/>
        </w:trPr>
        <w:tc>
          <w:tcPr>
            <w:tcW w:w="70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Assets of discontinued operations</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42,258</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46,822</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702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Other assets</w:t>
            </w: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72,881</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58,938</w:t>
            </w: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40,249</w:t>
            </w:r>
          </w:p>
        </w:tc>
      </w:tr>
      <w:tr>
        <w:trPr>
          <w:trHeight w:val="15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assets</w:t>
            </w:r>
          </w:p>
        </w:tc>
        <w:tc>
          <w:tcPr>
            <w:tcW w:w="240" w:type="dxa"/>
            <w:vAlign w:val="bottom"/>
            <w:tcBorders>
              <w:bottom w:val="single" w:sz="8" w:color="242424"/>
            </w:tcBorders>
            <w:shd w:val="clear" w:color="auto" w:fill="CCEEFF"/>
          </w:tcPr>
          <w:p>
            <w:pPr>
              <w:jc w:val="right"/>
              <w:ind w:right="100"/>
              <w:spacing w:after="0"/>
              <w:rPr>
                <w:sz w:val="20"/>
                <w:szCs w:val="20"/>
                <w:color w:val="auto"/>
              </w:rPr>
            </w:pPr>
            <w:r>
              <w:rPr>
                <w:rFonts w:ascii="Arial" w:cs="Arial" w:eastAsia="Arial" w:hAnsi="Arial"/>
                <w:sz w:val="12"/>
                <w:szCs w:val="12"/>
                <w:b w:val="1"/>
                <w:bCs w:val="1"/>
                <w:color w:val="auto"/>
                <w:w w:val="89"/>
              </w:rPr>
              <w:t>$</w:t>
            </w:r>
          </w:p>
        </w:tc>
        <w:tc>
          <w:tcPr>
            <w:tcW w:w="1120" w:type="dxa"/>
            <w:vAlign w:val="bottom"/>
            <w:tcBorders>
              <w:bottom w:val="single" w:sz="8" w:color="242424"/>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958,325</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242424"/>
            </w:tcBorders>
            <w:shd w:val="clear" w:color="auto" w:fill="CCEEFF"/>
          </w:tcPr>
          <w:p>
            <w:pPr>
              <w:jc w:val="right"/>
              <w:ind w:right="120"/>
              <w:spacing w:after="0"/>
              <w:rPr>
                <w:sz w:val="20"/>
                <w:szCs w:val="20"/>
                <w:color w:val="auto"/>
              </w:rPr>
            </w:pPr>
            <w:r>
              <w:rPr>
                <w:rFonts w:ascii="Arial" w:cs="Arial" w:eastAsia="Arial" w:hAnsi="Arial"/>
                <w:sz w:val="12"/>
                <w:szCs w:val="12"/>
                <w:b w:val="1"/>
                <w:bCs w:val="1"/>
                <w:color w:val="auto"/>
                <w:w w:val="89"/>
              </w:rPr>
              <w:t>$</w:t>
            </w:r>
          </w:p>
        </w:tc>
        <w:tc>
          <w:tcPr>
            <w:tcW w:w="1120" w:type="dxa"/>
            <w:vAlign w:val="bottom"/>
            <w:tcBorders>
              <w:bottom w:val="single" w:sz="8" w:color="242424"/>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925,311</w:t>
            </w:r>
          </w:p>
        </w:tc>
        <w:tc>
          <w:tcPr>
            <w:tcW w:w="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242424"/>
            </w:tcBorders>
            <w:shd w:val="clear" w:color="auto" w:fill="CCEEFF"/>
          </w:tcPr>
          <w:p>
            <w:pPr>
              <w:jc w:val="right"/>
              <w:ind w:right="120"/>
              <w:spacing w:after="0"/>
              <w:rPr>
                <w:sz w:val="20"/>
                <w:szCs w:val="20"/>
                <w:color w:val="auto"/>
              </w:rPr>
            </w:pPr>
            <w:r>
              <w:rPr>
                <w:rFonts w:ascii="Arial" w:cs="Arial" w:eastAsia="Arial" w:hAnsi="Arial"/>
                <w:sz w:val="12"/>
                <w:szCs w:val="12"/>
                <w:b w:val="1"/>
                <w:bCs w:val="1"/>
                <w:color w:val="auto"/>
                <w:w w:val="89"/>
              </w:rPr>
              <w:t>$</w:t>
            </w:r>
          </w:p>
        </w:tc>
        <w:tc>
          <w:tcPr>
            <w:tcW w:w="1120" w:type="dxa"/>
            <w:vAlign w:val="bottom"/>
            <w:tcBorders>
              <w:bottom w:val="single" w:sz="8" w:color="242424"/>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899,929</w:t>
            </w:r>
          </w:p>
        </w:tc>
      </w:tr>
      <w:tr>
        <w:trPr>
          <w:trHeight w:val="36"/>
        </w:trPr>
        <w:tc>
          <w:tcPr>
            <w:tcW w:w="7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153"/>
        </w:trPr>
        <w:tc>
          <w:tcPr>
            <w:tcW w:w="70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LIABILITIES AND SHAREHOLDERS’ EQUITY</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53"/>
        </w:trPr>
        <w:tc>
          <w:tcPr>
            <w:tcW w:w="7020" w:type="dxa"/>
            <w:vAlign w:val="bottom"/>
          </w:tcPr>
          <w:p>
            <w:pPr>
              <w:ind w:left="20"/>
              <w:spacing w:after="0"/>
              <w:rPr>
                <w:sz w:val="20"/>
                <w:szCs w:val="20"/>
                <w:color w:val="auto"/>
              </w:rPr>
            </w:pPr>
            <w:r>
              <w:rPr>
                <w:rFonts w:ascii="Arial" w:cs="Arial" w:eastAsia="Arial" w:hAnsi="Arial"/>
                <w:sz w:val="12"/>
                <w:szCs w:val="12"/>
                <w:b w:val="1"/>
                <w:bCs w:val="1"/>
                <w:color w:val="auto"/>
              </w:rPr>
              <w:t>Liabilities</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3"/>
        </w:trPr>
        <w:tc>
          <w:tcPr>
            <w:tcW w:w="70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Deposits</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53"/>
        </w:trPr>
        <w:tc>
          <w:tcPr>
            <w:tcW w:w="7020" w:type="dxa"/>
            <w:vAlign w:val="bottom"/>
          </w:tcPr>
          <w:p>
            <w:pPr>
              <w:ind w:left="260"/>
              <w:spacing w:after="0"/>
              <w:rPr>
                <w:sz w:val="20"/>
                <w:szCs w:val="20"/>
                <w:color w:val="auto"/>
              </w:rPr>
            </w:pPr>
            <w:r>
              <w:rPr>
                <w:rFonts w:ascii="Arial" w:cs="Arial" w:eastAsia="Arial" w:hAnsi="Arial"/>
                <w:sz w:val="12"/>
                <w:szCs w:val="12"/>
                <w:color w:val="auto"/>
              </w:rPr>
              <w:t>Noninterest-bearing</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137,425</w:t>
            </w:r>
          </w:p>
        </w:tc>
        <w:tc>
          <w:tcPr>
            <w:tcW w:w="8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118,926</w:t>
            </w:r>
          </w:p>
        </w:tc>
        <w:tc>
          <w:tcPr>
            <w:tcW w:w="6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130,601</w:t>
            </w:r>
          </w:p>
        </w:tc>
      </w:tr>
      <w:tr>
        <w:trPr>
          <w:trHeight w:val="153"/>
        </w:trPr>
        <w:tc>
          <w:tcPr>
            <w:tcW w:w="70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Interest-bearing</w:t>
            </w:r>
          </w:p>
        </w:tc>
        <w:tc>
          <w:tcPr>
            <w:tcW w:w="2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570,176</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574,873</w:t>
            </w:r>
          </w:p>
        </w:tc>
        <w:tc>
          <w:tcPr>
            <w:tcW w:w="6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551,709</w:t>
            </w:r>
          </w:p>
        </w:tc>
      </w:tr>
      <w:tr>
        <w:trPr>
          <w:trHeight w:val="142"/>
        </w:trPr>
        <w:tc>
          <w:tcPr>
            <w:tcW w:w="7020" w:type="dxa"/>
            <w:vAlign w:val="bottom"/>
          </w:tcPr>
          <w:p>
            <w:pPr>
              <w:ind w:left="180"/>
              <w:spacing w:after="0"/>
              <w:rPr>
                <w:sz w:val="20"/>
                <w:szCs w:val="20"/>
                <w:color w:val="auto"/>
              </w:rPr>
            </w:pPr>
            <w:r>
              <w:rPr>
                <w:rFonts w:ascii="Arial" w:cs="Arial" w:eastAsia="Arial" w:hAnsi="Arial"/>
                <w:sz w:val="12"/>
                <w:szCs w:val="12"/>
                <w:b w:val="1"/>
                <w:bCs w:val="1"/>
                <w:color w:val="auto"/>
              </w:rPr>
              <w:t>Total deposits</w:t>
            </w: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707,601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693,799</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682,310</w:t>
            </w:r>
          </w:p>
        </w:tc>
      </w:tr>
      <w:tr>
        <w:trPr>
          <w:trHeight w:val="153"/>
        </w:trPr>
        <w:tc>
          <w:tcPr>
            <w:tcW w:w="70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Liabilities of discontinued operations</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8,297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702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Other liabilities</w:t>
            </w: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34,377</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32,159</w:t>
            </w: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29,854</w:t>
            </w:r>
          </w:p>
        </w:tc>
      </w:tr>
      <w:tr>
        <w:trPr>
          <w:trHeight w:val="142"/>
        </w:trPr>
        <w:tc>
          <w:tcPr>
            <w:tcW w:w="70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Total liabilities</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750,275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726,120</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712,164</w:t>
            </w:r>
          </w:p>
        </w:tc>
      </w:tr>
      <w:tr>
        <w:trPr>
          <w:trHeight w:val="36"/>
        </w:trPr>
        <w:tc>
          <w:tcPr>
            <w:tcW w:w="7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153"/>
        </w:trPr>
        <w:tc>
          <w:tcPr>
            <w:tcW w:w="70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Shareholders’ equity</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62"/>
        </w:trPr>
        <w:tc>
          <w:tcPr>
            <w:tcW w:w="7020" w:type="dxa"/>
            <w:vAlign w:val="bottom"/>
          </w:tcPr>
          <w:p>
            <w:pPr>
              <w:ind w:left="180"/>
              <w:spacing w:after="0"/>
              <w:rPr>
                <w:sz w:val="20"/>
                <w:szCs w:val="20"/>
                <w:color w:val="auto"/>
              </w:rPr>
            </w:pPr>
            <w:r>
              <w:rPr>
                <w:rFonts w:ascii="Arial" w:cs="Arial" w:eastAsia="Arial" w:hAnsi="Arial"/>
                <w:sz w:val="11"/>
                <w:szCs w:val="11"/>
                <w:color w:val="auto"/>
              </w:rPr>
              <w:t>Common stock</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14</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153"/>
        </w:trPr>
        <w:tc>
          <w:tcPr>
            <w:tcW w:w="70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Additional paid-in-capital</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61,739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62,359</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59,417</w:t>
            </w:r>
          </w:p>
        </w:tc>
      </w:tr>
      <w:tr>
        <w:trPr>
          <w:trHeight w:val="153"/>
        </w:trPr>
        <w:tc>
          <w:tcPr>
            <w:tcW w:w="7020" w:type="dxa"/>
            <w:vAlign w:val="bottom"/>
          </w:tcPr>
          <w:p>
            <w:pPr>
              <w:ind w:left="180"/>
              <w:spacing w:after="0"/>
              <w:rPr>
                <w:sz w:val="20"/>
                <w:szCs w:val="20"/>
                <w:color w:val="auto"/>
              </w:rPr>
            </w:pPr>
            <w:r>
              <w:rPr>
                <w:rFonts w:ascii="Arial" w:cs="Arial" w:eastAsia="Arial" w:hAnsi="Arial"/>
                <w:sz w:val="12"/>
                <w:szCs w:val="12"/>
                <w:color w:val="auto"/>
              </w:rPr>
              <w:t>Retained earnings</w:t>
            </w: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146,308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136,804</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128,282</w:t>
            </w:r>
          </w:p>
        </w:tc>
      </w:tr>
      <w:tr>
        <w:trPr>
          <w:trHeight w:val="153"/>
        </w:trPr>
        <w:tc>
          <w:tcPr>
            <w:tcW w:w="70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Accumulated other comprehensive income (loss), net of tax</w:t>
            </w:r>
          </w:p>
        </w:tc>
        <w:tc>
          <w:tcPr>
            <w:tcW w:w="2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6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w:t>
            </w:r>
          </w:p>
        </w:tc>
      </w:tr>
      <w:tr>
        <w:trPr>
          <w:trHeight w:val="142"/>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Total shareholders’ equity</w:t>
            </w: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208,050</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199,191</w:t>
            </w: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187,765</w:t>
            </w:r>
          </w:p>
        </w:tc>
      </w:tr>
      <w:tr>
        <w:trPr>
          <w:trHeight w:val="15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liabilities and shareholders’ equity</w:t>
            </w: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b w:val="1"/>
                <w:bCs w:val="1"/>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958,325</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b w:val="1"/>
                <w:bCs w:val="1"/>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925,311</w:t>
            </w:r>
          </w:p>
        </w:tc>
        <w:tc>
          <w:tcPr>
            <w:tcW w:w="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b w:val="1"/>
                <w:bCs w:val="1"/>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899,929</w:t>
            </w: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280"/>
          </w:cols>
          <w:pgMar w:left="300" w:top="287" w:right="319" w:bottom="1440" w:gutter="0" w:footer="0" w:header="0"/>
        </w:sectPr>
      </w:pPr>
    </w:p>
    <w:bookmarkStart w:id="15" w:name="page16"/>
    <w:bookmarkEnd w:id="15"/>
    <w:p>
      <w:pPr>
        <w:ind w:left="5020"/>
        <w:spacing w:after="0"/>
        <w:rPr>
          <w:sz w:val="20"/>
          <w:szCs w:val="20"/>
          <w:color w:val="auto"/>
        </w:rPr>
      </w:pPr>
      <w:r>
        <w:rPr>
          <w:rFonts w:ascii="Arial" w:cs="Arial" w:eastAsia="Arial" w:hAnsi="Arial"/>
          <w:sz w:val="13"/>
          <w:szCs w:val="13"/>
          <w:b w:val="1"/>
          <w:bCs w:val="1"/>
          <w:color w:val="365F91"/>
        </w:rPr>
        <w:t>FINWISE BANCORP</w:t>
      </w:r>
    </w:p>
    <w:p>
      <w:pPr>
        <w:spacing w:after="0" w:line="25" w:lineRule="exact"/>
        <w:rPr>
          <w:sz w:val="20"/>
          <w:szCs w:val="20"/>
          <w:color w:val="auto"/>
        </w:rPr>
      </w:pPr>
    </w:p>
    <w:p>
      <w:pPr>
        <w:ind w:left="4280"/>
        <w:spacing w:after="0"/>
        <w:rPr>
          <w:sz w:val="20"/>
          <w:szCs w:val="20"/>
          <w:color w:val="auto"/>
        </w:rPr>
      </w:pPr>
      <w:r>
        <w:rPr>
          <w:rFonts w:ascii="Arial" w:cs="Arial" w:eastAsia="Arial" w:hAnsi="Arial"/>
          <w:sz w:val="13"/>
          <w:szCs w:val="13"/>
          <w:b w:val="1"/>
          <w:bCs w:val="1"/>
          <w:color w:val="365F91"/>
        </w:rPr>
        <w:t>CONSOLIDATED STATEMENTS OF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365F91"/>
        </w:rPr>
        <w:t>($ in thousands, except per share amounts; 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0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Three Months Ended</w:t>
            </w: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r>
      <w:tr>
        <w:trPr>
          <w:trHeight w:val="133"/>
        </w:trPr>
        <w:tc>
          <w:tcPr>
            <w:tcW w:w="70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9/30/2026</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6/30/2026</w:t>
            </w:r>
          </w:p>
        </w:tc>
        <w:tc>
          <w:tcPr>
            <w:tcW w:w="6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383"/>
              <w:spacing w:after="0"/>
              <w:rPr>
                <w:sz w:val="20"/>
                <w:szCs w:val="20"/>
                <w:color w:val="auto"/>
              </w:rPr>
            </w:pPr>
            <w:r>
              <w:rPr>
                <w:rFonts w:ascii="Arial" w:cs="Arial" w:eastAsia="Arial" w:hAnsi="Arial"/>
                <w:sz w:val="11"/>
                <w:szCs w:val="11"/>
                <w:b w:val="1"/>
                <w:bCs w:val="1"/>
                <w:color w:val="auto"/>
              </w:rPr>
              <w:t>9/30/2025</w:t>
            </w:r>
          </w:p>
        </w:tc>
      </w:tr>
      <w:tr>
        <w:trPr>
          <w:trHeight w:val="124"/>
        </w:trPr>
        <w:tc>
          <w:tcPr>
            <w:tcW w:w="702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b w:val="1"/>
                <w:bCs w:val="1"/>
                <w:color w:val="auto"/>
              </w:rPr>
              <w:t>Interest income</w:t>
            </w:r>
          </w:p>
        </w:tc>
        <w:tc>
          <w:tcPr>
            <w:tcW w:w="2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153"/>
        </w:trPr>
        <w:tc>
          <w:tcPr>
            <w:tcW w:w="7020" w:type="dxa"/>
            <w:vAlign w:val="bottom"/>
          </w:tcPr>
          <w:p>
            <w:pPr>
              <w:ind w:left="180"/>
              <w:spacing w:after="0"/>
              <w:rPr>
                <w:sz w:val="20"/>
                <w:szCs w:val="20"/>
                <w:color w:val="auto"/>
              </w:rPr>
            </w:pPr>
            <w:r>
              <w:rPr>
                <w:rFonts w:ascii="Arial" w:cs="Arial" w:eastAsia="Arial" w:hAnsi="Arial"/>
                <w:sz w:val="11"/>
                <w:szCs w:val="11"/>
                <w:color w:val="auto"/>
              </w:rPr>
              <w:t>Interest and fees on loans</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45,569</w:t>
            </w:r>
          </w:p>
        </w:tc>
        <w:tc>
          <w:tcPr>
            <w:tcW w:w="80" w:type="dxa"/>
            <w:vAlign w:val="bottom"/>
          </w:tcPr>
          <w:p>
            <w:pPr>
              <w:spacing w:after="0"/>
              <w:rPr>
                <w:sz w:val="13"/>
                <w:szCs w:val="13"/>
                <w:color w:val="auto"/>
              </w:rPr>
            </w:pP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3"/>
              <w:spacing w:after="0"/>
              <w:rPr>
                <w:sz w:val="20"/>
                <w:szCs w:val="20"/>
                <w:color w:val="auto"/>
              </w:rPr>
            </w:pPr>
            <w:r>
              <w:rPr>
                <w:rFonts w:ascii="Arial" w:cs="Arial" w:eastAsia="Arial" w:hAnsi="Arial"/>
                <w:sz w:val="12"/>
                <w:szCs w:val="12"/>
                <w:color w:val="auto"/>
              </w:rPr>
              <w:t>31,922</w:t>
            </w:r>
          </w:p>
        </w:tc>
        <w:tc>
          <w:tcPr>
            <w:tcW w:w="60" w:type="dxa"/>
            <w:vAlign w:val="bottom"/>
          </w:tcPr>
          <w:p>
            <w:pPr>
              <w:spacing w:after="0"/>
              <w:rPr>
                <w:sz w:val="13"/>
                <w:szCs w:val="13"/>
                <w:color w:val="auto"/>
              </w:rPr>
            </w:pP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22,532</w:t>
            </w:r>
          </w:p>
        </w:tc>
      </w:tr>
      <w:tr>
        <w:trPr>
          <w:trHeight w:val="153"/>
        </w:trPr>
        <w:tc>
          <w:tcPr>
            <w:tcW w:w="70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Interest on securities</w:t>
            </w:r>
          </w:p>
        </w:tc>
        <w:tc>
          <w:tcPr>
            <w:tcW w:w="2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337</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360</w:t>
            </w:r>
          </w:p>
        </w:tc>
      </w:tr>
      <w:tr>
        <w:trPr>
          <w:trHeight w:val="153"/>
        </w:trPr>
        <w:tc>
          <w:tcPr>
            <w:tcW w:w="702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Other interest income</w:t>
            </w: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891</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888</w:t>
            </w:r>
          </w:p>
        </w:tc>
        <w:tc>
          <w:tcPr>
            <w:tcW w:w="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1,074</w:t>
            </w:r>
          </w:p>
        </w:tc>
      </w:tr>
      <w:tr>
        <w:trPr>
          <w:trHeight w:val="150"/>
        </w:trPr>
        <w:tc>
          <w:tcPr>
            <w:tcW w:w="7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interest income</w:t>
            </w:r>
          </w:p>
        </w:tc>
        <w:tc>
          <w:tcPr>
            <w:tcW w:w="26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46,775</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33,147</w:t>
            </w:r>
          </w:p>
        </w:tc>
        <w:tc>
          <w:tcPr>
            <w:tcW w:w="6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23,966</w:t>
            </w:r>
          </w:p>
        </w:tc>
      </w:tr>
      <w:tr>
        <w:trPr>
          <w:trHeight w:val="152"/>
        </w:trPr>
        <w:tc>
          <w:tcPr>
            <w:tcW w:w="70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Interest expense</w:t>
            </w:r>
          </w:p>
        </w:tc>
        <w:tc>
          <w:tcPr>
            <w:tcW w:w="2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53"/>
        </w:trPr>
        <w:tc>
          <w:tcPr>
            <w:tcW w:w="702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Interest on deposits</w:t>
            </w: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4,857</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4,746</w:t>
            </w:r>
          </w:p>
        </w:tc>
        <w:tc>
          <w:tcPr>
            <w:tcW w:w="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5,359</w:t>
            </w:r>
          </w:p>
        </w:tc>
      </w:tr>
      <w:tr>
        <w:trPr>
          <w:trHeight w:val="142"/>
        </w:trPr>
        <w:tc>
          <w:tcPr>
            <w:tcW w:w="7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interest expense</w:t>
            </w:r>
          </w:p>
        </w:tc>
        <w:tc>
          <w:tcPr>
            <w:tcW w:w="26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4,857</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4,746</w:t>
            </w:r>
          </w:p>
        </w:tc>
        <w:tc>
          <w:tcPr>
            <w:tcW w:w="6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5,359</w:t>
            </w:r>
          </w:p>
        </w:tc>
      </w:tr>
      <w:tr>
        <w:trPr>
          <w:trHeight w:val="158"/>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Net interest income</w:t>
            </w: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41,918</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28,401</w:t>
            </w:r>
          </w:p>
        </w:tc>
        <w:tc>
          <w:tcPr>
            <w:tcW w:w="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18,607</w:t>
            </w:r>
          </w:p>
        </w:tc>
      </w:tr>
      <w:tr>
        <w:trPr>
          <w:trHeight w:val="162"/>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Provision for credit losses</w:t>
            </w: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46,747</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20,943</w:t>
            </w:r>
          </w:p>
        </w:tc>
        <w:tc>
          <w:tcPr>
            <w:tcW w:w="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12,799</w:t>
            </w:r>
          </w:p>
        </w:tc>
      </w:tr>
      <w:tr>
        <w:trPr>
          <w:trHeight w:val="150"/>
        </w:trPr>
        <w:tc>
          <w:tcPr>
            <w:tcW w:w="7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interest income (loss) after provision for credit losses</w:t>
            </w:r>
          </w:p>
        </w:tc>
        <w:tc>
          <w:tcPr>
            <w:tcW w:w="26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(4,829)</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7,458</w:t>
            </w:r>
          </w:p>
        </w:tc>
        <w:tc>
          <w:tcPr>
            <w:tcW w:w="6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5,808</w:t>
            </w:r>
          </w:p>
        </w:tc>
      </w:tr>
      <w:tr>
        <w:trPr>
          <w:trHeight w:val="152"/>
        </w:trPr>
        <w:tc>
          <w:tcPr>
            <w:tcW w:w="70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Non-interest income</w:t>
            </w:r>
          </w:p>
        </w:tc>
        <w:tc>
          <w:tcPr>
            <w:tcW w:w="2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53"/>
        </w:trPr>
        <w:tc>
          <w:tcPr>
            <w:tcW w:w="7020" w:type="dxa"/>
            <w:vAlign w:val="bottom"/>
          </w:tcPr>
          <w:p>
            <w:pPr>
              <w:ind w:left="180"/>
              <w:spacing w:after="0"/>
              <w:rPr>
                <w:sz w:val="20"/>
                <w:szCs w:val="20"/>
                <w:color w:val="auto"/>
              </w:rPr>
            </w:pPr>
            <w:r>
              <w:rPr>
                <w:rFonts w:ascii="Arial" w:cs="Arial" w:eastAsia="Arial" w:hAnsi="Arial"/>
                <w:sz w:val="11"/>
                <w:szCs w:val="11"/>
                <w:color w:val="auto"/>
              </w:rPr>
              <w:t>Strategic Program fees</w:t>
            </w:r>
          </w:p>
        </w:tc>
        <w:tc>
          <w:tcPr>
            <w:tcW w:w="2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6,573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right"/>
              <w:ind w:right="3"/>
              <w:spacing w:after="0"/>
              <w:rPr>
                <w:sz w:val="20"/>
                <w:szCs w:val="20"/>
                <w:color w:val="auto"/>
              </w:rPr>
            </w:pPr>
            <w:r>
              <w:rPr>
                <w:rFonts w:ascii="Arial" w:cs="Arial" w:eastAsia="Arial" w:hAnsi="Arial"/>
                <w:sz w:val="12"/>
                <w:szCs w:val="12"/>
                <w:color w:val="auto"/>
              </w:rPr>
              <w:t>5,251</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6,180</w:t>
            </w:r>
          </w:p>
        </w:tc>
      </w:tr>
      <w:tr>
        <w:trPr>
          <w:trHeight w:val="153"/>
        </w:trPr>
        <w:tc>
          <w:tcPr>
            <w:tcW w:w="70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Gain on sale of loans, net</w:t>
            </w:r>
          </w:p>
        </w:tc>
        <w:tc>
          <w:tcPr>
            <w:tcW w:w="2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1,480</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1,854</w:t>
            </w:r>
          </w:p>
        </w:tc>
      </w:tr>
      <w:tr>
        <w:trPr>
          <w:trHeight w:val="162"/>
        </w:trPr>
        <w:tc>
          <w:tcPr>
            <w:tcW w:w="7020" w:type="dxa"/>
            <w:vAlign w:val="bottom"/>
          </w:tcPr>
          <w:p>
            <w:pPr>
              <w:ind w:left="180"/>
              <w:spacing w:after="0"/>
              <w:rPr>
                <w:sz w:val="20"/>
                <w:szCs w:val="20"/>
                <w:color w:val="auto"/>
              </w:rPr>
            </w:pPr>
            <w:r>
              <w:rPr>
                <w:rFonts w:ascii="Arial" w:cs="Arial" w:eastAsia="Arial" w:hAnsi="Arial"/>
                <w:sz w:val="11"/>
                <w:szCs w:val="11"/>
                <w:color w:val="auto"/>
              </w:rPr>
              <w:t>SBA loan servicing fees, net</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79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ind w:right="3"/>
              <w:spacing w:after="0"/>
              <w:rPr>
                <w:sz w:val="20"/>
                <w:szCs w:val="20"/>
                <w:color w:val="auto"/>
              </w:rPr>
            </w:pPr>
            <w:r>
              <w:rPr>
                <w:rFonts w:ascii="Arial" w:cs="Arial" w:eastAsia="Arial" w:hAnsi="Arial"/>
                <w:sz w:val="12"/>
                <w:szCs w:val="12"/>
                <w:color w:val="auto"/>
              </w:rPr>
              <w:t>80</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(242)</w:t>
            </w:r>
          </w:p>
        </w:tc>
      </w:tr>
      <w:tr>
        <w:trPr>
          <w:trHeight w:val="153"/>
        </w:trPr>
        <w:tc>
          <w:tcPr>
            <w:tcW w:w="70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Change in fair value on investment in BFG</w:t>
            </w:r>
          </w:p>
        </w:tc>
        <w:tc>
          <w:tcPr>
            <w:tcW w:w="2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w:t>
            </w:r>
          </w:p>
        </w:tc>
      </w:tr>
      <w:tr>
        <w:trPr>
          <w:trHeight w:val="162"/>
        </w:trPr>
        <w:tc>
          <w:tcPr>
            <w:tcW w:w="7020" w:type="dxa"/>
            <w:vAlign w:val="bottom"/>
          </w:tcPr>
          <w:p>
            <w:pPr>
              <w:ind w:left="180"/>
              <w:spacing w:after="0"/>
              <w:rPr>
                <w:sz w:val="20"/>
                <w:szCs w:val="20"/>
                <w:color w:val="auto"/>
              </w:rPr>
            </w:pPr>
            <w:r>
              <w:rPr>
                <w:rFonts w:ascii="Arial" w:cs="Arial" w:eastAsia="Arial" w:hAnsi="Arial"/>
                <w:sz w:val="11"/>
                <w:szCs w:val="11"/>
                <w:color w:val="auto"/>
              </w:rPr>
              <w:t>Credit enhancement income</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45,392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ind w:right="3"/>
              <w:spacing w:after="0"/>
              <w:rPr>
                <w:sz w:val="20"/>
                <w:szCs w:val="20"/>
                <w:color w:val="auto"/>
              </w:rPr>
            </w:pPr>
            <w:r>
              <w:rPr>
                <w:rFonts w:ascii="Arial" w:cs="Arial" w:eastAsia="Arial" w:hAnsi="Arial"/>
                <w:sz w:val="12"/>
                <w:szCs w:val="12"/>
                <w:color w:val="auto"/>
              </w:rPr>
              <w:t>14,944</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8,762</w:t>
            </w:r>
          </w:p>
        </w:tc>
      </w:tr>
      <w:tr>
        <w:trPr>
          <w:trHeight w:val="162"/>
        </w:trPr>
        <w:tc>
          <w:tcPr>
            <w:tcW w:w="70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Bargain purchase gain</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6,456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62"/>
        </w:trPr>
        <w:tc>
          <w:tcPr>
            <w:tcW w:w="702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Other miscellaneous income</w:t>
            </w: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1,359</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1,567</w:t>
            </w:r>
          </w:p>
        </w:tc>
        <w:tc>
          <w:tcPr>
            <w:tcW w:w="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1,298</w:t>
            </w:r>
          </w:p>
        </w:tc>
      </w:tr>
      <w:tr>
        <w:trPr>
          <w:trHeight w:val="150"/>
        </w:trPr>
        <w:tc>
          <w:tcPr>
            <w:tcW w:w="7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non-interest income</w:t>
            </w:r>
          </w:p>
        </w:tc>
        <w:tc>
          <w:tcPr>
            <w:tcW w:w="26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60,825</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23,122</w:t>
            </w:r>
          </w:p>
        </w:tc>
        <w:tc>
          <w:tcPr>
            <w:tcW w:w="6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18,052</w:t>
            </w:r>
          </w:p>
        </w:tc>
      </w:tr>
      <w:tr>
        <w:trPr>
          <w:trHeight w:val="152"/>
        </w:trPr>
        <w:tc>
          <w:tcPr>
            <w:tcW w:w="70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Non-interest expense</w:t>
            </w:r>
          </w:p>
        </w:tc>
        <w:tc>
          <w:tcPr>
            <w:tcW w:w="2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53"/>
        </w:trPr>
        <w:tc>
          <w:tcPr>
            <w:tcW w:w="7020" w:type="dxa"/>
            <w:vAlign w:val="bottom"/>
          </w:tcPr>
          <w:p>
            <w:pPr>
              <w:ind w:left="180"/>
              <w:spacing w:after="0"/>
              <w:rPr>
                <w:sz w:val="20"/>
                <w:szCs w:val="20"/>
                <w:color w:val="auto"/>
              </w:rPr>
            </w:pPr>
            <w:r>
              <w:rPr>
                <w:rFonts w:ascii="Arial" w:cs="Arial" w:eastAsia="Arial" w:hAnsi="Arial"/>
                <w:sz w:val="11"/>
                <w:szCs w:val="11"/>
                <w:color w:val="auto"/>
              </w:rPr>
              <w:t>Salaries and employee benefits</w:t>
            </w:r>
          </w:p>
        </w:tc>
        <w:tc>
          <w:tcPr>
            <w:tcW w:w="2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12,483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right"/>
              <w:ind w:right="3"/>
              <w:spacing w:after="0"/>
              <w:rPr>
                <w:sz w:val="20"/>
                <w:szCs w:val="20"/>
                <w:color w:val="auto"/>
              </w:rPr>
            </w:pPr>
            <w:r>
              <w:rPr>
                <w:rFonts w:ascii="Arial" w:cs="Arial" w:eastAsia="Arial" w:hAnsi="Arial"/>
                <w:sz w:val="12"/>
                <w:szCs w:val="12"/>
                <w:color w:val="auto"/>
              </w:rPr>
              <w:t>11,062</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10,814</w:t>
            </w:r>
          </w:p>
        </w:tc>
      </w:tr>
      <w:tr>
        <w:trPr>
          <w:trHeight w:val="153"/>
        </w:trPr>
        <w:tc>
          <w:tcPr>
            <w:tcW w:w="70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Professional services</w:t>
            </w:r>
          </w:p>
        </w:tc>
        <w:tc>
          <w:tcPr>
            <w:tcW w:w="2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1,146</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876</w:t>
            </w:r>
          </w:p>
        </w:tc>
      </w:tr>
      <w:tr>
        <w:trPr>
          <w:trHeight w:val="153"/>
        </w:trPr>
        <w:tc>
          <w:tcPr>
            <w:tcW w:w="7020" w:type="dxa"/>
            <w:vAlign w:val="bottom"/>
          </w:tcPr>
          <w:p>
            <w:pPr>
              <w:ind w:left="180"/>
              <w:spacing w:after="0"/>
              <w:rPr>
                <w:sz w:val="20"/>
                <w:szCs w:val="20"/>
                <w:color w:val="auto"/>
              </w:rPr>
            </w:pPr>
            <w:r>
              <w:rPr>
                <w:rFonts w:ascii="Arial" w:cs="Arial" w:eastAsia="Arial" w:hAnsi="Arial"/>
                <w:sz w:val="11"/>
                <w:szCs w:val="11"/>
                <w:color w:val="auto"/>
              </w:rPr>
              <w:t>Occupancy and equipment expenses</w:t>
            </w:r>
          </w:p>
        </w:tc>
        <w:tc>
          <w:tcPr>
            <w:tcW w:w="2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440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right"/>
              <w:ind w:right="3"/>
              <w:spacing w:after="0"/>
              <w:rPr>
                <w:sz w:val="20"/>
                <w:szCs w:val="20"/>
                <w:color w:val="auto"/>
              </w:rPr>
            </w:pPr>
            <w:r>
              <w:rPr>
                <w:rFonts w:ascii="Arial" w:cs="Arial" w:eastAsia="Arial" w:hAnsi="Arial"/>
                <w:sz w:val="12"/>
                <w:szCs w:val="12"/>
                <w:color w:val="auto"/>
              </w:rPr>
              <w:t>417</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456</w:t>
            </w:r>
          </w:p>
        </w:tc>
      </w:tr>
      <w:tr>
        <w:trPr>
          <w:trHeight w:val="162"/>
        </w:trPr>
        <w:tc>
          <w:tcPr>
            <w:tcW w:w="70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Credit enhancement servicing expense</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4,284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1,393</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248</w:t>
            </w:r>
          </w:p>
        </w:tc>
      </w:tr>
      <w:tr>
        <w:trPr>
          <w:trHeight w:val="162"/>
        </w:trPr>
        <w:tc>
          <w:tcPr>
            <w:tcW w:w="7020" w:type="dxa"/>
            <w:vAlign w:val="bottom"/>
          </w:tcPr>
          <w:p>
            <w:pPr>
              <w:ind w:left="180"/>
              <w:spacing w:after="0"/>
              <w:rPr>
                <w:sz w:val="20"/>
                <w:szCs w:val="20"/>
                <w:color w:val="auto"/>
              </w:rPr>
            </w:pPr>
            <w:r>
              <w:rPr>
                <w:rFonts w:ascii="Arial" w:cs="Arial" w:eastAsia="Arial" w:hAnsi="Arial"/>
                <w:sz w:val="11"/>
                <w:szCs w:val="11"/>
                <w:color w:val="auto"/>
              </w:rPr>
              <w:t>Credit enhancement guarantee expense</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20,049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ind w:right="3"/>
              <w:spacing w:after="0"/>
              <w:rPr>
                <w:sz w:val="20"/>
                <w:szCs w:val="20"/>
                <w:color w:val="auto"/>
              </w:rPr>
            </w:pPr>
            <w:r>
              <w:rPr>
                <w:rFonts w:ascii="Arial" w:cs="Arial" w:eastAsia="Arial" w:hAnsi="Arial"/>
                <w:sz w:val="12"/>
                <w:szCs w:val="12"/>
                <w:color w:val="auto"/>
              </w:rPr>
              <w:t>11,337</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1,720</w:t>
            </w:r>
          </w:p>
        </w:tc>
      </w:tr>
      <w:tr>
        <w:trPr>
          <w:trHeight w:val="153"/>
        </w:trPr>
        <w:tc>
          <w:tcPr>
            <w:tcW w:w="70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Other operating expenses</w:t>
            </w:r>
          </w:p>
        </w:tc>
        <w:tc>
          <w:tcPr>
            <w:tcW w:w="26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4,062</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2,951</w:t>
            </w:r>
          </w:p>
        </w:tc>
        <w:tc>
          <w:tcPr>
            <w:tcW w:w="6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3,335</w:t>
            </w:r>
          </w:p>
        </w:tc>
      </w:tr>
      <w:tr>
        <w:trPr>
          <w:trHeight w:val="142"/>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non-interest expense</w:t>
            </w: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42,744</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28,306</w:t>
            </w: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17,449</w:t>
            </w:r>
          </w:p>
        </w:tc>
      </w:tr>
      <w:tr>
        <w:trPr>
          <w:trHeight w:val="133"/>
        </w:trPr>
        <w:tc>
          <w:tcPr>
            <w:tcW w:w="7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from continuing operations before income taxes</w:t>
            </w:r>
          </w:p>
        </w:tc>
        <w:tc>
          <w:tcPr>
            <w:tcW w:w="26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13,252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2,274</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6,411</w:t>
            </w:r>
          </w:p>
        </w:tc>
      </w:tr>
      <w:tr>
        <w:trPr>
          <w:trHeight w:val="143"/>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Provision for income taxes from continuing operations</w:t>
            </w: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2,830</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512</w:t>
            </w: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1,520</w:t>
            </w:r>
          </w:p>
        </w:tc>
      </w:tr>
      <w:tr>
        <w:trPr>
          <w:trHeight w:val="134"/>
        </w:trPr>
        <w:tc>
          <w:tcPr>
            <w:tcW w:w="7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from continuing operations</w:t>
            </w:r>
          </w:p>
        </w:tc>
        <w:tc>
          <w:tcPr>
            <w:tcW w:w="26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10,422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1,762</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4,891</w:t>
            </w:r>
          </w:p>
        </w:tc>
      </w:tr>
      <w:tr>
        <w:trPr>
          <w:trHeight w:val="143"/>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Income (loss) from discontinued operations, net of tax</w:t>
            </w:r>
          </w:p>
        </w:tc>
        <w:tc>
          <w:tcPr>
            <w:tcW w:w="260" w:type="dxa"/>
            <w:vAlign w:val="bottom"/>
            <w:tcBorders>
              <w:bottom w:val="single" w:sz="8" w:color="242424"/>
            </w:tcBorders>
          </w:tcPr>
          <w:p>
            <w:pPr>
              <w:spacing w:after="0"/>
              <w:rPr>
                <w:sz w:val="12"/>
                <w:szCs w:val="12"/>
                <w:color w:val="auto"/>
              </w:rPr>
            </w:pPr>
          </w:p>
        </w:tc>
        <w:tc>
          <w:tcPr>
            <w:tcW w:w="1100" w:type="dxa"/>
            <w:vAlign w:val="bottom"/>
            <w:tcBorders>
              <w:bottom w:val="single" w:sz="8" w:color="242424"/>
            </w:tcBorders>
          </w:tcPr>
          <w:p>
            <w:pPr>
              <w:jc w:val="right"/>
              <w:spacing w:after="0"/>
              <w:rPr>
                <w:sz w:val="20"/>
                <w:szCs w:val="20"/>
                <w:color w:val="auto"/>
              </w:rPr>
            </w:pPr>
            <w:r>
              <w:rPr>
                <w:rFonts w:ascii="Arial" w:cs="Arial" w:eastAsia="Arial" w:hAnsi="Arial"/>
                <w:sz w:val="11"/>
                <w:szCs w:val="11"/>
                <w:color w:val="auto"/>
              </w:rPr>
              <w:t>(376)</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242424"/>
            </w:tcBorders>
          </w:tcPr>
          <w:p>
            <w:pPr>
              <w:spacing w:after="0"/>
              <w:rPr>
                <w:sz w:val="12"/>
                <w:szCs w:val="12"/>
                <w:color w:val="auto"/>
              </w:rPr>
            </w:pPr>
          </w:p>
        </w:tc>
        <w:tc>
          <w:tcPr>
            <w:tcW w:w="1260" w:type="dxa"/>
            <w:vAlign w:val="bottom"/>
            <w:tcBorders>
              <w:bottom w:val="single" w:sz="8" w:color="242424"/>
            </w:tcBorders>
          </w:tcPr>
          <w:p>
            <w:pPr>
              <w:jc w:val="right"/>
              <w:spacing w:after="0"/>
              <w:rPr>
                <w:sz w:val="20"/>
                <w:szCs w:val="20"/>
                <w:color w:val="auto"/>
              </w:rPr>
            </w:pPr>
            <w:r>
              <w:rPr>
                <w:rFonts w:ascii="Arial" w:cs="Arial" w:eastAsia="Arial" w:hAnsi="Arial"/>
                <w:sz w:val="11"/>
                <w:szCs w:val="11"/>
                <w:color w:val="auto"/>
              </w:rPr>
              <w:t>371</w:t>
            </w: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242424"/>
            </w:tcBorders>
          </w:tcPr>
          <w:p>
            <w:pPr>
              <w:spacing w:after="0"/>
              <w:rPr>
                <w:sz w:val="12"/>
                <w:szCs w:val="12"/>
                <w:color w:val="auto"/>
              </w:rPr>
            </w:pPr>
          </w:p>
        </w:tc>
        <w:tc>
          <w:tcPr>
            <w:tcW w:w="1100" w:type="dxa"/>
            <w:vAlign w:val="bottom"/>
            <w:tcBorders>
              <w:bottom w:val="single" w:sz="8" w:color="242424"/>
            </w:tcBorders>
          </w:tcPr>
          <w:p>
            <w:pPr>
              <w:jc w:val="right"/>
              <w:spacing w:after="0"/>
              <w:rPr>
                <w:sz w:val="20"/>
                <w:szCs w:val="20"/>
                <w:color w:val="auto"/>
              </w:rPr>
            </w:pPr>
            <w:r>
              <w:rPr>
                <w:rFonts w:ascii="Arial" w:cs="Arial" w:eastAsia="Arial" w:hAnsi="Arial"/>
                <w:sz w:val="11"/>
                <w:szCs w:val="11"/>
                <w:color w:val="auto"/>
              </w:rPr>
              <w:t>—</w:t>
            </w:r>
          </w:p>
        </w:tc>
      </w:tr>
      <w:tr>
        <w:trPr>
          <w:trHeight w:val="15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income</w:t>
            </w:r>
          </w:p>
        </w:tc>
        <w:tc>
          <w:tcPr>
            <w:tcW w:w="260" w:type="dxa"/>
            <w:vAlign w:val="bottom"/>
            <w:tcBorders>
              <w:bottom w:val="single" w:sz="8" w:color="242424"/>
            </w:tcBorders>
            <w:shd w:val="clear" w:color="auto" w:fill="CCEEFF"/>
          </w:tcPr>
          <w:p>
            <w:pPr>
              <w:jc w:val="right"/>
              <w:ind w:right="151"/>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bottom w:val="single" w:sz="8" w:color="242424"/>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10,046</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242424"/>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1260" w:type="dxa"/>
            <w:vAlign w:val="bottom"/>
            <w:tcBorders>
              <w:bottom w:val="single" w:sz="8" w:color="242424"/>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2,133</w:t>
            </w:r>
          </w:p>
        </w:tc>
        <w:tc>
          <w:tcPr>
            <w:tcW w:w="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242424"/>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1100" w:type="dxa"/>
            <w:vAlign w:val="bottom"/>
            <w:tcBorders>
              <w:bottom w:val="single" w:sz="8" w:color="242424"/>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4,891</w:t>
            </w:r>
          </w:p>
        </w:tc>
      </w:tr>
      <w:tr>
        <w:trPr>
          <w:trHeight w:val="81"/>
        </w:trPr>
        <w:tc>
          <w:tcPr>
            <w:tcW w:w="70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44"/>
        </w:trPr>
        <w:tc>
          <w:tcPr>
            <w:tcW w:w="7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Earnings per share, basic:</w:t>
            </w: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43"/>
        </w:trPr>
        <w:tc>
          <w:tcPr>
            <w:tcW w:w="7020" w:type="dxa"/>
            <w:vAlign w:val="bottom"/>
          </w:tcPr>
          <w:p>
            <w:pPr>
              <w:ind w:left="120"/>
              <w:spacing w:after="0"/>
              <w:rPr>
                <w:sz w:val="20"/>
                <w:szCs w:val="20"/>
                <w:color w:val="auto"/>
              </w:rPr>
            </w:pPr>
            <w:r>
              <w:rPr>
                <w:rFonts w:ascii="Arial" w:cs="Arial" w:eastAsia="Arial" w:hAnsi="Arial"/>
                <w:sz w:val="11"/>
                <w:szCs w:val="11"/>
                <w:color w:val="auto"/>
              </w:rPr>
              <w:t>Earnings from continuing operations</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0.79</w:t>
            </w:r>
          </w:p>
        </w:tc>
        <w:tc>
          <w:tcPr>
            <w:tcW w:w="80" w:type="dxa"/>
            <w:vAlign w:val="bottom"/>
          </w:tcPr>
          <w:p>
            <w:pPr>
              <w:spacing w:after="0"/>
              <w:rPr>
                <w:sz w:val="12"/>
                <w:szCs w:val="12"/>
                <w:color w:val="auto"/>
              </w:rPr>
            </w:pPr>
          </w:p>
        </w:tc>
        <w:tc>
          <w:tcPr>
            <w:tcW w:w="120" w:type="dxa"/>
            <w:vAlign w:val="bottom"/>
          </w:tcPr>
          <w:p>
            <w:pPr>
              <w:ind w:left="20"/>
              <w:spacing w:after="0"/>
              <w:rPr>
                <w:sz w:val="20"/>
                <w:szCs w:val="20"/>
                <w:color w:val="auto"/>
              </w:rPr>
            </w:pPr>
            <w:r>
              <w:rPr>
                <w:rFonts w:ascii="Arial" w:cs="Arial" w:eastAsia="Arial" w:hAnsi="Arial"/>
                <w:sz w:val="11"/>
                <w:szCs w:val="11"/>
                <w:color w:val="auto"/>
              </w:rPr>
              <w:t>$</w:t>
            </w:r>
          </w:p>
        </w:tc>
        <w:tc>
          <w:tcPr>
            <w:tcW w:w="1260" w:type="dxa"/>
            <w:vAlign w:val="bottom"/>
          </w:tcPr>
          <w:p>
            <w:pPr>
              <w:jc w:val="right"/>
              <w:spacing w:after="0"/>
              <w:rPr>
                <w:sz w:val="20"/>
                <w:szCs w:val="20"/>
                <w:color w:val="auto"/>
              </w:rPr>
            </w:pPr>
            <w:r>
              <w:rPr>
                <w:rFonts w:ascii="Arial" w:cs="Arial" w:eastAsia="Arial" w:hAnsi="Arial"/>
                <w:sz w:val="11"/>
                <w:szCs w:val="11"/>
                <w:color w:val="auto"/>
              </w:rPr>
              <w:t>0.13</w:t>
            </w:r>
          </w:p>
        </w:tc>
        <w:tc>
          <w:tcPr>
            <w:tcW w:w="60" w:type="dxa"/>
            <w:vAlign w:val="bottom"/>
          </w:tcPr>
          <w:p>
            <w:pPr>
              <w:spacing w:after="0"/>
              <w:rPr>
                <w:sz w:val="12"/>
                <w:szCs w:val="12"/>
                <w:color w:val="auto"/>
              </w:rPr>
            </w:pPr>
          </w:p>
        </w:tc>
        <w:tc>
          <w:tcPr>
            <w:tcW w:w="280" w:type="dxa"/>
            <w:vAlign w:val="bottom"/>
          </w:tcPr>
          <w:p>
            <w:pPr>
              <w:ind w:left="20"/>
              <w:spacing w:after="0"/>
              <w:rPr>
                <w:sz w:val="20"/>
                <w:szCs w:val="20"/>
                <w:color w:val="auto"/>
              </w:rPr>
            </w:pPr>
            <w:r>
              <w:rPr>
                <w:rFonts w:ascii="Arial" w:cs="Arial" w:eastAsia="Arial" w:hAnsi="Arial"/>
                <w:sz w:val="11"/>
                <w:szCs w:val="11"/>
                <w:color w:val="auto"/>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0.36</w:t>
            </w:r>
          </w:p>
        </w:tc>
      </w:tr>
      <w:tr>
        <w:trPr>
          <w:trHeight w:val="144"/>
        </w:trPr>
        <w:tc>
          <w:tcPr>
            <w:tcW w:w="70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Earnings (loss) from discontinued operations</w:t>
            </w:r>
          </w:p>
        </w:tc>
        <w:tc>
          <w:tcPr>
            <w:tcW w:w="26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(0.03)</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0.03</w:t>
            </w:r>
          </w:p>
        </w:tc>
        <w:tc>
          <w:tcPr>
            <w:tcW w:w="6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73"/>
        </w:trPr>
        <w:tc>
          <w:tcPr>
            <w:tcW w:w="702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Net income per common share, basic</w:t>
            </w:r>
          </w:p>
        </w:tc>
        <w:tc>
          <w:tcPr>
            <w:tcW w:w="2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0.76</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0.16</w:t>
            </w:r>
          </w:p>
        </w:tc>
        <w:tc>
          <w:tcPr>
            <w:tcW w:w="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0.36</w:t>
            </w:r>
          </w:p>
        </w:tc>
      </w:tr>
      <w:tr>
        <w:trPr>
          <w:trHeight w:val="143"/>
        </w:trPr>
        <w:tc>
          <w:tcPr>
            <w:tcW w:w="7020" w:type="dxa"/>
            <w:vAlign w:val="bottom"/>
            <w:tcBorders>
              <w:top w:val="single" w:sz="8" w:color="CCEEFF"/>
            </w:tcBorders>
          </w:tcPr>
          <w:p>
            <w:pPr>
              <w:ind w:left="20"/>
              <w:spacing w:after="0"/>
              <w:rPr>
                <w:sz w:val="20"/>
                <w:szCs w:val="20"/>
                <w:color w:val="auto"/>
              </w:rPr>
            </w:pPr>
            <w:r>
              <w:rPr>
                <w:rFonts w:ascii="Arial" w:cs="Arial" w:eastAsia="Arial" w:hAnsi="Arial"/>
                <w:sz w:val="11"/>
                <w:szCs w:val="11"/>
                <w:color w:val="auto"/>
              </w:rPr>
              <w:t>Earnings per share, diluted:</w:t>
            </w:r>
          </w:p>
        </w:tc>
        <w:tc>
          <w:tcPr>
            <w:tcW w:w="260" w:type="dxa"/>
            <w:vAlign w:val="bottom"/>
            <w:tcBorders>
              <w:top w:val="single" w:sz="8" w:color="CCEEFF"/>
            </w:tcBorders>
          </w:tcPr>
          <w:p>
            <w:pPr>
              <w:spacing w:after="0"/>
              <w:rPr>
                <w:sz w:val="12"/>
                <w:szCs w:val="12"/>
                <w:color w:val="auto"/>
              </w:rPr>
            </w:pPr>
          </w:p>
        </w:tc>
        <w:tc>
          <w:tcPr>
            <w:tcW w:w="11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1100" w:type="dxa"/>
            <w:vAlign w:val="bottom"/>
            <w:tcBorders>
              <w:top w:val="single" w:sz="8" w:color="CCEEFF"/>
            </w:tcBorders>
          </w:tcPr>
          <w:p>
            <w:pPr>
              <w:spacing w:after="0"/>
              <w:rPr>
                <w:sz w:val="12"/>
                <w:szCs w:val="12"/>
                <w:color w:val="auto"/>
              </w:rPr>
            </w:pPr>
          </w:p>
        </w:tc>
      </w:tr>
      <w:tr>
        <w:trPr>
          <w:trHeight w:val="145"/>
        </w:trPr>
        <w:tc>
          <w:tcPr>
            <w:tcW w:w="70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Earnings from continuing operations</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0.13</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0.34</w:t>
            </w:r>
          </w:p>
        </w:tc>
      </w:tr>
      <w:tr>
        <w:trPr>
          <w:trHeight w:val="143"/>
        </w:trPr>
        <w:tc>
          <w:tcPr>
            <w:tcW w:w="702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Earnings (loss) from discontinued operations</w:t>
            </w: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(0.03)</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0.02</w:t>
            </w: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45"/>
        </w:trPr>
        <w:tc>
          <w:tcPr>
            <w:tcW w:w="7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Net income per common share, diluted</w:t>
            </w:r>
          </w:p>
        </w:tc>
        <w:tc>
          <w:tcPr>
            <w:tcW w:w="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0.73</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0.15</w:t>
            </w:r>
          </w:p>
        </w:tc>
        <w:tc>
          <w:tcPr>
            <w:tcW w:w="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0.34</w:t>
            </w:r>
          </w:p>
        </w:tc>
      </w:tr>
      <w:tr>
        <w:trPr>
          <w:trHeight w:val="23"/>
        </w:trPr>
        <w:tc>
          <w:tcPr>
            <w:tcW w:w="7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44"/>
        </w:trPr>
        <w:tc>
          <w:tcPr>
            <w:tcW w:w="7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Weighted average shares outstanding, basic</w:t>
            </w: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13,154,827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13,112,580</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12,859,264</w:t>
            </w:r>
          </w:p>
        </w:tc>
      </w:tr>
      <w:tr>
        <w:trPr>
          <w:trHeight w:val="143"/>
        </w:trPr>
        <w:tc>
          <w:tcPr>
            <w:tcW w:w="7020" w:type="dxa"/>
            <w:vAlign w:val="bottom"/>
          </w:tcPr>
          <w:p>
            <w:pPr>
              <w:ind w:left="20"/>
              <w:spacing w:after="0"/>
              <w:rPr>
                <w:sz w:val="20"/>
                <w:szCs w:val="20"/>
                <w:color w:val="auto"/>
              </w:rPr>
            </w:pPr>
            <w:r>
              <w:rPr>
                <w:rFonts w:ascii="Arial" w:cs="Arial" w:eastAsia="Arial" w:hAnsi="Arial"/>
                <w:sz w:val="11"/>
                <w:szCs w:val="11"/>
                <w:color w:val="auto"/>
              </w:rPr>
              <w:t>Weighted average shares outstanding, diluted</w:t>
            </w:r>
          </w:p>
        </w:tc>
        <w:tc>
          <w:tcPr>
            <w:tcW w:w="2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13,662,812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13,673,167</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13,615,354</w:t>
            </w:r>
          </w:p>
        </w:tc>
      </w:tr>
      <w:tr>
        <w:trPr>
          <w:trHeight w:val="145"/>
        </w:trPr>
        <w:tc>
          <w:tcPr>
            <w:tcW w:w="7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Shares outstanding at end of period</w:t>
            </w: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13,743,494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13,687,680</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13,571,090</w:t>
            </w: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280"/>
          </w:cols>
          <w:pgMar w:left="300" w:top="287" w:right="319" w:bottom="1440" w:gutter="0" w:footer="0" w:header="0"/>
        </w:sectPr>
      </w:pPr>
    </w:p>
    <w:bookmarkStart w:id="16" w:name="page17"/>
    <w:bookmarkEnd w:id="16"/>
    <w:p>
      <w:pPr>
        <w:ind w:left="5028"/>
        <w:spacing w:after="0"/>
        <w:rPr>
          <w:sz w:val="20"/>
          <w:szCs w:val="20"/>
          <w:color w:val="auto"/>
        </w:rPr>
      </w:pPr>
      <w:r>
        <w:rPr>
          <w:rFonts w:ascii="Arial" w:cs="Arial" w:eastAsia="Arial" w:hAnsi="Arial"/>
          <w:sz w:val="13"/>
          <w:szCs w:val="13"/>
          <w:b w:val="1"/>
          <w:bCs w:val="1"/>
          <w:color w:val="365F91"/>
        </w:rPr>
        <w:t>FINWISE BANCORP</w:t>
      </w:r>
    </w:p>
    <w:p>
      <w:pPr>
        <w:spacing w:after="0" w:line="25" w:lineRule="exact"/>
        <w:rPr>
          <w:sz w:val="20"/>
          <w:szCs w:val="20"/>
          <w:color w:val="auto"/>
        </w:rPr>
      </w:pPr>
    </w:p>
    <w:p>
      <w:pPr>
        <w:ind w:left="4248"/>
        <w:spacing w:after="0"/>
        <w:rPr>
          <w:sz w:val="20"/>
          <w:szCs w:val="20"/>
          <w:color w:val="auto"/>
        </w:rPr>
      </w:pPr>
      <w:r>
        <w:rPr>
          <w:rFonts w:ascii="Arial" w:cs="Arial" w:eastAsia="Arial" w:hAnsi="Arial"/>
          <w:sz w:val="13"/>
          <w:szCs w:val="13"/>
          <w:b w:val="1"/>
          <w:bCs w:val="1"/>
          <w:color w:val="365F91"/>
        </w:rPr>
        <w:t>AVERAGE BALANCES, YIELDS, AND RATES</w:t>
      </w:r>
    </w:p>
    <w:p>
      <w:pPr>
        <w:spacing w:after="0" w:line="4"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365F91"/>
        </w:rPr>
        <w:t>($ in thousands; Unaudited)</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9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6"/>
          </w:tcPr>
          <w:p>
            <w:pPr>
              <w:spacing w:after="0"/>
              <w:rPr>
                <w:sz w:val="20"/>
                <w:szCs w:val="20"/>
                <w:color w:val="auto"/>
              </w:rPr>
            </w:pPr>
            <w:r>
              <w:rPr>
                <w:rFonts w:ascii="Arial" w:cs="Arial" w:eastAsia="Arial" w:hAnsi="Arial"/>
                <w:sz w:val="11"/>
                <w:szCs w:val="11"/>
                <w:b w:val="1"/>
                <w:bCs w:val="1"/>
                <w:color w:val="auto"/>
              </w:rPr>
              <w:t>Three Months Ended</w:t>
            </w:r>
          </w:p>
        </w:tc>
        <w:tc>
          <w:tcPr>
            <w:tcW w:w="7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9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9/30/2026</w:t>
            </w: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6/30/2026</w:t>
            </w: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9/30/2025</w:t>
            </w: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920" w:type="dxa"/>
            <w:vAlign w:val="bottom"/>
          </w:tcPr>
          <w:p>
            <w:pPr>
              <w:spacing w:after="0"/>
              <w:rPr>
                <w:sz w:val="8"/>
                <w:szCs w:val="8"/>
                <w:color w:val="auto"/>
              </w:rPr>
            </w:pPr>
          </w:p>
        </w:tc>
        <w:tc>
          <w:tcPr>
            <w:tcW w:w="96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Average Balance</w:t>
            </w:r>
          </w:p>
        </w:tc>
        <w:tc>
          <w:tcPr>
            <w:tcW w:w="120" w:type="dxa"/>
            <w:vAlign w:val="bottom"/>
          </w:tcPr>
          <w:p>
            <w:pPr>
              <w:spacing w:after="0"/>
              <w:rPr>
                <w:sz w:val="8"/>
                <w:szCs w:val="8"/>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Interest</w:t>
            </w:r>
          </w:p>
        </w:tc>
        <w:tc>
          <w:tcPr>
            <w:tcW w:w="940" w:type="dxa"/>
            <w:vAlign w:val="bottom"/>
          </w:tcPr>
          <w:p>
            <w:pPr>
              <w:jc w:val="right"/>
              <w:ind w:right="206"/>
              <w:spacing w:after="0" w:line="97" w:lineRule="exact"/>
              <w:rPr>
                <w:sz w:val="20"/>
                <w:szCs w:val="20"/>
                <w:color w:val="auto"/>
              </w:rPr>
            </w:pPr>
            <w:r>
              <w:rPr>
                <w:rFonts w:ascii="Arial" w:cs="Arial" w:eastAsia="Arial" w:hAnsi="Arial"/>
                <w:sz w:val="11"/>
                <w:szCs w:val="11"/>
                <w:b w:val="1"/>
                <w:bCs w:val="1"/>
                <w:color w:val="auto"/>
              </w:rPr>
              <w:t>Average</w:t>
            </w:r>
          </w:p>
        </w:tc>
        <w:tc>
          <w:tcPr>
            <w:tcW w:w="60" w:type="dxa"/>
            <w:vAlign w:val="bottom"/>
          </w:tcPr>
          <w:p>
            <w:pPr>
              <w:spacing w:after="0"/>
              <w:rPr>
                <w:sz w:val="8"/>
                <w:szCs w:val="8"/>
                <w:color w:val="auto"/>
              </w:rPr>
            </w:pPr>
          </w:p>
        </w:tc>
        <w:tc>
          <w:tcPr>
            <w:tcW w:w="108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rPr>
              <w:t>Average Balance</w:t>
            </w:r>
          </w:p>
        </w:tc>
        <w:tc>
          <w:tcPr>
            <w:tcW w:w="88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Interest</w:t>
            </w:r>
          </w:p>
        </w:tc>
        <w:tc>
          <w:tcPr>
            <w:tcW w:w="780" w:type="dxa"/>
            <w:vAlign w:val="bottom"/>
          </w:tcPr>
          <w:p>
            <w:pPr>
              <w:jc w:val="right"/>
              <w:ind w:right="206"/>
              <w:spacing w:after="0" w:line="97" w:lineRule="exact"/>
              <w:rPr>
                <w:sz w:val="20"/>
                <w:szCs w:val="20"/>
                <w:color w:val="auto"/>
              </w:rPr>
            </w:pPr>
            <w:r>
              <w:rPr>
                <w:rFonts w:ascii="Arial" w:cs="Arial" w:eastAsia="Arial" w:hAnsi="Arial"/>
                <w:sz w:val="11"/>
                <w:szCs w:val="11"/>
                <w:b w:val="1"/>
                <w:bCs w:val="1"/>
                <w:color w:val="auto"/>
              </w:rPr>
              <w:t>Average</w:t>
            </w:r>
          </w:p>
        </w:tc>
        <w:tc>
          <w:tcPr>
            <w:tcW w:w="80" w:type="dxa"/>
            <w:vAlign w:val="bottom"/>
          </w:tcPr>
          <w:p>
            <w:pPr>
              <w:spacing w:after="0"/>
              <w:rPr>
                <w:sz w:val="8"/>
                <w:szCs w:val="8"/>
                <w:color w:val="auto"/>
              </w:rPr>
            </w:pPr>
          </w:p>
        </w:tc>
        <w:tc>
          <w:tcPr>
            <w:tcW w:w="96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Average Balance</w:t>
            </w:r>
          </w:p>
        </w:tc>
        <w:tc>
          <w:tcPr>
            <w:tcW w:w="120" w:type="dxa"/>
            <w:vAlign w:val="bottom"/>
          </w:tcPr>
          <w:p>
            <w:pPr>
              <w:spacing w:after="0"/>
              <w:rPr>
                <w:sz w:val="8"/>
                <w:szCs w:val="8"/>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Interest</w:t>
            </w:r>
          </w:p>
        </w:tc>
        <w:tc>
          <w:tcPr>
            <w:tcW w:w="940" w:type="dxa"/>
            <w:vAlign w:val="bottom"/>
          </w:tcPr>
          <w:p>
            <w:pPr>
              <w:jc w:val="right"/>
              <w:ind w:right="206"/>
              <w:spacing w:after="0" w:line="97" w:lineRule="exact"/>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44"/>
        </w:trPr>
        <w:tc>
          <w:tcPr>
            <w:tcW w:w="29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40" w:type="dxa"/>
            <w:vAlign w:val="bottom"/>
          </w:tcPr>
          <w:p>
            <w:pPr>
              <w:jc w:val="right"/>
              <w:ind w:right="166"/>
              <w:spacing w:after="0"/>
              <w:rPr>
                <w:sz w:val="20"/>
                <w:szCs w:val="20"/>
                <w:color w:val="auto"/>
              </w:rPr>
            </w:pPr>
            <w:r>
              <w:rPr>
                <w:rFonts w:ascii="Arial" w:cs="Arial" w:eastAsia="Arial" w:hAnsi="Arial"/>
                <w:sz w:val="11"/>
                <w:szCs w:val="11"/>
                <w:b w:val="1"/>
                <w:bCs w:val="1"/>
                <w:color w:val="auto"/>
              </w:rPr>
              <w:t>Yield/Rate</w:t>
            </w:r>
          </w:p>
        </w:tc>
        <w:tc>
          <w:tcPr>
            <w:tcW w:w="60" w:type="dxa"/>
            <w:vAlign w:val="bottom"/>
          </w:tcPr>
          <w:p>
            <w:pPr>
              <w:spacing w:after="0"/>
              <w:rPr>
                <w:sz w:val="12"/>
                <w:szCs w:val="12"/>
                <w:color w:val="auto"/>
              </w:rPr>
            </w:pPr>
          </w:p>
        </w:tc>
        <w:tc>
          <w:tcPr>
            <w:tcW w:w="1080" w:type="dxa"/>
            <w:vAlign w:val="bottom"/>
            <w:gridSpan w:val="5"/>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780" w:type="dxa"/>
            <w:vAlign w:val="bottom"/>
          </w:tcPr>
          <w:p>
            <w:pPr>
              <w:jc w:val="right"/>
              <w:ind w:right="146"/>
              <w:spacing w:after="0"/>
              <w:rPr>
                <w:sz w:val="20"/>
                <w:szCs w:val="20"/>
                <w:color w:val="auto"/>
              </w:rPr>
            </w:pPr>
            <w:r>
              <w:rPr>
                <w:rFonts w:ascii="Arial" w:cs="Arial" w:eastAsia="Arial" w:hAnsi="Arial"/>
                <w:sz w:val="11"/>
                <w:szCs w:val="11"/>
                <w:b w:val="1"/>
                <w:bCs w:val="1"/>
                <w:color w:val="auto"/>
              </w:rPr>
              <w:t>Yield/Rate</w:t>
            </w:r>
          </w:p>
        </w:tc>
        <w:tc>
          <w:tcPr>
            <w:tcW w:w="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40" w:type="dxa"/>
            <w:vAlign w:val="bottom"/>
          </w:tcPr>
          <w:p>
            <w:pPr>
              <w:jc w:val="right"/>
              <w:ind w:right="166"/>
              <w:spacing w:after="0"/>
              <w:rPr>
                <w:sz w:val="20"/>
                <w:szCs w:val="20"/>
                <w:color w:val="auto"/>
              </w:rPr>
            </w:pPr>
            <w:r>
              <w:rPr>
                <w:rFonts w:ascii="Arial" w:cs="Arial" w:eastAsia="Arial" w:hAnsi="Arial"/>
                <w:sz w:val="11"/>
                <w:szCs w:val="11"/>
                <w:b w:val="1"/>
                <w:bCs w:val="1"/>
                <w:color w:val="auto"/>
              </w:rPr>
              <w:t>Yield/Rate</w:t>
            </w:r>
          </w:p>
        </w:tc>
        <w:tc>
          <w:tcPr>
            <w:tcW w:w="0" w:type="dxa"/>
            <w:vAlign w:val="bottom"/>
          </w:tcPr>
          <w:p>
            <w:pPr>
              <w:spacing w:after="0"/>
              <w:rPr>
                <w:sz w:val="1"/>
                <w:szCs w:val="1"/>
                <w:color w:val="auto"/>
              </w:rPr>
            </w:pPr>
          </w:p>
        </w:tc>
      </w:tr>
      <w:tr>
        <w:trPr>
          <w:trHeight w:val="142"/>
        </w:trPr>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Interest-earning assets:</w:t>
            </w:r>
          </w:p>
        </w:tc>
        <w:tc>
          <w:tcPr>
            <w:tcW w:w="2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920" w:type="dxa"/>
            <w:vAlign w:val="bottom"/>
          </w:tcPr>
          <w:p>
            <w:pPr>
              <w:ind w:left="100"/>
              <w:spacing w:after="0"/>
              <w:rPr>
                <w:sz w:val="20"/>
                <w:szCs w:val="20"/>
                <w:color w:val="auto"/>
              </w:rPr>
            </w:pPr>
            <w:r>
              <w:rPr>
                <w:rFonts w:ascii="Arial" w:cs="Arial" w:eastAsia="Arial" w:hAnsi="Arial"/>
                <w:sz w:val="11"/>
                <w:szCs w:val="11"/>
                <w:color w:val="auto"/>
              </w:rPr>
              <w:t>Interest-bearing deposits</w:t>
            </w:r>
          </w:p>
        </w:tc>
        <w:tc>
          <w:tcPr>
            <w:tcW w:w="260" w:type="dxa"/>
            <w:vAlign w:val="bottom"/>
          </w:tcPr>
          <w:p>
            <w:pPr>
              <w:ind w:left="2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91,527</w:t>
            </w:r>
          </w:p>
        </w:tc>
        <w:tc>
          <w:tcPr>
            <w:tcW w:w="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891</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3.86 %</w:t>
            </w:r>
          </w:p>
        </w:tc>
        <w:tc>
          <w:tcPr>
            <w:tcW w:w="32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96,659</w:t>
            </w:r>
          </w:p>
        </w:tc>
        <w:tc>
          <w:tcPr>
            <w:tcW w:w="24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888</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3.68 %</w:t>
            </w:r>
          </w:p>
        </w:tc>
        <w:tc>
          <w:tcPr>
            <w:tcW w:w="34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97,404</w:t>
            </w:r>
          </w:p>
        </w:tc>
        <w:tc>
          <w:tcPr>
            <w:tcW w:w="8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1,074</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4.37 %</w:t>
            </w:r>
          </w:p>
        </w:tc>
        <w:tc>
          <w:tcPr>
            <w:tcW w:w="0" w:type="dxa"/>
            <w:vAlign w:val="bottom"/>
          </w:tcPr>
          <w:p>
            <w:pPr>
              <w:spacing w:after="0"/>
              <w:rPr>
                <w:sz w:val="1"/>
                <w:szCs w:val="1"/>
                <w:color w:val="auto"/>
              </w:rPr>
            </w:pPr>
          </w:p>
        </w:tc>
      </w:tr>
      <w:tr>
        <w:trPr>
          <w:trHeight w:val="163"/>
        </w:trPr>
        <w:tc>
          <w:tcPr>
            <w:tcW w:w="2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Investment securities</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34,567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315</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3.62 %</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36,804</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337</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3.67 %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39,497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360</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3.61 %</w:t>
            </w:r>
          </w:p>
        </w:tc>
        <w:tc>
          <w:tcPr>
            <w:tcW w:w="0" w:type="dxa"/>
            <w:vAlign w:val="bottom"/>
          </w:tcPr>
          <w:p>
            <w:pPr>
              <w:spacing w:after="0"/>
              <w:rPr>
                <w:sz w:val="1"/>
                <w:szCs w:val="1"/>
                <w:color w:val="auto"/>
              </w:rPr>
            </w:pPr>
          </w:p>
        </w:tc>
      </w:tr>
      <w:tr>
        <w:trPr>
          <w:trHeight w:val="143"/>
        </w:trPr>
        <w:tc>
          <w:tcPr>
            <w:tcW w:w="2920" w:type="dxa"/>
            <w:vAlign w:val="bottom"/>
          </w:tcPr>
          <w:p>
            <w:pPr>
              <w:ind w:left="100"/>
              <w:spacing w:after="0"/>
              <w:rPr>
                <w:sz w:val="20"/>
                <w:szCs w:val="20"/>
                <w:color w:val="auto"/>
              </w:rPr>
            </w:pPr>
            <w:r>
              <w:rPr>
                <w:rFonts w:ascii="Arial" w:cs="Arial" w:eastAsia="Arial" w:hAnsi="Arial"/>
                <w:sz w:val="11"/>
                <w:szCs w:val="11"/>
                <w:color w:val="auto"/>
              </w:rPr>
              <w:t>Strategic Program loans held-for-sale</w:t>
            </w:r>
          </w:p>
        </w:tc>
        <w:tc>
          <w:tcPr>
            <w:tcW w:w="260" w:type="dxa"/>
            <w:vAlign w:val="bottom"/>
          </w:tcPr>
          <w:p>
            <w:pPr>
              <w:spacing w:after="0"/>
              <w:rPr>
                <w:sz w:val="12"/>
                <w:szCs w:val="12"/>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126,691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5,315</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16.64 %</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118,401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5,430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18.39 %</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132,314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6,219</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18.65 %</w:t>
            </w:r>
          </w:p>
        </w:tc>
        <w:tc>
          <w:tcPr>
            <w:tcW w:w="0" w:type="dxa"/>
            <w:vAlign w:val="bottom"/>
          </w:tcPr>
          <w:p>
            <w:pPr>
              <w:spacing w:after="0"/>
              <w:rPr>
                <w:sz w:val="1"/>
                <w:szCs w:val="1"/>
                <w:color w:val="auto"/>
              </w:rPr>
            </w:pPr>
          </w:p>
        </w:tc>
      </w:tr>
      <w:tr>
        <w:trPr>
          <w:trHeight w:val="163"/>
        </w:trPr>
        <w:tc>
          <w:tcPr>
            <w:tcW w:w="2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Loans held-for-investment</w:t>
            </w: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608,198</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41,245</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26.90 %</w:t>
            </w:r>
          </w:p>
        </w:tc>
        <w:tc>
          <w:tcPr>
            <w:tcW w:w="6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582,171</w:t>
            </w:r>
          </w:p>
        </w:tc>
        <w:tc>
          <w:tcPr>
            <w:tcW w:w="6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27,324</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18.83 %</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542,595</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16,313</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11.93 %</w:t>
            </w:r>
          </w:p>
        </w:tc>
        <w:tc>
          <w:tcPr>
            <w:tcW w:w="0" w:type="dxa"/>
            <w:vAlign w:val="bottom"/>
          </w:tcPr>
          <w:p>
            <w:pPr>
              <w:spacing w:after="0"/>
              <w:rPr>
                <w:sz w:val="1"/>
                <w:szCs w:val="1"/>
                <w:color w:val="auto"/>
              </w:rPr>
            </w:pPr>
          </w:p>
        </w:tc>
      </w:tr>
      <w:tr>
        <w:trPr>
          <w:trHeight w:val="142"/>
        </w:trPr>
        <w:tc>
          <w:tcPr>
            <w:tcW w:w="2920" w:type="dxa"/>
            <w:vAlign w:val="bottom"/>
            <w:tcBorders>
              <w:bottom w:val="single" w:sz="8" w:color="CCEEFF"/>
            </w:tcBorders>
          </w:tcPr>
          <w:p>
            <w:pPr>
              <w:ind w:left="100"/>
              <w:spacing w:after="0" w:line="142" w:lineRule="exact"/>
              <w:rPr>
                <w:sz w:val="20"/>
                <w:szCs w:val="20"/>
                <w:color w:val="auto"/>
              </w:rPr>
            </w:pPr>
            <w:r>
              <w:rPr>
                <w:rFonts w:ascii="Arial" w:cs="Arial" w:eastAsia="Arial" w:hAnsi="Arial"/>
                <w:sz w:val="11"/>
                <w:szCs w:val="11"/>
                <w:color w:val="auto"/>
              </w:rPr>
              <w:t xml:space="preserve">Total interest-earning assets </w:t>
            </w:r>
            <w:r>
              <w:rPr>
                <w:rFonts w:ascii="Arial" w:cs="Arial" w:eastAsia="Arial" w:hAnsi="Arial"/>
                <w:sz w:val="14"/>
                <w:szCs w:val="14"/>
                <w:color w:val="auto"/>
                <w:vertAlign w:val="superscript"/>
              </w:rPr>
              <w:t>(1)</w:t>
            </w:r>
          </w:p>
        </w:tc>
        <w:tc>
          <w:tcPr>
            <w:tcW w:w="26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jc w:val="right"/>
              <w:ind w:right="6"/>
              <w:spacing w:after="0"/>
              <w:rPr>
                <w:sz w:val="20"/>
                <w:szCs w:val="20"/>
                <w:color w:val="auto"/>
              </w:rPr>
            </w:pPr>
            <w:r>
              <w:rPr>
                <w:rFonts w:ascii="Arial" w:cs="Arial" w:eastAsia="Arial" w:hAnsi="Arial"/>
                <w:sz w:val="11"/>
                <w:szCs w:val="11"/>
                <w:color w:val="auto"/>
              </w:rPr>
              <w:t>860,983</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47,766</w:t>
            </w:r>
          </w:p>
        </w:tc>
        <w:tc>
          <w:tcPr>
            <w:tcW w:w="8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22.01 %</w:t>
            </w: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834,035</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33,979</w:t>
            </w: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16.34 %</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811,810</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23,966</w:t>
            </w:r>
          </w:p>
        </w:tc>
        <w:tc>
          <w:tcPr>
            <w:tcW w:w="8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11.71 %</w:t>
            </w:r>
          </w:p>
        </w:tc>
        <w:tc>
          <w:tcPr>
            <w:tcW w:w="0" w:type="dxa"/>
            <w:vAlign w:val="bottom"/>
          </w:tcPr>
          <w:p>
            <w:pPr>
              <w:spacing w:after="0"/>
              <w:rPr>
                <w:sz w:val="1"/>
                <w:szCs w:val="1"/>
                <w:color w:val="auto"/>
              </w:rPr>
            </w:pPr>
          </w:p>
        </w:tc>
      </w:tr>
      <w:tr>
        <w:trPr>
          <w:trHeight w:val="141"/>
        </w:trPr>
        <w:tc>
          <w:tcPr>
            <w:tcW w:w="2920" w:type="dxa"/>
            <w:vAlign w:val="bottom"/>
            <w:shd w:val="clear" w:color="auto" w:fill="CCEEFF"/>
          </w:tcPr>
          <w:p>
            <w:pPr>
              <w:spacing w:after="0"/>
              <w:rPr>
                <w:sz w:val="20"/>
                <w:szCs w:val="20"/>
                <w:color w:val="auto"/>
              </w:rPr>
            </w:pPr>
            <w:r>
              <w:rPr>
                <w:rFonts w:ascii="Arial" w:cs="Arial" w:eastAsia="Arial" w:hAnsi="Arial"/>
                <w:sz w:val="11"/>
                <w:szCs w:val="11"/>
                <w:color w:val="auto"/>
              </w:rPr>
              <w:t>Noninterest-earning assets</w:t>
            </w:r>
          </w:p>
        </w:tc>
        <w:tc>
          <w:tcPr>
            <w:tcW w:w="2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72,080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68,968</w:t>
            </w:r>
          </w:p>
        </w:tc>
        <w:tc>
          <w:tcPr>
            <w:tcW w:w="6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73,023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920" w:type="dxa"/>
            <w:vAlign w:val="bottom"/>
          </w:tcPr>
          <w:p>
            <w:pPr>
              <w:spacing w:after="0"/>
              <w:rPr>
                <w:sz w:val="20"/>
                <w:szCs w:val="20"/>
                <w:color w:val="auto"/>
              </w:rPr>
            </w:pPr>
            <w:r>
              <w:rPr>
                <w:rFonts w:ascii="Arial" w:cs="Arial" w:eastAsia="Arial" w:hAnsi="Arial"/>
                <w:sz w:val="11"/>
                <w:szCs w:val="11"/>
                <w:color w:val="auto"/>
              </w:rPr>
              <w:t>Total assets</w:t>
            </w:r>
          </w:p>
        </w:tc>
        <w:tc>
          <w:tcPr>
            <w:tcW w:w="260" w:type="dxa"/>
            <w:vAlign w:val="bottom"/>
          </w:tcPr>
          <w:p>
            <w:pPr>
              <w:ind w:left="2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933,063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903,003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884,833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Interest-bearing liabilities:</w:t>
            </w:r>
          </w:p>
        </w:tc>
        <w:tc>
          <w:tcPr>
            <w:tcW w:w="2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920" w:type="dxa"/>
            <w:vAlign w:val="bottom"/>
          </w:tcPr>
          <w:p>
            <w:pPr>
              <w:ind w:left="100"/>
              <w:spacing w:after="0"/>
              <w:rPr>
                <w:sz w:val="20"/>
                <w:szCs w:val="20"/>
                <w:color w:val="auto"/>
              </w:rPr>
            </w:pPr>
            <w:r>
              <w:rPr>
                <w:rFonts w:ascii="Arial" w:cs="Arial" w:eastAsia="Arial" w:hAnsi="Arial"/>
                <w:sz w:val="11"/>
                <w:szCs w:val="11"/>
                <w:color w:val="auto"/>
              </w:rPr>
              <w:t>Demand</w:t>
            </w:r>
          </w:p>
        </w:tc>
        <w:tc>
          <w:tcPr>
            <w:tcW w:w="260" w:type="dxa"/>
            <w:vAlign w:val="bottom"/>
          </w:tcPr>
          <w:p>
            <w:pPr>
              <w:ind w:left="2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81,283</w:t>
            </w:r>
          </w:p>
        </w:tc>
        <w:tc>
          <w:tcPr>
            <w:tcW w:w="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738</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3.60 %</w:t>
            </w:r>
          </w:p>
        </w:tc>
        <w:tc>
          <w:tcPr>
            <w:tcW w:w="32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84,096</w:t>
            </w:r>
          </w:p>
        </w:tc>
        <w:tc>
          <w:tcPr>
            <w:tcW w:w="24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733</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3.49 %</w:t>
            </w:r>
          </w:p>
        </w:tc>
        <w:tc>
          <w:tcPr>
            <w:tcW w:w="34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69,941</w:t>
            </w:r>
          </w:p>
        </w:tc>
        <w:tc>
          <w:tcPr>
            <w:tcW w:w="8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630</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3.57 %</w:t>
            </w:r>
          </w:p>
        </w:tc>
        <w:tc>
          <w:tcPr>
            <w:tcW w:w="0" w:type="dxa"/>
            <w:vAlign w:val="bottom"/>
          </w:tcPr>
          <w:p>
            <w:pPr>
              <w:spacing w:after="0"/>
              <w:rPr>
                <w:sz w:val="1"/>
                <w:szCs w:val="1"/>
                <w:color w:val="auto"/>
              </w:rPr>
            </w:pPr>
          </w:p>
        </w:tc>
      </w:tr>
      <w:tr>
        <w:trPr>
          <w:trHeight w:val="163"/>
        </w:trPr>
        <w:tc>
          <w:tcPr>
            <w:tcW w:w="2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Savings</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12,958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0.48 %</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10,010</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0.79 %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12,271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1.75 %</w:t>
            </w:r>
          </w:p>
        </w:tc>
        <w:tc>
          <w:tcPr>
            <w:tcW w:w="0" w:type="dxa"/>
            <w:vAlign w:val="bottom"/>
          </w:tcPr>
          <w:p>
            <w:pPr>
              <w:spacing w:after="0"/>
              <w:rPr>
                <w:sz w:val="1"/>
                <w:szCs w:val="1"/>
                <w:color w:val="auto"/>
              </w:rPr>
            </w:pPr>
          </w:p>
        </w:tc>
      </w:tr>
      <w:tr>
        <w:trPr>
          <w:trHeight w:val="161"/>
        </w:trPr>
        <w:tc>
          <w:tcPr>
            <w:tcW w:w="2920" w:type="dxa"/>
            <w:vAlign w:val="bottom"/>
          </w:tcPr>
          <w:p>
            <w:pPr>
              <w:ind w:left="100"/>
              <w:spacing w:after="0"/>
              <w:rPr>
                <w:sz w:val="20"/>
                <w:szCs w:val="20"/>
                <w:color w:val="auto"/>
              </w:rPr>
            </w:pPr>
            <w:r>
              <w:rPr>
                <w:rFonts w:ascii="Arial" w:cs="Arial" w:eastAsia="Arial" w:hAnsi="Arial"/>
                <w:sz w:val="11"/>
                <w:szCs w:val="11"/>
                <w:color w:val="auto"/>
              </w:rPr>
              <w:t>Money market accounts</w:t>
            </w:r>
          </w:p>
        </w:tc>
        <w:tc>
          <w:tcPr>
            <w:tcW w:w="260" w:type="dxa"/>
            <w:vAlign w:val="bottom"/>
          </w:tcPr>
          <w:p>
            <w:pPr>
              <w:spacing w:after="0"/>
              <w:rPr>
                <w:sz w:val="14"/>
                <w:szCs w:val="14"/>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21,255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186</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3.47 %</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20,972</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180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3.44 %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24,629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237</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3.82 %</w:t>
            </w:r>
          </w:p>
        </w:tc>
        <w:tc>
          <w:tcPr>
            <w:tcW w:w="0" w:type="dxa"/>
            <w:vAlign w:val="bottom"/>
          </w:tcPr>
          <w:p>
            <w:pPr>
              <w:spacing w:after="0"/>
              <w:rPr>
                <w:sz w:val="1"/>
                <w:szCs w:val="1"/>
                <w:color w:val="auto"/>
              </w:rPr>
            </w:pPr>
          </w:p>
        </w:tc>
      </w:tr>
      <w:tr>
        <w:trPr>
          <w:trHeight w:val="163"/>
        </w:trPr>
        <w:tc>
          <w:tcPr>
            <w:tcW w:w="2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Certificates of deposit</w:t>
            </w: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422,854</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4,343</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4.07 %</w:t>
            </w:r>
          </w:p>
        </w:tc>
        <w:tc>
          <w:tcPr>
            <w:tcW w:w="6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432,145</w:t>
            </w:r>
          </w:p>
        </w:tc>
        <w:tc>
          <w:tcPr>
            <w:tcW w:w="6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4,297</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3.99 %</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417,059</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4,438</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4.22 %</w:t>
            </w:r>
          </w:p>
        </w:tc>
        <w:tc>
          <w:tcPr>
            <w:tcW w:w="0" w:type="dxa"/>
            <w:vAlign w:val="bottom"/>
          </w:tcPr>
          <w:p>
            <w:pPr>
              <w:spacing w:after="0"/>
              <w:rPr>
                <w:sz w:val="1"/>
                <w:szCs w:val="1"/>
                <w:color w:val="auto"/>
              </w:rPr>
            </w:pPr>
          </w:p>
        </w:tc>
      </w:tr>
      <w:tr>
        <w:trPr>
          <w:trHeight w:val="141"/>
        </w:trPr>
        <w:tc>
          <w:tcPr>
            <w:tcW w:w="2920" w:type="dxa"/>
            <w:vAlign w:val="bottom"/>
          </w:tcPr>
          <w:p>
            <w:pPr>
              <w:ind w:left="100"/>
              <w:spacing w:after="0"/>
              <w:rPr>
                <w:sz w:val="20"/>
                <w:szCs w:val="20"/>
                <w:color w:val="auto"/>
              </w:rPr>
            </w:pPr>
            <w:r>
              <w:rPr>
                <w:rFonts w:ascii="Arial" w:cs="Arial" w:eastAsia="Arial" w:hAnsi="Arial"/>
                <w:sz w:val="11"/>
                <w:szCs w:val="11"/>
                <w:color w:val="auto"/>
              </w:rPr>
              <w:t>Total deposits</w:t>
            </w:r>
          </w:p>
        </w:tc>
        <w:tc>
          <w:tcPr>
            <w:tcW w:w="260" w:type="dxa"/>
            <w:vAlign w:val="bottom"/>
          </w:tcPr>
          <w:p>
            <w:pPr>
              <w:spacing w:after="0"/>
              <w:rPr>
                <w:sz w:val="12"/>
                <w:szCs w:val="12"/>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538,350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5,283</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3.89 %</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547,223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5,230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3.83 %</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523,900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5,359</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4.06 %</w:t>
            </w:r>
          </w:p>
        </w:tc>
        <w:tc>
          <w:tcPr>
            <w:tcW w:w="0" w:type="dxa"/>
            <w:vAlign w:val="bottom"/>
          </w:tcPr>
          <w:p>
            <w:pPr>
              <w:spacing w:after="0"/>
              <w:rPr>
                <w:sz w:val="1"/>
                <w:szCs w:val="1"/>
                <w:color w:val="auto"/>
              </w:rPr>
            </w:pPr>
          </w:p>
        </w:tc>
      </w:tr>
      <w:tr>
        <w:trPr>
          <w:trHeight w:val="163"/>
        </w:trPr>
        <w:tc>
          <w:tcPr>
            <w:tcW w:w="2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borrowings</w:t>
            </w:r>
          </w:p>
        </w:tc>
        <w:tc>
          <w:tcPr>
            <w:tcW w:w="2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42"/>
        </w:trPr>
        <w:tc>
          <w:tcPr>
            <w:tcW w:w="2920" w:type="dxa"/>
            <w:vAlign w:val="bottom"/>
            <w:tcBorders>
              <w:bottom w:val="single" w:sz="8" w:color="CCEEFF"/>
            </w:tcBorders>
          </w:tcPr>
          <w:p>
            <w:pPr>
              <w:ind w:left="100"/>
              <w:spacing w:after="0" w:line="142" w:lineRule="exact"/>
              <w:rPr>
                <w:sz w:val="20"/>
                <w:szCs w:val="20"/>
                <w:color w:val="auto"/>
              </w:rPr>
            </w:pPr>
            <w:r>
              <w:rPr>
                <w:rFonts w:ascii="Arial" w:cs="Arial" w:eastAsia="Arial" w:hAnsi="Arial"/>
                <w:sz w:val="11"/>
                <w:szCs w:val="11"/>
                <w:color w:val="auto"/>
              </w:rPr>
              <w:t xml:space="preserve">Total interest-bearing liabilities </w:t>
            </w:r>
            <w:r>
              <w:rPr>
                <w:rFonts w:ascii="Arial" w:cs="Arial" w:eastAsia="Arial" w:hAnsi="Arial"/>
                <w:sz w:val="14"/>
                <w:szCs w:val="14"/>
                <w:color w:val="auto"/>
                <w:vertAlign w:val="superscript"/>
              </w:rPr>
              <w:t>(1)</w:t>
            </w:r>
          </w:p>
        </w:tc>
        <w:tc>
          <w:tcPr>
            <w:tcW w:w="26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CCEEFF"/>
            </w:tcBorders>
          </w:tcPr>
          <w:p>
            <w:pPr>
              <w:jc w:val="right"/>
              <w:ind w:right="6"/>
              <w:spacing w:after="0"/>
              <w:rPr>
                <w:sz w:val="20"/>
                <w:szCs w:val="20"/>
                <w:color w:val="auto"/>
              </w:rPr>
            </w:pPr>
            <w:r>
              <w:rPr>
                <w:rFonts w:ascii="Arial" w:cs="Arial" w:eastAsia="Arial" w:hAnsi="Arial"/>
                <w:sz w:val="11"/>
                <w:szCs w:val="11"/>
                <w:color w:val="auto"/>
              </w:rPr>
              <w:t>538,350</w:t>
            </w:r>
          </w:p>
        </w:tc>
        <w:tc>
          <w:tcPr>
            <w:tcW w:w="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5,283</w:t>
            </w:r>
          </w:p>
        </w:tc>
        <w:tc>
          <w:tcPr>
            <w:tcW w:w="8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3.89 %</w:t>
            </w:r>
          </w:p>
        </w:tc>
        <w:tc>
          <w:tcPr>
            <w:tcW w:w="6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1"/>
                <w:szCs w:val="11"/>
                <w:color w:val="auto"/>
              </w:rPr>
              <w:t>547,223</w:t>
            </w:r>
          </w:p>
        </w:tc>
        <w:tc>
          <w:tcPr>
            <w:tcW w:w="60" w:type="dxa"/>
            <w:vAlign w:val="bottom"/>
            <w:tcBorders>
              <w:top w:val="single" w:sz="8" w:color="auto"/>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5,230</w:t>
            </w: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3.83 %</w:t>
            </w:r>
          </w:p>
        </w:tc>
        <w:tc>
          <w:tcPr>
            <w:tcW w:w="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1"/>
                <w:szCs w:val="11"/>
                <w:color w:val="auto"/>
              </w:rPr>
              <w:t>523,900</w:t>
            </w: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5,359</w:t>
            </w:r>
          </w:p>
        </w:tc>
        <w:tc>
          <w:tcPr>
            <w:tcW w:w="8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4.06 %</w:t>
            </w:r>
          </w:p>
        </w:tc>
        <w:tc>
          <w:tcPr>
            <w:tcW w:w="0" w:type="dxa"/>
            <w:vAlign w:val="bottom"/>
          </w:tcPr>
          <w:p>
            <w:pPr>
              <w:spacing w:after="0"/>
              <w:rPr>
                <w:sz w:val="1"/>
                <w:szCs w:val="1"/>
                <w:color w:val="auto"/>
              </w:rPr>
            </w:pPr>
          </w:p>
        </w:tc>
      </w:tr>
      <w:tr>
        <w:trPr>
          <w:trHeight w:val="142"/>
        </w:trPr>
        <w:tc>
          <w:tcPr>
            <w:tcW w:w="2920" w:type="dxa"/>
            <w:vAlign w:val="bottom"/>
            <w:shd w:val="clear" w:color="auto" w:fill="CCEEFF"/>
          </w:tcPr>
          <w:p>
            <w:pPr>
              <w:spacing w:after="0"/>
              <w:rPr>
                <w:sz w:val="20"/>
                <w:szCs w:val="20"/>
                <w:color w:val="auto"/>
              </w:rPr>
            </w:pPr>
            <w:r>
              <w:rPr>
                <w:rFonts w:ascii="Arial" w:cs="Arial" w:eastAsia="Arial" w:hAnsi="Arial"/>
                <w:sz w:val="11"/>
                <w:szCs w:val="11"/>
                <w:color w:val="auto"/>
              </w:rPr>
              <w:t>Noninterest-bearing deposits</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162,609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124,187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140,499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920" w:type="dxa"/>
            <w:vAlign w:val="bottom"/>
          </w:tcPr>
          <w:p>
            <w:pPr>
              <w:spacing w:after="0"/>
              <w:rPr>
                <w:sz w:val="20"/>
                <w:szCs w:val="20"/>
                <w:color w:val="auto"/>
              </w:rPr>
            </w:pPr>
            <w:r>
              <w:rPr>
                <w:rFonts w:ascii="Arial" w:cs="Arial" w:eastAsia="Arial" w:hAnsi="Arial"/>
                <w:sz w:val="11"/>
                <w:szCs w:val="11"/>
                <w:color w:val="auto"/>
              </w:rPr>
              <w:t>Noninterest-bearing liabilities</w:t>
            </w:r>
          </w:p>
        </w:tc>
        <w:tc>
          <w:tcPr>
            <w:tcW w:w="260" w:type="dxa"/>
            <w:vAlign w:val="bottom"/>
          </w:tcPr>
          <w:p>
            <w:pPr>
              <w:spacing w:after="0"/>
              <w:rPr>
                <w:sz w:val="14"/>
                <w:szCs w:val="14"/>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32,110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34,462</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36,552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920" w:type="dxa"/>
            <w:vAlign w:val="bottom"/>
            <w:shd w:val="clear" w:color="auto" w:fill="CCEEFF"/>
          </w:tcPr>
          <w:p>
            <w:pPr>
              <w:spacing w:after="0"/>
              <w:rPr>
                <w:sz w:val="20"/>
                <w:szCs w:val="20"/>
                <w:color w:val="auto"/>
              </w:rPr>
            </w:pPr>
            <w:r>
              <w:rPr>
                <w:rFonts w:ascii="Arial" w:cs="Arial" w:eastAsia="Arial" w:hAnsi="Arial"/>
                <w:sz w:val="11"/>
                <w:szCs w:val="11"/>
                <w:color w:val="auto"/>
              </w:rPr>
              <w:t>Shareholders’ equity</w:t>
            </w:r>
          </w:p>
        </w:tc>
        <w:tc>
          <w:tcPr>
            <w:tcW w:w="2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199,994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197,131</w:t>
            </w:r>
          </w:p>
        </w:tc>
        <w:tc>
          <w:tcPr>
            <w:tcW w:w="6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183,882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920" w:type="dxa"/>
            <w:vAlign w:val="bottom"/>
          </w:tcPr>
          <w:p>
            <w:pPr>
              <w:spacing w:after="0"/>
              <w:rPr>
                <w:sz w:val="20"/>
                <w:szCs w:val="20"/>
                <w:color w:val="auto"/>
              </w:rPr>
            </w:pPr>
            <w:r>
              <w:rPr>
                <w:rFonts w:ascii="Arial" w:cs="Arial" w:eastAsia="Arial" w:hAnsi="Arial"/>
                <w:sz w:val="11"/>
                <w:szCs w:val="11"/>
                <w:color w:val="auto"/>
              </w:rPr>
              <w:t>Total liabilities and shareholders’ equity</w:t>
            </w:r>
          </w:p>
        </w:tc>
        <w:tc>
          <w:tcPr>
            <w:tcW w:w="260" w:type="dxa"/>
            <w:vAlign w:val="bottom"/>
          </w:tcPr>
          <w:p>
            <w:pPr>
              <w:ind w:left="2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933,063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903,003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884,833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Net interest income and interest rate spread</w:t>
            </w:r>
          </w:p>
        </w:tc>
        <w:tc>
          <w:tcPr>
            <w:tcW w:w="2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jc w:val="right"/>
              <w:spacing w:after="0" w:line="124" w:lineRule="exact"/>
              <w:rPr>
                <w:sz w:val="20"/>
                <w:szCs w:val="20"/>
                <w:color w:val="auto"/>
              </w:rPr>
            </w:pPr>
            <w:r>
              <w:rPr>
                <w:rFonts w:ascii="Arial" w:cs="Arial" w:eastAsia="Arial" w:hAnsi="Arial"/>
                <w:sz w:val="11"/>
                <w:szCs w:val="11"/>
                <w:color w:val="auto"/>
                <w:w w:val="97"/>
              </w:rPr>
              <w:t>$</w:t>
            </w:r>
          </w:p>
        </w:tc>
        <w:tc>
          <w:tcPr>
            <w:tcW w:w="640" w:type="dxa"/>
            <w:vAlign w:val="bottom"/>
            <w:tcBorders>
              <w:top w:val="single" w:sz="8" w:color="CCEEFF"/>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42,483</w:t>
            </w:r>
          </w:p>
        </w:tc>
        <w:tc>
          <w:tcPr>
            <w:tcW w:w="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18.12 %</w:t>
            </w:r>
          </w:p>
        </w:tc>
        <w:tc>
          <w:tcPr>
            <w:tcW w:w="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w:t>
            </w:r>
          </w:p>
        </w:tc>
        <w:tc>
          <w:tcPr>
            <w:tcW w:w="660" w:type="dxa"/>
            <w:vAlign w:val="bottom"/>
            <w:tcBorders>
              <w:top w:val="single" w:sz="8" w:color="CCEEFF"/>
            </w:tcBorders>
            <w:shd w:val="clear" w:color="auto" w:fill="CCEEFF"/>
          </w:tcPr>
          <w:p>
            <w:pPr>
              <w:jc w:val="right"/>
              <w:ind w:right="6"/>
              <w:spacing w:after="0" w:line="124" w:lineRule="exact"/>
              <w:rPr>
                <w:sz w:val="20"/>
                <w:szCs w:val="20"/>
                <w:color w:val="auto"/>
              </w:rPr>
            </w:pPr>
            <w:r>
              <w:rPr>
                <w:rFonts w:ascii="Arial" w:cs="Arial" w:eastAsia="Arial" w:hAnsi="Arial"/>
                <w:sz w:val="11"/>
                <w:szCs w:val="11"/>
                <w:color w:val="auto"/>
              </w:rPr>
              <w:t>28,749</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12.51 %</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CCEEFF"/>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18,607</w:t>
            </w:r>
          </w:p>
        </w:tc>
        <w:tc>
          <w:tcPr>
            <w:tcW w:w="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7.65 %</w:t>
            </w:r>
          </w:p>
        </w:tc>
        <w:tc>
          <w:tcPr>
            <w:tcW w:w="0" w:type="dxa"/>
            <w:vAlign w:val="bottom"/>
          </w:tcPr>
          <w:p>
            <w:pPr>
              <w:spacing w:after="0"/>
              <w:rPr>
                <w:sz w:val="1"/>
                <w:szCs w:val="1"/>
                <w:color w:val="auto"/>
              </w:rPr>
            </w:pPr>
          </w:p>
        </w:tc>
      </w:tr>
      <w:tr>
        <w:trPr>
          <w:trHeight w:val="160"/>
        </w:trPr>
        <w:tc>
          <w:tcPr>
            <w:tcW w:w="29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1"/>
                <w:szCs w:val="11"/>
                <w:color w:val="auto"/>
              </w:rPr>
              <w:t>Net interest margin</w:t>
            </w:r>
          </w:p>
        </w:tc>
        <w:tc>
          <w:tcPr>
            <w:tcW w:w="260" w:type="dxa"/>
            <w:vAlign w:val="bottom"/>
            <w:tcBorders>
              <w:top w:val="single" w:sz="8" w:color="CCEEFF"/>
              <w:bottom w:val="single" w:sz="8" w:color="CCEEFF"/>
            </w:tcBorders>
          </w:tcPr>
          <w:p>
            <w:pPr>
              <w:spacing w:after="0"/>
              <w:rPr>
                <w:sz w:val="13"/>
                <w:szCs w:val="13"/>
                <w:color w:val="auto"/>
              </w:rPr>
            </w:pPr>
          </w:p>
        </w:tc>
        <w:tc>
          <w:tcPr>
            <w:tcW w:w="640" w:type="dxa"/>
            <w:vAlign w:val="bottom"/>
            <w:tcBorders>
              <w:top w:val="single" w:sz="8" w:color="CCEEFF"/>
              <w:bottom w:val="single" w:sz="8" w:color="CCEEFF"/>
            </w:tcBorders>
          </w:tcPr>
          <w:p>
            <w:pPr>
              <w:spacing w:after="0"/>
              <w:rPr>
                <w:sz w:val="13"/>
                <w:szCs w:val="13"/>
                <w:color w:val="auto"/>
              </w:rPr>
            </w:pPr>
          </w:p>
        </w:tc>
        <w:tc>
          <w:tcPr>
            <w:tcW w:w="60" w:type="dxa"/>
            <w:vAlign w:val="bottom"/>
            <w:tcBorders>
              <w:top w:val="single" w:sz="8" w:color="CCEEFF"/>
              <w:bottom w:val="single" w:sz="8" w:color="CCEEFF"/>
            </w:tcBorders>
          </w:tcPr>
          <w:p>
            <w:pPr>
              <w:spacing w:after="0"/>
              <w:rPr>
                <w:sz w:val="13"/>
                <w:szCs w:val="13"/>
                <w:color w:val="auto"/>
              </w:rPr>
            </w:pPr>
          </w:p>
        </w:tc>
        <w:tc>
          <w:tcPr>
            <w:tcW w:w="120" w:type="dxa"/>
            <w:vAlign w:val="bottom"/>
            <w:tcBorders>
              <w:top w:val="single" w:sz="8" w:color="242424"/>
              <w:bottom w:val="single" w:sz="8" w:color="CCEEFF"/>
            </w:tcBorders>
          </w:tcPr>
          <w:p>
            <w:pPr>
              <w:spacing w:after="0"/>
              <w:rPr>
                <w:sz w:val="13"/>
                <w:szCs w:val="13"/>
                <w:color w:val="auto"/>
              </w:rPr>
            </w:pPr>
          </w:p>
        </w:tc>
        <w:tc>
          <w:tcPr>
            <w:tcW w:w="640" w:type="dxa"/>
            <w:vAlign w:val="bottom"/>
            <w:tcBorders>
              <w:top w:val="single" w:sz="8" w:color="242424"/>
              <w:bottom w:val="single" w:sz="8" w:color="CCEEFF"/>
            </w:tcBorders>
          </w:tcPr>
          <w:p>
            <w:pPr>
              <w:spacing w:after="0"/>
              <w:rPr>
                <w:sz w:val="13"/>
                <w:szCs w:val="13"/>
                <w:color w:val="auto"/>
              </w:rPr>
            </w:pPr>
          </w:p>
        </w:tc>
        <w:tc>
          <w:tcPr>
            <w:tcW w:w="80" w:type="dxa"/>
            <w:vAlign w:val="bottom"/>
            <w:tcBorders>
              <w:top w:val="single" w:sz="8" w:color="CCEEFF"/>
              <w:bottom w:val="single" w:sz="8" w:color="CCEEFF"/>
            </w:tcBorders>
          </w:tcPr>
          <w:p>
            <w:pPr>
              <w:spacing w:after="0"/>
              <w:rPr>
                <w:sz w:val="13"/>
                <w:szCs w:val="13"/>
                <w:color w:val="auto"/>
              </w:rPr>
            </w:pPr>
          </w:p>
        </w:tc>
        <w:tc>
          <w:tcPr>
            <w:tcW w:w="940" w:type="dxa"/>
            <w:vAlign w:val="bottom"/>
            <w:tcBorders>
              <w:top w:val="single" w:sz="8" w:color="242424"/>
              <w:bottom w:val="single" w:sz="8" w:color="242424"/>
            </w:tcBorders>
          </w:tcPr>
          <w:p>
            <w:pPr>
              <w:jc w:val="right"/>
              <w:spacing w:after="0"/>
              <w:rPr>
                <w:sz w:val="20"/>
                <w:szCs w:val="20"/>
                <w:color w:val="auto"/>
              </w:rPr>
            </w:pPr>
            <w:r>
              <w:rPr>
                <w:rFonts w:ascii="Arial" w:cs="Arial" w:eastAsia="Arial" w:hAnsi="Arial"/>
                <w:sz w:val="11"/>
                <w:szCs w:val="11"/>
                <w:color w:val="auto"/>
              </w:rPr>
              <w:t>19.58 %</w:t>
            </w:r>
          </w:p>
        </w:tc>
        <w:tc>
          <w:tcPr>
            <w:tcW w:w="60" w:type="dxa"/>
            <w:vAlign w:val="bottom"/>
            <w:tcBorders>
              <w:top w:val="single" w:sz="8" w:color="CCEEFF"/>
              <w:bottom w:val="single" w:sz="8" w:color="CCEEFF"/>
            </w:tcBorders>
          </w:tcPr>
          <w:p>
            <w:pPr>
              <w:spacing w:after="0"/>
              <w:rPr>
                <w:sz w:val="13"/>
                <w:szCs w:val="13"/>
                <w:color w:val="auto"/>
              </w:rPr>
            </w:pPr>
          </w:p>
        </w:tc>
        <w:tc>
          <w:tcPr>
            <w:tcW w:w="260" w:type="dxa"/>
            <w:vAlign w:val="bottom"/>
            <w:tcBorders>
              <w:top w:val="single" w:sz="8" w:color="CCEEFF"/>
              <w:bottom w:val="single" w:sz="8" w:color="CCEEFF"/>
            </w:tcBorders>
          </w:tcPr>
          <w:p>
            <w:pPr>
              <w:spacing w:after="0"/>
              <w:rPr>
                <w:sz w:val="13"/>
                <w:szCs w:val="13"/>
                <w:color w:val="auto"/>
              </w:rPr>
            </w:pPr>
          </w:p>
        </w:tc>
        <w:tc>
          <w:tcPr>
            <w:tcW w:w="580" w:type="dxa"/>
            <w:vAlign w:val="bottom"/>
            <w:tcBorders>
              <w:top w:val="single" w:sz="8" w:color="CCEEFF"/>
              <w:bottom w:val="single" w:sz="8" w:color="CCEEFF"/>
            </w:tcBorders>
          </w:tcPr>
          <w:p>
            <w:pPr>
              <w:spacing w:after="0"/>
              <w:rPr>
                <w:sz w:val="13"/>
                <w:szCs w:val="13"/>
                <w:color w:val="auto"/>
              </w:rPr>
            </w:pPr>
          </w:p>
        </w:tc>
        <w:tc>
          <w:tcPr>
            <w:tcW w:w="60" w:type="dxa"/>
            <w:vAlign w:val="bottom"/>
            <w:tcBorders>
              <w:top w:val="single" w:sz="8" w:color="CCEEFF"/>
              <w:bottom w:val="single" w:sz="8" w:color="CCEEFF"/>
            </w:tcBorders>
          </w:tcPr>
          <w:p>
            <w:pPr>
              <w:spacing w:after="0"/>
              <w:rPr>
                <w:sz w:val="13"/>
                <w:szCs w:val="13"/>
                <w:color w:val="auto"/>
              </w:rPr>
            </w:pPr>
          </w:p>
        </w:tc>
        <w:tc>
          <w:tcPr>
            <w:tcW w:w="60" w:type="dxa"/>
            <w:vAlign w:val="bottom"/>
            <w:tcBorders>
              <w:top w:val="single" w:sz="8" w:color="CCEEFF"/>
              <w:bottom w:val="single" w:sz="8" w:color="CCEEFF"/>
            </w:tcBorders>
          </w:tcPr>
          <w:p>
            <w:pPr>
              <w:spacing w:after="0"/>
              <w:rPr>
                <w:sz w:val="13"/>
                <w:szCs w:val="13"/>
                <w:color w:val="auto"/>
              </w:rPr>
            </w:pPr>
          </w:p>
        </w:tc>
        <w:tc>
          <w:tcPr>
            <w:tcW w:w="120" w:type="dxa"/>
            <w:vAlign w:val="bottom"/>
            <w:tcBorders>
              <w:top w:val="single" w:sz="8" w:color="242424"/>
              <w:bottom w:val="single" w:sz="8" w:color="CCEEFF"/>
            </w:tcBorders>
          </w:tcPr>
          <w:p>
            <w:pPr>
              <w:spacing w:after="0"/>
              <w:rPr>
                <w:sz w:val="13"/>
                <w:szCs w:val="13"/>
                <w:color w:val="auto"/>
              </w:rPr>
            </w:pPr>
          </w:p>
        </w:tc>
        <w:tc>
          <w:tcPr>
            <w:tcW w:w="660" w:type="dxa"/>
            <w:vAlign w:val="bottom"/>
            <w:tcBorders>
              <w:top w:val="single" w:sz="8" w:color="242424"/>
              <w:bottom w:val="single" w:sz="8" w:color="CCEEFF"/>
            </w:tcBorders>
          </w:tcPr>
          <w:p>
            <w:pPr>
              <w:spacing w:after="0"/>
              <w:rPr>
                <w:sz w:val="13"/>
                <w:szCs w:val="13"/>
                <w:color w:val="auto"/>
              </w:rPr>
            </w:pPr>
          </w:p>
        </w:tc>
        <w:tc>
          <w:tcPr>
            <w:tcW w:w="60" w:type="dxa"/>
            <w:vAlign w:val="bottom"/>
            <w:tcBorders>
              <w:top w:val="single" w:sz="8" w:color="CCEEFF"/>
              <w:bottom w:val="single" w:sz="8" w:color="CCEEFF"/>
            </w:tcBorders>
          </w:tcPr>
          <w:p>
            <w:pPr>
              <w:spacing w:after="0"/>
              <w:rPr>
                <w:sz w:val="13"/>
                <w:szCs w:val="13"/>
                <w:color w:val="auto"/>
              </w:rPr>
            </w:pPr>
          </w:p>
        </w:tc>
        <w:tc>
          <w:tcPr>
            <w:tcW w:w="160" w:type="dxa"/>
            <w:vAlign w:val="bottom"/>
            <w:tcBorders>
              <w:top w:val="single" w:sz="8" w:color="242424"/>
              <w:bottom w:val="single" w:sz="8" w:color="242424"/>
            </w:tcBorders>
          </w:tcPr>
          <w:p>
            <w:pPr>
              <w:spacing w:after="0"/>
              <w:rPr>
                <w:sz w:val="13"/>
                <w:szCs w:val="13"/>
                <w:color w:val="auto"/>
              </w:rPr>
            </w:pPr>
          </w:p>
        </w:tc>
        <w:tc>
          <w:tcPr>
            <w:tcW w:w="780" w:type="dxa"/>
            <w:vAlign w:val="bottom"/>
            <w:tcBorders>
              <w:top w:val="single" w:sz="8" w:color="242424"/>
              <w:bottom w:val="single" w:sz="8" w:color="242424"/>
            </w:tcBorders>
          </w:tcPr>
          <w:p>
            <w:pPr>
              <w:jc w:val="right"/>
              <w:spacing w:after="0"/>
              <w:rPr>
                <w:sz w:val="20"/>
                <w:szCs w:val="20"/>
                <w:color w:val="auto"/>
              </w:rPr>
            </w:pPr>
            <w:r>
              <w:rPr>
                <w:rFonts w:ascii="Arial" w:cs="Arial" w:eastAsia="Arial" w:hAnsi="Arial"/>
                <w:sz w:val="11"/>
                <w:szCs w:val="11"/>
                <w:color w:val="auto"/>
              </w:rPr>
              <w:t>13.83 %</w:t>
            </w:r>
          </w:p>
        </w:tc>
        <w:tc>
          <w:tcPr>
            <w:tcW w:w="80" w:type="dxa"/>
            <w:vAlign w:val="bottom"/>
            <w:tcBorders>
              <w:top w:val="single" w:sz="8" w:color="CCEEFF"/>
              <w:bottom w:val="single" w:sz="8" w:color="CCEEFF"/>
            </w:tcBorders>
          </w:tcPr>
          <w:p>
            <w:pPr>
              <w:spacing w:after="0"/>
              <w:rPr>
                <w:sz w:val="13"/>
                <w:szCs w:val="13"/>
                <w:color w:val="auto"/>
              </w:rPr>
            </w:pPr>
          </w:p>
        </w:tc>
        <w:tc>
          <w:tcPr>
            <w:tcW w:w="260" w:type="dxa"/>
            <w:vAlign w:val="bottom"/>
            <w:tcBorders>
              <w:top w:val="single" w:sz="8" w:color="CCEEFF"/>
              <w:bottom w:val="single" w:sz="8" w:color="CCEEFF"/>
            </w:tcBorders>
          </w:tcPr>
          <w:p>
            <w:pPr>
              <w:spacing w:after="0"/>
              <w:rPr>
                <w:sz w:val="13"/>
                <w:szCs w:val="13"/>
                <w:color w:val="auto"/>
              </w:rPr>
            </w:pPr>
          </w:p>
        </w:tc>
        <w:tc>
          <w:tcPr>
            <w:tcW w:w="620" w:type="dxa"/>
            <w:vAlign w:val="bottom"/>
            <w:tcBorders>
              <w:top w:val="single" w:sz="8" w:color="CCEEFF"/>
              <w:bottom w:val="single" w:sz="8" w:color="CCEEFF"/>
            </w:tcBorders>
          </w:tcPr>
          <w:p>
            <w:pPr>
              <w:spacing w:after="0"/>
              <w:rPr>
                <w:sz w:val="13"/>
                <w:szCs w:val="13"/>
                <w:color w:val="auto"/>
              </w:rPr>
            </w:pPr>
          </w:p>
        </w:tc>
        <w:tc>
          <w:tcPr>
            <w:tcW w:w="80" w:type="dxa"/>
            <w:vAlign w:val="bottom"/>
            <w:tcBorders>
              <w:top w:val="single" w:sz="8" w:color="CCEEFF"/>
              <w:bottom w:val="single" w:sz="8" w:color="CCEEFF"/>
            </w:tcBorders>
          </w:tcPr>
          <w:p>
            <w:pPr>
              <w:spacing w:after="0"/>
              <w:rPr>
                <w:sz w:val="13"/>
                <w:szCs w:val="13"/>
                <w:color w:val="auto"/>
              </w:rPr>
            </w:pPr>
          </w:p>
        </w:tc>
        <w:tc>
          <w:tcPr>
            <w:tcW w:w="120" w:type="dxa"/>
            <w:vAlign w:val="bottom"/>
            <w:tcBorders>
              <w:top w:val="single" w:sz="8" w:color="242424"/>
              <w:bottom w:val="single" w:sz="8" w:color="CCEEFF"/>
            </w:tcBorders>
          </w:tcPr>
          <w:p>
            <w:pPr>
              <w:spacing w:after="0"/>
              <w:rPr>
                <w:sz w:val="13"/>
                <w:szCs w:val="13"/>
                <w:color w:val="auto"/>
              </w:rPr>
            </w:pPr>
          </w:p>
        </w:tc>
        <w:tc>
          <w:tcPr>
            <w:tcW w:w="640" w:type="dxa"/>
            <w:vAlign w:val="bottom"/>
            <w:tcBorders>
              <w:top w:val="single" w:sz="8" w:color="242424"/>
              <w:bottom w:val="single" w:sz="8" w:color="CCEEFF"/>
            </w:tcBorders>
          </w:tcPr>
          <w:p>
            <w:pPr>
              <w:spacing w:after="0"/>
              <w:rPr>
                <w:sz w:val="13"/>
                <w:szCs w:val="13"/>
                <w:color w:val="auto"/>
              </w:rPr>
            </w:pPr>
          </w:p>
        </w:tc>
        <w:tc>
          <w:tcPr>
            <w:tcW w:w="80" w:type="dxa"/>
            <w:vAlign w:val="bottom"/>
            <w:tcBorders>
              <w:top w:val="single" w:sz="8" w:color="CCEEFF"/>
              <w:bottom w:val="single" w:sz="8" w:color="CCEEFF"/>
            </w:tcBorders>
          </w:tcPr>
          <w:p>
            <w:pPr>
              <w:spacing w:after="0"/>
              <w:rPr>
                <w:sz w:val="13"/>
                <w:szCs w:val="13"/>
                <w:color w:val="auto"/>
              </w:rPr>
            </w:pPr>
          </w:p>
        </w:tc>
        <w:tc>
          <w:tcPr>
            <w:tcW w:w="940" w:type="dxa"/>
            <w:vAlign w:val="bottom"/>
            <w:tcBorders>
              <w:top w:val="single" w:sz="8" w:color="242424"/>
              <w:bottom w:val="single" w:sz="8" w:color="242424"/>
            </w:tcBorders>
          </w:tcPr>
          <w:p>
            <w:pPr>
              <w:jc w:val="right"/>
              <w:spacing w:after="0"/>
              <w:rPr>
                <w:sz w:val="20"/>
                <w:szCs w:val="20"/>
                <w:color w:val="auto"/>
              </w:rPr>
            </w:pPr>
            <w:r>
              <w:rPr>
                <w:rFonts w:ascii="Arial" w:cs="Arial" w:eastAsia="Arial" w:hAnsi="Arial"/>
                <w:sz w:val="11"/>
                <w:szCs w:val="11"/>
                <w:color w:val="auto"/>
              </w:rPr>
              <w:t>9.09 %</w:t>
            </w:r>
          </w:p>
        </w:tc>
        <w:tc>
          <w:tcPr>
            <w:tcW w:w="0" w:type="dxa"/>
            <w:vAlign w:val="bottom"/>
          </w:tcPr>
          <w:p>
            <w:pPr>
              <w:spacing w:after="0"/>
              <w:rPr>
                <w:sz w:val="1"/>
                <w:szCs w:val="1"/>
                <w:color w:val="auto"/>
              </w:rPr>
            </w:pPr>
          </w:p>
        </w:tc>
      </w:tr>
      <w:tr>
        <w:trPr>
          <w:trHeight w:val="126"/>
        </w:trPr>
        <w:tc>
          <w:tcPr>
            <w:tcW w:w="2920" w:type="dxa"/>
            <w:vAlign w:val="bottom"/>
            <w:shd w:val="clear" w:color="auto" w:fill="CCEEFF"/>
          </w:tcPr>
          <w:p>
            <w:pPr>
              <w:spacing w:after="0"/>
              <w:rPr>
                <w:sz w:val="20"/>
                <w:szCs w:val="20"/>
                <w:color w:val="auto"/>
              </w:rPr>
            </w:pPr>
            <w:r>
              <w:rPr>
                <w:rFonts w:ascii="Arial" w:cs="Arial" w:eastAsia="Arial" w:hAnsi="Arial"/>
                <w:sz w:val="11"/>
                <w:szCs w:val="11"/>
                <w:color w:val="auto"/>
                <w:w w:val="99"/>
              </w:rPr>
              <w:t>Ratio of average interest-earning assets to average interest-</w:t>
            </w: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159.93 %</w:t>
            </w: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152.41 %</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154.96 %</w:t>
            </w:r>
          </w:p>
        </w:tc>
        <w:tc>
          <w:tcPr>
            <w:tcW w:w="0" w:type="dxa"/>
            <w:vAlign w:val="bottom"/>
          </w:tcPr>
          <w:p>
            <w:pPr>
              <w:spacing w:after="0"/>
              <w:rPr>
                <w:sz w:val="1"/>
                <w:szCs w:val="1"/>
                <w:color w:val="auto"/>
              </w:rPr>
            </w:pPr>
          </w:p>
        </w:tc>
      </w:tr>
      <w:tr>
        <w:trPr>
          <w:trHeight w:val="151"/>
        </w:trPr>
        <w:tc>
          <w:tcPr>
            <w:tcW w:w="2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bearing liabilities</w:t>
            </w:r>
          </w:p>
        </w:tc>
        <w:tc>
          <w:tcPr>
            <w:tcW w:w="2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242424"/>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242424"/>
            </w:tcBorders>
            <w:shd w:val="clear" w:color="auto" w:fill="CCEEFF"/>
          </w:tcPr>
          <w:p>
            <w:pPr>
              <w:spacing w:after="0"/>
              <w:rPr>
                <w:sz w:val="13"/>
                <w:szCs w:val="13"/>
                <w:color w:val="auto"/>
              </w:rPr>
            </w:pPr>
          </w:p>
        </w:tc>
        <w:tc>
          <w:tcPr>
            <w:tcW w:w="780" w:type="dxa"/>
            <w:vAlign w:val="bottom"/>
            <w:tcBorders>
              <w:bottom w:val="single" w:sz="8" w:color="242424"/>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242424"/>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8" w:right="100" w:hanging="8"/>
        <w:spacing w:after="0" w:line="223" w:lineRule="auto"/>
        <w:tabs>
          <w:tab w:leader="none" w:pos="124" w:val="left"/>
        </w:tabs>
        <w:numPr>
          <w:ilvl w:val="0"/>
          <w:numId w:val="9"/>
        </w:numPr>
        <w:rPr>
          <w:rFonts w:ascii="Arial" w:cs="Arial" w:eastAsia="Arial" w:hAnsi="Arial"/>
          <w:sz w:val="14"/>
          <w:szCs w:val="14"/>
          <w:color w:val="auto"/>
          <w:vertAlign w:val="superscript"/>
        </w:rPr>
      </w:pPr>
      <w:r>
        <w:rPr>
          <w:rFonts w:ascii="Arial" w:cs="Arial" w:eastAsia="Arial" w:hAnsi="Arial"/>
          <w:sz w:val="11"/>
          <w:szCs w:val="11"/>
          <w:color w:val="auto"/>
        </w:rPr>
        <w:t>Includes interest income of $1.0 million and $0.8 million and interest expense of $0.4 million and $0.5 million from discontinued operations for the three months ended September 30, 2026 and June 30, 2026, respectively. There were no discontinued operations for the three months ended September 30, 2025.</w:t>
      </w:r>
    </w:p>
    <w:p>
      <w:pPr>
        <w:spacing w:after="0" w:line="87"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288"/>
          </w:cols>
          <w:pgMar w:left="292" w:top="557" w:right="319" w:bottom="1440" w:gutter="0" w:footer="0" w:header="0"/>
        </w:sectPr>
      </w:pPr>
    </w:p>
    <w:bookmarkStart w:id="17" w:name="page18"/>
    <w:bookmarkEnd w:id="17"/>
    <w:p>
      <w:pPr>
        <w:jc w:val="center"/>
        <w:spacing w:after="0"/>
        <w:rPr>
          <w:sz w:val="20"/>
          <w:szCs w:val="20"/>
          <w:color w:val="auto"/>
        </w:rPr>
      </w:pPr>
      <w:r>
        <w:rPr>
          <w:rFonts w:ascii="Arial" w:cs="Arial" w:eastAsia="Arial" w:hAnsi="Arial"/>
          <w:sz w:val="13"/>
          <w:szCs w:val="13"/>
          <w:b w:val="1"/>
          <w:bCs w:val="1"/>
          <w:color w:val="365F91"/>
        </w:rPr>
        <w:t>Reconciliation of GAAP to Non-GAAP Financial Measures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365F91"/>
        </w:rPr>
        <w:t>(Unaudited)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80" w:type="dxa"/>
            <w:vAlign w:val="bottom"/>
          </w:tcPr>
          <w:p>
            <w:pPr>
              <w:spacing w:after="0"/>
              <w:rPr>
                <w:sz w:val="20"/>
                <w:szCs w:val="20"/>
                <w:color w:val="auto"/>
              </w:rPr>
            </w:pPr>
            <w:r>
              <w:rPr>
                <w:rFonts w:ascii="Arial" w:cs="Arial" w:eastAsia="Arial" w:hAnsi="Arial"/>
                <w:sz w:val="12"/>
                <w:szCs w:val="12"/>
                <w:b w:val="1"/>
                <w:bCs w:val="1"/>
                <w:color w:val="auto"/>
              </w:rPr>
              <w:t>Efficiency ratio</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Three Months Ended</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60"/>
        </w:trPr>
        <w:tc>
          <w:tcPr>
            <w:tcW w:w="6980" w:type="dxa"/>
            <w:vAlign w:val="bottom"/>
            <w:tcBorders>
              <w:bottom w:val="single" w:sz="8" w:color="CCEEFF"/>
            </w:tcBorders>
          </w:tcPr>
          <w:p>
            <w:pPr>
              <w:spacing w:after="0"/>
              <w:rPr>
                <w:sz w:val="20"/>
                <w:szCs w:val="20"/>
                <w:color w:val="auto"/>
              </w:rPr>
            </w:pPr>
            <w:r>
              <w:rPr>
                <w:rFonts w:ascii="Arial" w:cs="Arial" w:eastAsia="Arial" w:hAnsi="Arial"/>
                <w:sz w:val="12"/>
                <w:szCs w:val="12"/>
                <w:i w:val="1"/>
                <w:iCs w:val="1"/>
                <w:color w:val="auto"/>
              </w:rPr>
              <w:t>($ in thousands)</w:t>
            </w: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9/30/2026</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6/30/2026</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9/30/2025</w:t>
            </w:r>
          </w:p>
        </w:tc>
      </w:tr>
      <w:tr>
        <w:trPr>
          <w:trHeight w:val="142"/>
        </w:trPr>
        <w:tc>
          <w:tcPr>
            <w:tcW w:w="6980" w:type="dxa"/>
            <w:vAlign w:val="bottom"/>
            <w:shd w:val="clear" w:color="auto" w:fill="CCEEFF"/>
          </w:tcPr>
          <w:p>
            <w:pPr>
              <w:spacing w:after="0"/>
              <w:rPr>
                <w:sz w:val="20"/>
                <w:szCs w:val="20"/>
                <w:color w:val="auto"/>
              </w:rPr>
            </w:pPr>
            <w:r>
              <w:rPr>
                <w:rFonts w:ascii="Arial" w:cs="Arial" w:eastAsia="Arial" w:hAnsi="Arial"/>
                <w:sz w:val="12"/>
                <w:szCs w:val="12"/>
                <w:color w:val="auto"/>
              </w:rPr>
              <w:t>Total non-interest expense</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42,744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28,306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17,449</w:t>
            </w:r>
          </w:p>
        </w:tc>
      </w:tr>
      <w:tr>
        <w:trPr>
          <w:trHeight w:val="171"/>
        </w:trPr>
        <w:tc>
          <w:tcPr>
            <w:tcW w:w="6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3"/>
        </w:trPr>
        <w:tc>
          <w:tcPr>
            <w:tcW w:w="6980" w:type="dxa"/>
            <w:vAlign w:val="bottom"/>
            <w:shd w:val="clear" w:color="auto" w:fill="CCEEFF"/>
          </w:tcPr>
          <w:p>
            <w:pPr>
              <w:spacing w:after="0"/>
              <w:rPr>
                <w:sz w:val="20"/>
                <w:szCs w:val="20"/>
                <w:color w:val="auto"/>
              </w:rPr>
            </w:pPr>
            <w:r>
              <w:rPr>
                <w:rFonts w:ascii="Arial" w:cs="Arial" w:eastAsia="Arial" w:hAnsi="Arial"/>
                <w:sz w:val="12"/>
                <w:szCs w:val="12"/>
                <w:color w:val="auto"/>
              </w:rPr>
              <w:t>Net interest income</w:t>
            </w: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41,918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28,401</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18,607</w:t>
            </w:r>
          </w:p>
        </w:tc>
      </w:tr>
      <w:tr>
        <w:trPr>
          <w:trHeight w:val="153"/>
        </w:trPr>
        <w:tc>
          <w:tcPr>
            <w:tcW w:w="69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non-interest income</w:t>
            </w:r>
          </w:p>
        </w:tc>
        <w:tc>
          <w:tcPr>
            <w:tcW w:w="240" w:type="dxa"/>
            <w:vAlign w:val="bottom"/>
            <w:tcBorders>
              <w:bottom w:val="single" w:sz="8" w:color="242424"/>
            </w:tcBorders>
          </w:tcPr>
          <w:p>
            <w:pPr>
              <w:spacing w:after="0"/>
              <w:rPr>
                <w:sz w:val="13"/>
                <w:szCs w:val="13"/>
                <w:color w:val="auto"/>
              </w:rPr>
            </w:pPr>
          </w:p>
        </w:tc>
        <w:tc>
          <w:tcPr>
            <w:tcW w:w="1140" w:type="dxa"/>
            <w:vAlign w:val="bottom"/>
            <w:tcBorders>
              <w:bottom w:val="single" w:sz="8" w:color="242424"/>
            </w:tcBorders>
          </w:tcPr>
          <w:p>
            <w:pPr>
              <w:jc w:val="right"/>
              <w:ind w:right="100"/>
              <w:spacing w:after="0"/>
              <w:rPr>
                <w:sz w:val="20"/>
                <w:szCs w:val="20"/>
                <w:color w:val="auto"/>
              </w:rPr>
            </w:pPr>
            <w:r>
              <w:rPr>
                <w:rFonts w:ascii="Arial" w:cs="Arial" w:eastAsia="Arial" w:hAnsi="Arial"/>
                <w:sz w:val="12"/>
                <w:szCs w:val="12"/>
                <w:color w:val="auto"/>
              </w:rPr>
              <w:t>60,825</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242424"/>
            </w:tcBorders>
          </w:tcPr>
          <w:p>
            <w:pPr>
              <w:spacing w:after="0"/>
              <w:rPr>
                <w:sz w:val="13"/>
                <w:szCs w:val="13"/>
                <w:color w:val="auto"/>
              </w:rPr>
            </w:pPr>
          </w:p>
        </w:tc>
        <w:tc>
          <w:tcPr>
            <w:tcW w:w="1300" w:type="dxa"/>
            <w:vAlign w:val="bottom"/>
            <w:tcBorders>
              <w:bottom w:val="single" w:sz="8" w:color="242424"/>
            </w:tcBorders>
          </w:tcPr>
          <w:p>
            <w:pPr>
              <w:jc w:val="right"/>
              <w:ind w:right="100"/>
              <w:spacing w:after="0"/>
              <w:rPr>
                <w:sz w:val="20"/>
                <w:szCs w:val="20"/>
                <w:color w:val="auto"/>
              </w:rPr>
            </w:pPr>
            <w:r>
              <w:rPr>
                <w:rFonts w:ascii="Arial" w:cs="Arial" w:eastAsia="Arial" w:hAnsi="Arial"/>
                <w:sz w:val="12"/>
                <w:szCs w:val="12"/>
                <w:color w:val="auto"/>
              </w:rPr>
              <w:t>23,122</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242424"/>
            </w:tcBorders>
          </w:tcPr>
          <w:p>
            <w:pPr>
              <w:spacing w:after="0"/>
              <w:rPr>
                <w:sz w:val="13"/>
                <w:szCs w:val="13"/>
                <w:color w:val="auto"/>
              </w:rPr>
            </w:pPr>
          </w:p>
        </w:tc>
        <w:tc>
          <w:tcPr>
            <w:tcW w:w="1140" w:type="dxa"/>
            <w:vAlign w:val="bottom"/>
            <w:tcBorders>
              <w:bottom w:val="single" w:sz="8" w:color="242424"/>
            </w:tcBorders>
          </w:tcPr>
          <w:p>
            <w:pPr>
              <w:jc w:val="right"/>
              <w:ind w:right="100"/>
              <w:spacing w:after="0"/>
              <w:rPr>
                <w:sz w:val="20"/>
                <w:szCs w:val="20"/>
                <w:color w:val="auto"/>
              </w:rPr>
            </w:pPr>
            <w:r>
              <w:rPr>
                <w:rFonts w:ascii="Arial" w:cs="Arial" w:eastAsia="Arial" w:hAnsi="Arial"/>
                <w:sz w:val="12"/>
                <w:szCs w:val="12"/>
                <w:color w:val="auto"/>
              </w:rPr>
              <w:t>18,052</w:t>
            </w:r>
          </w:p>
        </w:tc>
      </w:tr>
      <w:tr>
        <w:trPr>
          <w:trHeight w:val="162"/>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Operating revenue</w:t>
            </w:r>
          </w:p>
        </w:tc>
        <w:tc>
          <w:tcPr>
            <w:tcW w:w="240" w:type="dxa"/>
            <w:vAlign w:val="bottom"/>
            <w:tcBorders>
              <w:bottom w:val="single" w:sz="8" w:color="242424"/>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242424"/>
            </w:tcBorders>
            <w:shd w:val="clear" w:color="auto" w:fill="CCEEFF"/>
          </w:tcPr>
          <w:p>
            <w:pPr>
              <w:jc w:val="right"/>
              <w:ind w:right="100"/>
              <w:spacing w:after="0"/>
              <w:rPr>
                <w:sz w:val="20"/>
                <w:szCs w:val="20"/>
                <w:color w:val="auto"/>
              </w:rPr>
            </w:pPr>
            <w:r>
              <w:rPr>
                <w:rFonts w:ascii="Arial" w:cs="Arial" w:eastAsia="Arial" w:hAnsi="Arial"/>
                <w:sz w:val="12"/>
                <w:szCs w:val="12"/>
                <w:color w:val="auto"/>
              </w:rPr>
              <w:t>102,743</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242424"/>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242424"/>
            </w:tcBorders>
            <w:shd w:val="clear" w:color="auto" w:fill="CCEEFF"/>
          </w:tcPr>
          <w:p>
            <w:pPr>
              <w:jc w:val="right"/>
              <w:ind w:right="100"/>
              <w:spacing w:after="0"/>
              <w:rPr>
                <w:sz w:val="20"/>
                <w:szCs w:val="20"/>
                <w:color w:val="auto"/>
              </w:rPr>
            </w:pPr>
            <w:r>
              <w:rPr>
                <w:rFonts w:ascii="Arial" w:cs="Arial" w:eastAsia="Arial" w:hAnsi="Arial"/>
                <w:sz w:val="12"/>
                <w:szCs w:val="12"/>
                <w:color w:val="auto"/>
              </w:rPr>
              <w:t>51,523</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242424"/>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242424"/>
            </w:tcBorders>
            <w:shd w:val="clear" w:color="auto" w:fill="CCEEFF"/>
          </w:tcPr>
          <w:p>
            <w:pPr>
              <w:jc w:val="right"/>
              <w:ind w:right="100"/>
              <w:spacing w:after="0"/>
              <w:rPr>
                <w:sz w:val="20"/>
                <w:szCs w:val="20"/>
                <w:color w:val="auto"/>
              </w:rPr>
            </w:pPr>
            <w:r>
              <w:rPr>
                <w:rFonts w:ascii="Arial" w:cs="Arial" w:eastAsia="Arial" w:hAnsi="Arial"/>
                <w:sz w:val="12"/>
                <w:szCs w:val="12"/>
                <w:color w:val="auto"/>
              </w:rPr>
              <w:t>36,659</w:t>
            </w:r>
          </w:p>
        </w:tc>
      </w:tr>
      <w:tr>
        <w:trPr>
          <w:trHeight w:val="155"/>
        </w:trPr>
        <w:tc>
          <w:tcPr>
            <w:tcW w:w="6980" w:type="dxa"/>
            <w:vAlign w:val="bottom"/>
          </w:tcPr>
          <w:p>
            <w:pPr>
              <w:spacing w:after="0"/>
              <w:rPr>
                <w:sz w:val="20"/>
                <w:szCs w:val="20"/>
                <w:color w:val="auto"/>
              </w:rPr>
            </w:pPr>
            <w:r>
              <w:rPr>
                <w:rFonts w:ascii="Arial" w:cs="Arial" w:eastAsia="Arial" w:hAnsi="Arial"/>
                <w:sz w:val="12"/>
                <w:szCs w:val="12"/>
                <w:color w:val="auto"/>
              </w:rPr>
              <w:t>Efficiency ratio from continuing operations</w:t>
            </w: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41.6 %</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54.9 %</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47.6 %</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impact of the credit enhancement program on our efficiency ratio:</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80" w:type="dxa"/>
            <w:vAlign w:val="bottom"/>
          </w:tcPr>
          <w:p>
            <w:pPr>
              <w:spacing w:after="0"/>
              <w:rPr>
                <w:sz w:val="20"/>
                <w:szCs w:val="20"/>
                <w:color w:val="auto"/>
              </w:rPr>
            </w:pPr>
            <w:r>
              <w:rPr>
                <w:rFonts w:ascii="Arial" w:cs="Arial" w:eastAsia="Arial" w:hAnsi="Arial"/>
                <w:sz w:val="12"/>
                <w:szCs w:val="12"/>
                <w:b w:val="1"/>
                <w:bCs w:val="1"/>
                <w:color w:val="auto"/>
              </w:rPr>
              <w:t>Adjusted efficiency ratio</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Three Months Ended</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60"/>
        </w:trPr>
        <w:tc>
          <w:tcPr>
            <w:tcW w:w="6980" w:type="dxa"/>
            <w:vAlign w:val="bottom"/>
            <w:tcBorders>
              <w:bottom w:val="single" w:sz="8" w:color="CCEEFF"/>
            </w:tcBorders>
          </w:tcPr>
          <w:p>
            <w:pPr>
              <w:spacing w:after="0"/>
              <w:rPr>
                <w:sz w:val="20"/>
                <w:szCs w:val="20"/>
                <w:color w:val="auto"/>
              </w:rPr>
            </w:pPr>
            <w:r>
              <w:rPr>
                <w:rFonts w:ascii="Arial" w:cs="Arial" w:eastAsia="Arial" w:hAnsi="Arial"/>
                <w:sz w:val="12"/>
                <w:szCs w:val="12"/>
                <w:i w:val="1"/>
                <w:iCs w:val="1"/>
                <w:color w:val="auto"/>
              </w:rPr>
              <w:t>($ in thousands)</w:t>
            </w: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9/30/2026</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6/30/2026</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9/30/2025</w:t>
            </w:r>
          </w:p>
        </w:tc>
      </w:tr>
      <w:tr>
        <w:trPr>
          <w:trHeight w:val="142"/>
        </w:trPr>
        <w:tc>
          <w:tcPr>
            <w:tcW w:w="6980" w:type="dxa"/>
            <w:vAlign w:val="bottom"/>
            <w:shd w:val="clear" w:color="auto" w:fill="CCEEFF"/>
          </w:tcPr>
          <w:p>
            <w:pPr>
              <w:spacing w:after="0"/>
              <w:rPr>
                <w:sz w:val="20"/>
                <w:szCs w:val="20"/>
                <w:color w:val="auto"/>
              </w:rPr>
            </w:pPr>
            <w:r>
              <w:rPr>
                <w:rFonts w:ascii="Arial" w:cs="Arial" w:eastAsia="Arial" w:hAnsi="Arial"/>
                <w:sz w:val="12"/>
                <w:szCs w:val="12"/>
                <w:color w:val="auto"/>
              </w:rPr>
              <w:t>Non-interest expense (GAAP)</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42,744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28,306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17,449</w:t>
            </w:r>
          </w:p>
        </w:tc>
      </w:tr>
      <w:tr>
        <w:trPr>
          <w:trHeight w:val="153"/>
        </w:trPr>
        <w:tc>
          <w:tcPr>
            <w:tcW w:w="69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Less: credit enhancement program expenses</w:t>
            </w: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24,333</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12,730</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1,968</w:t>
            </w:r>
          </w:p>
        </w:tc>
      </w:tr>
      <w:tr>
        <w:trPr>
          <w:trHeight w:val="142"/>
        </w:trPr>
        <w:tc>
          <w:tcPr>
            <w:tcW w:w="6980" w:type="dxa"/>
            <w:vAlign w:val="bottom"/>
            <w:shd w:val="clear" w:color="auto" w:fill="CCEEFF"/>
          </w:tcPr>
          <w:p>
            <w:pPr>
              <w:spacing w:after="0"/>
              <w:rPr>
                <w:sz w:val="20"/>
                <w:szCs w:val="20"/>
                <w:color w:val="auto"/>
              </w:rPr>
            </w:pPr>
            <w:r>
              <w:rPr>
                <w:rFonts w:ascii="Arial" w:cs="Arial" w:eastAsia="Arial" w:hAnsi="Arial"/>
                <w:sz w:val="12"/>
                <w:szCs w:val="12"/>
                <w:color w:val="auto"/>
              </w:rPr>
              <w:t>Adjusted non-interest expense</w:t>
            </w: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18,411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15,576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15,481</w:t>
            </w:r>
          </w:p>
        </w:tc>
      </w:tr>
      <w:tr>
        <w:trPr>
          <w:trHeight w:val="171"/>
        </w:trPr>
        <w:tc>
          <w:tcPr>
            <w:tcW w:w="6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3"/>
        </w:trPr>
        <w:tc>
          <w:tcPr>
            <w:tcW w:w="6980" w:type="dxa"/>
            <w:vAlign w:val="bottom"/>
            <w:shd w:val="clear" w:color="auto" w:fill="CCEEFF"/>
          </w:tcPr>
          <w:p>
            <w:pPr>
              <w:spacing w:after="0"/>
              <w:rPr>
                <w:sz w:val="20"/>
                <w:szCs w:val="20"/>
                <w:color w:val="auto"/>
              </w:rPr>
            </w:pPr>
            <w:r>
              <w:rPr>
                <w:rFonts w:ascii="Arial" w:cs="Arial" w:eastAsia="Arial" w:hAnsi="Arial"/>
                <w:sz w:val="12"/>
                <w:szCs w:val="12"/>
                <w:color w:val="auto"/>
              </w:rPr>
              <w:t>Net interest income (GAAP)</w:t>
            </w: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41,918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28,401</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18,607</w:t>
            </w:r>
          </w:p>
        </w:tc>
      </w:tr>
      <w:tr>
        <w:trPr>
          <w:trHeight w:val="153"/>
        </w:trPr>
        <w:tc>
          <w:tcPr>
            <w:tcW w:w="69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Less: credit enhancement program expenses</w:t>
            </w: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24,333</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12,730</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1,968</w:t>
            </w:r>
          </w:p>
        </w:tc>
      </w:tr>
      <w:tr>
        <w:trPr>
          <w:trHeight w:val="142"/>
        </w:trPr>
        <w:tc>
          <w:tcPr>
            <w:tcW w:w="6980" w:type="dxa"/>
            <w:vAlign w:val="bottom"/>
            <w:shd w:val="clear" w:color="auto" w:fill="CCEEFF"/>
          </w:tcPr>
          <w:p>
            <w:pPr>
              <w:spacing w:after="0"/>
              <w:rPr>
                <w:sz w:val="20"/>
                <w:szCs w:val="20"/>
                <w:color w:val="auto"/>
              </w:rPr>
            </w:pPr>
            <w:r>
              <w:rPr>
                <w:rFonts w:ascii="Arial" w:cs="Arial" w:eastAsia="Arial" w:hAnsi="Arial"/>
                <w:sz w:val="12"/>
                <w:szCs w:val="12"/>
                <w:color w:val="auto"/>
              </w:rPr>
              <w:t>Adjusted net interest income</w:t>
            </w: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17,585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15,671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16,639</w:t>
            </w:r>
          </w:p>
        </w:tc>
      </w:tr>
      <w:tr>
        <w:trPr>
          <w:trHeight w:val="171"/>
        </w:trPr>
        <w:tc>
          <w:tcPr>
            <w:tcW w:w="6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3"/>
        </w:trPr>
        <w:tc>
          <w:tcPr>
            <w:tcW w:w="6980" w:type="dxa"/>
            <w:vAlign w:val="bottom"/>
            <w:shd w:val="clear" w:color="auto" w:fill="CCEEFF"/>
          </w:tcPr>
          <w:p>
            <w:pPr>
              <w:spacing w:after="0"/>
              <w:rPr>
                <w:sz w:val="20"/>
                <w:szCs w:val="20"/>
                <w:color w:val="auto"/>
              </w:rPr>
            </w:pPr>
            <w:r>
              <w:rPr>
                <w:rFonts w:ascii="Arial" w:cs="Arial" w:eastAsia="Arial" w:hAnsi="Arial"/>
                <w:sz w:val="12"/>
                <w:szCs w:val="12"/>
                <w:color w:val="auto"/>
              </w:rPr>
              <w:t>Total non-interest income (GAAP)</w:t>
            </w: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60,825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23,122</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18,052</w:t>
            </w:r>
          </w:p>
        </w:tc>
      </w:tr>
      <w:tr>
        <w:trPr>
          <w:trHeight w:val="153"/>
        </w:trPr>
        <w:tc>
          <w:tcPr>
            <w:tcW w:w="69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Less: credit enhancement income</w:t>
            </w: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45,392</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14,944</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8,762</w:t>
            </w:r>
          </w:p>
        </w:tc>
      </w:tr>
      <w:tr>
        <w:trPr>
          <w:trHeight w:val="142"/>
        </w:trPr>
        <w:tc>
          <w:tcPr>
            <w:tcW w:w="6980" w:type="dxa"/>
            <w:vAlign w:val="bottom"/>
            <w:shd w:val="clear" w:color="auto" w:fill="CCEEFF"/>
          </w:tcPr>
          <w:p>
            <w:pPr>
              <w:spacing w:after="0"/>
              <w:rPr>
                <w:sz w:val="20"/>
                <w:szCs w:val="20"/>
                <w:color w:val="auto"/>
              </w:rPr>
            </w:pPr>
            <w:r>
              <w:rPr>
                <w:rFonts w:ascii="Arial" w:cs="Arial" w:eastAsia="Arial" w:hAnsi="Arial"/>
                <w:sz w:val="12"/>
                <w:szCs w:val="12"/>
                <w:color w:val="auto"/>
              </w:rPr>
              <w:t>Adjusted non-interest income</w:t>
            </w:r>
          </w:p>
        </w:tc>
        <w:tc>
          <w:tcPr>
            <w:tcW w:w="240" w:type="dxa"/>
            <w:vAlign w:val="bottom"/>
            <w:tcBorders>
              <w:bottom w:val="single" w:sz="8" w:color="242424"/>
            </w:tcBorders>
            <w:shd w:val="clear" w:color="auto" w:fill="CCEEFF"/>
          </w:tcPr>
          <w:p>
            <w:pPr>
              <w:spacing w:after="0"/>
              <w:rPr>
                <w:sz w:val="12"/>
                <w:szCs w:val="12"/>
                <w:color w:val="auto"/>
              </w:rPr>
            </w:pPr>
          </w:p>
        </w:tc>
        <w:tc>
          <w:tcPr>
            <w:tcW w:w="1140" w:type="dxa"/>
            <w:vAlign w:val="bottom"/>
            <w:tcBorders>
              <w:bottom w:val="single" w:sz="8" w:color="242424"/>
            </w:tcBorders>
            <w:shd w:val="clear" w:color="auto" w:fill="CCEEFF"/>
          </w:tcPr>
          <w:p>
            <w:pPr>
              <w:jc w:val="right"/>
              <w:ind w:right="100"/>
              <w:spacing w:after="0"/>
              <w:rPr>
                <w:sz w:val="20"/>
                <w:szCs w:val="20"/>
                <w:color w:val="auto"/>
              </w:rPr>
            </w:pPr>
            <w:r>
              <w:rPr>
                <w:rFonts w:ascii="Arial" w:cs="Arial" w:eastAsia="Arial" w:hAnsi="Arial"/>
                <w:sz w:val="12"/>
                <w:szCs w:val="12"/>
                <w:color w:val="auto"/>
              </w:rPr>
              <w:t>15,433</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242424"/>
            </w:tcBorders>
            <w:shd w:val="clear" w:color="auto" w:fill="CCEEFF"/>
          </w:tcPr>
          <w:p>
            <w:pPr>
              <w:spacing w:after="0"/>
              <w:rPr>
                <w:sz w:val="12"/>
                <w:szCs w:val="12"/>
                <w:color w:val="auto"/>
              </w:rPr>
            </w:pPr>
          </w:p>
        </w:tc>
        <w:tc>
          <w:tcPr>
            <w:tcW w:w="1300" w:type="dxa"/>
            <w:vAlign w:val="bottom"/>
            <w:tcBorders>
              <w:bottom w:val="single" w:sz="8" w:color="242424"/>
            </w:tcBorders>
            <w:shd w:val="clear" w:color="auto" w:fill="CCEEFF"/>
          </w:tcPr>
          <w:p>
            <w:pPr>
              <w:jc w:val="right"/>
              <w:ind w:right="100"/>
              <w:spacing w:after="0"/>
              <w:rPr>
                <w:sz w:val="20"/>
                <w:szCs w:val="20"/>
                <w:color w:val="auto"/>
              </w:rPr>
            </w:pPr>
            <w:r>
              <w:rPr>
                <w:rFonts w:ascii="Arial" w:cs="Arial" w:eastAsia="Arial" w:hAnsi="Arial"/>
                <w:sz w:val="12"/>
                <w:szCs w:val="12"/>
                <w:color w:val="auto"/>
              </w:rPr>
              <w:t>8,178</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242424"/>
            </w:tcBorders>
            <w:shd w:val="clear" w:color="auto" w:fill="CCEEFF"/>
          </w:tcPr>
          <w:p>
            <w:pPr>
              <w:spacing w:after="0"/>
              <w:rPr>
                <w:sz w:val="12"/>
                <w:szCs w:val="12"/>
                <w:color w:val="auto"/>
              </w:rPr>
            </w:pPr>
          </w:p>
        </w:tc>
        <w:tc>
          <w:tcPr>
            <w:tcW w:w="1140" w:type="dxa"/>
            <w:vAlign w:val="bottom"/>
            <w:tcBorders>
              <w:bottom w:val="single" w:sz="8" w:color="242424"/>
            </w:tcBorders>
            <w:shd w:val="clear" w:color="auto" w:fill="CCEEFF"/>
          </w:tcPr>
          <w:p>
            <w:pPr>
              <w:jc w:val="right"/>
              <w:ind w:right="100"/>
              <w:spacing w:after="0"/>
              <w:rPr>
                <w:sz w:val="20"/>
                <w:szCs w:val="20"/>
                <w:color w:val="auto"/>
              </w:rPr>
            </w:pPr>
            <w:r>
              <w:rPr>
                <w:rFonts w:ascii="Arial" w:cs="Arial" w:eastAsia="Arial" w:hAnsi="Arial"/>
                <w:sz w:val="12"/>
                <w:szCs w:val="12"/>
                <w:color w:val="auto"/>
              </w:rPr>
              <w:t>9,290</w:t>
            </w:r>
          </w:p>
        </w:tc>
      </w:tr>
      <w:tr>
        <w:trPr>
          <w:trHeight w:val="158"/>
        </w:trPr>
        <w:tc>
          <w:tcPr>
            <w:tcW w:w="698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Adjusted operating revenue</w:t>
            </w:r>
          </w:p>
        </w:tc>
        <w:tc>
          <w:tcPr>
            <w:tcW w:w="240" w:type="dxa"/>
            <w:vAlign w:val="bottom"/>
            <w:tcBorders>
              <w:bottom w:val="single" w:sz="8" w:color="242424"/>
            </w:tcBorders>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242424"/>
            </w:tcBorders>
          </w:tcPr>
          <w:p>
            <w:pPr>
              <w:jc w:val="right"/>
              <w:ind w:right="100"/>
              <w:spacing w:after="0"/>
              <w:rPr>
                <w:sz w:val="20"/>
                <w:szCs w:val="20"/>
                <w:color w:val="auto"/>
              </w:rPr>
            </w:pPr>
            <w:r>
              <w:rPr>
                <w:rFonts w:ascii="Arial" w:cs="Arial" w:eastAsia="Arial" w:hAnsi="Arial"/>
                <w:sz w:val="12"/>
                <w:szCs w:val="12"/>
                <w:color w:val="auto"/>
              </w:rPr>
              <w:t>33,018</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242424"/>
            </w:tcBorders>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242424"/>
            </w:tcBorders>
          </w:tcPr>
          <w:p>
            <w:pPr>
              <w:jc w:val="right"/>
              <w:ind w:right="100"/>
              <w:spacing w:after="0"/>
              <w:rPr>
                <w:sz w:val="20"/>
                <w:szCs w:val="20"/>
                <w:color w:val="auto"/>
              </w:rPr>
            </w:pPr>
            <w:r>
              <w:rPr>
                <w:rFonts w:ascii="Arial" w:cs="Arial" w:eastAsia="Arial" w:hAnsi="Arial"/>
                <w:sz w:val="12"/>
                <w:szCs w:val="12"/>
                <w:color w:val="auto"/>
              </w:rPr>
              <w:t>23,849</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242424"/>
            </w:tcBorders>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242424"/>
            </w:tcBorders>
          </w:tcPr>
          <w:p>
            <w:pPr>
              <w:jc w:val="right"/>
              <w:ind w:right="100"/>
              <w:spacing w:after="0"/>
              <w:rPr>
                <w:sz w:val="20"/>
                <w:szCs w:val="20"/>
                <w:color w:val="auto"/>
              </w:rPr>
            </w:pPr>
            <w:r>
              <w:rPr>
                <w:rFonts w:ascii="Arial" w:cs="Arial" w:eastAsia="Arial" w:hAnsi="Arial"/>
                <w:sz w:val="12"/>
                <w:szCs w:val="12"/>
                <w:color w:val="auto"/>
              </w:rPr>
              <w:t>25,929</w:t>
            </w:r>
          </w:p>
        </w:tc>
      </w:tr>
      <w:tr>
        <w:trPr>
          <w:trHeight w:val="153"/>
        </w:trPr>
        <w:tc>
          <w:tcPr>
            <w:tcW w:w="6980" w:type="dxa"/>
            <w:vAlign w:val="bottom"/>
            <w:shd w:val="clear" w:color="auto" w:fill="CCEEFF"/>
          </w:tcPr>
          <w:p>
            <w:pPr>
              <w:spacing w:after="0"/>
              <w:rPr>
                <w:sz w:val="20"/>
                <w:szCs w:val="20"/>
                <w:color w:val="auto"/>
              </w:rPr>
            </w:pPr>
            <w:r>
              <w:rPr>
                <w:rFonts w:ascii="Arial" w:cs="Arial" w:eastAsia="Arial" w:hAnsi="Arial"/>
                <w:sz w:val="12"/>
                <w:szCs w:val="12"/>
                <w:color w:val="auto"/>
              </w:rPr>
              <w:t>Adjusted efficiency ratio from continuing operations</w:t>
            </w: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55.8 %</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65.3 %</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59.7 %</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reconciles the total provision for credit losses from continuing operations on a GAAP basis to a non-GAAP measure that excludes amounts attributable to credit-enhanced</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Strategic Program loans: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160" w:type="dxa"/>
            <w:vAlign w:val="bottom"/>
            <w:vMerge w:val="restart"/>
          </w:tcPr>
          <w:p>
            <w:pPr>
              <w:spacing w:after="0"/>
              <w:rPr>
                <w:sz w:val="20"/>
                <w:szCs w:val="20"/>
                <w:color w:val="auto"/>
              </w:rPr>
            </w:pPr>
            <w:r>
              <w:rPr>
                <w:rFonts w:ascii="Arial" w:cs="Arial" w:eastAsia="Arial" w:hAnsi="Arial"/>
                <w:sz w:val="12"/>
                <w:szCs w:val="12"/>
                <w:i w:val="1"/>
                <w:iCs w:val="1"/>
                <w:color w:val="auto"/>
              </w:rPr>
              <w:t>($ in thousands)</w:t>
            </w: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2"/>
                <w:szCs w:val="12"/>
                <w:b w:val="1"/>
                <w:bCs w:val="1"/>
                <w:color w:val="auto"/>
              </w:rPr>
              <w:t>Three Months Ended</w:t>
            </w: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160" w:type="dxa"/>
            <w:vAlign w:val="bottom"/>
            <w:tcBorders>
              <w:bottom w:val="single" w:sz="8" w:color="CCEEFF"/>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9/30/2026</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80"/>
              <w:spacing w:after="0"/>
              <w:rPr>
                <w:sz w:val="20"/>
                <w:szCs w:val="20"/>
                <w:color w:val="auto"/>
              </w:rPr>
            </w:pPr>
            <w:r>
              <w:rPr>
                <w:rFonts w:ascii="Arial" w:cs="Arial" w:eastAsia="Arial" w:hAnsi="Arial"/>
                <w:sz w:val="12"/>
                <w:szCs w:val="12"/>
                <w:b w:val="1"/>
                <w:bCs w:val="1"/>
                <w:color w:val="auto"/>
                <w:w w:val="97"/>
              </w:rPr>
              <w:t>6/30/2026</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9/30/2025</w:t>
            </w:r>
          </w:p>
        </w:tc>
        <w:tc>
          <w:tcPr>
            <w:tcW w:w="0" w:type="dxa"/>
            <w:vAlign w:val="bottom"/>
          </w:tcPr>
          <w:p>
            <w:pPr>
              <w:spacing w:after="0"/>
              <w:rPr>
                <w:sz w:val="1"/>
                <w:szCs w:val="1"/>
                <w:color w:val="auto"/>
              </w:rPr>
            </w:pPr>
          </w:p>
        </w:tc>
      </w:tr>
      <w:tr>
        <w:trPr>
          <w:trHeight w:val="142"/>
        </w:trPr>
        <w:tc>
          <w:tcPr>
            <w:tcW w:w="7160" w:type="dxa"/>
            <w:vAlign w:val="bottom"/>
            <w:shd w:val="clear" w:color="auto" w:fill="CCEEFF"/>
          </w:tcPr>
          <w:p>
            <w:pPr>
              <w:spacing w:after="0"/>
              <w:rPr>
                <w:sz w:val="20"/>
                <w:szCs w:val="20"/>
                <w:color w:val="auto"/>
              </w:rPr>
            </w:pPr>
            <w:r>
              <w:rPr>
                <w:rFonts w:ascii="Arial" w:cs="Arial" w:eastAsia="Arial" w:hAnsi="Arial"/>
                <w:sz w:val="12"/>
                <w:szCs w:val="12"/>
                <w:color w:val="auto"/>
              </w:rPr>
              <w:t>Total provision for credit losses from continuing operations (GAAP):</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46,747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20,943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12,799</w:t>
            </w:r>
          </w:p>
        </w:tc>
        <w:tc>
          <w:tcPr>
            <w:tcW w:w="0" w:type="dxa"/>
            <w:vAlign w:val="bottom"/>
          </w:tcPr>
          <w:p>
            <w:pPr>
              <w:spacing w:after="0"/>
              <w:rPr>
                <w:sz w:val="1"/>
                <w:szCs w:val="1"/>
                <w:color w:val="auto"/>
              </w:rPr>
            </w:pPr>
          </w:p>
        </w:tc>
      </w:tr>
      <w:tr>
        <w:trPr>
          <w:trHeight w:val="153"/>
        </w:trPr>
        <w:tc>
          <w:tcPr>
            <w:tcW w:w="716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Less: Strategic Program loans - with credit enhancement</w:t>
            </w: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45,392</w:t>
            </w: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14,944</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8,850</w:t>
            </w:r>
          </w:p>
        </w:tc>
        <w:tc>
          <w:tcPr>
            <w:tcW w:w="0" w:type="dxa"/>
            <w:vAlign w:val="bottom"/>
          </w:tcPr>
          <w:p>
            <w:pPr>
              <w:spacing w:after="0"/>
              <w:rPr>
                <w:sz w:val="1"/>
                <w:szCs w:val="1"/>
                <w:color w:val="auto"/>
              </w:rPr>
            </w:pPr>
          </w:p>
        </w:tc>
      </w:tr>
      <w:tr>
        <w:trPr>
          <w:trHeight w:val="162"/>
        </w:trPr>
        <w:tc>
          <w:tcPr>
            <w:tcW w:w="7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Provision for credit losses, net of Strategic Program loans - with credit enhancement</w:t>
            </w: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1,355</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5,999</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3,949</w:t>
            </w:r>
          </w:p>
        </w:tc>
        <w:tc>
          <w:tcPr>
            <w:tcW w:w="0" w:type="dxa"/>
            <w:vAlign w:val="bottom"/>
          </w:tcPr>
          <w:p>
            <w:pPr>
              <w:spacing w:after="0"/>
              <w:rPr>
                <w:sz w:val="1"/>
                <w:szCs w:val="1"/>
                <w:color w:val="auto"/>
              </w:rPr>
            </w:pPr>
          </w:p>
        </w:tc>
      </w:tr>
      <w:tr>
        <w:trPr>
          <w:trHeight w:val="354"/>
        </w:trPr>
        <w:tc>
          <w:tcPr>
            <w:tcW w:w="7160" w:type="dxa"/>
            <w:vAlign w:val="bottom"/>
          </w:tcPr>
          <w:p>
            <w:pPr>
              <w:spacing w:after="0"/>
              <w:rPr>
                <w:sz w:val="20"/>
                <w:szCs w:val="20"/>
                <w:color w:val="auto"/>
              </w:rPr>
            </w:pPr>
            <w:r>
              <w:rPr>
                <w:rFonts w:ascii="Arial" w:cs="Arial" w:eastAsia="Arial" w:hAnsi="Arial"/>
                <w:sz w:val="11"/>
                <w:szCs w:val="11"/>
                <w:color w:val="auto"/>
              </w:rPr>
              <w:t>Net income from continuing operations before provision for non-credit enhanced</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7160" w:type="dxa"/>
            <w:vAlign w:val="bottom"/>
            <w:vMerge w:val="restart"/>
          </w:tcPr>
          <w:p>
            <w:pPr>
              <w:spacing w:after="0"/>
              <w:rPr>
                <w:sz w:val="20"/>
                <w:szCs w:val="20"/>
                <w:color w:val="auto"/>
              </w:rPr>
            </w:pPr>
            <w:r>
              <w:rPr>
                <w:rFonts w:ascii="Arial" w:cs="Arial" w:eastAsia="Arial" w:hAnsi="Arial"/>
                <w:sz w:val="12"/>
                <w:szCs w:val="12"/>
                <w:i w:val="1"/>
                <w:iCs w:val="1"/>
                <w:color w:val="auto"/>
              </w:rPr>
              <w:t>($ in thousands)</w:t>
            </w: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2"/>
                <w:szCs w:val="12"/>
                <w:b w:val="1"/>
                <w:bCs w:val="1"/>
                <w:color w:val="auto"/>
              </w:rPr>
              <w:t>Three Months Ended</w:t>
            </w: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60" w:type="dxa"/>
            <w:vAlign w:val="bottom"/>
            <w:tcBorders>
              <w:bottom w:val="single" w:sz="8" w:color="CCEEFF"/>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9/30/2026</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80"/>
              <w:spacing w:after="0"/>
              <w:rPr>
                <w:sz w:val="20"/>
                <w:szCs w:val="20"/>
                <w:color w:val="auto"/>
              </w:rPr>
            </w:pPr>
            <w:r>
              <w:rPr>
                <w:rFonts w:ascii="Arial" w:cs="Arial" w:eastAsia="Arial" w:hAnsi="Arial"/>
                <w:sz w:val="12"/>
                <w:szCs w:val="12"/>
                <w:b w:val="1"/>
                <w:bCs w:val="1"/>
                <w:color w:val="auto"/>
                <w:w w:val="97"/>
              </w:rPr>
              <w:t>6/30/2026</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9/30/2025</w:t>
            </w:r>
          </w:p>
        </w:tc>
        <w:tc>
          <w:tcPr>
            <w:tcW w:w="0" w:type="dxa"/>
            <w:vAlign w:val="bottom"/>
          </w:tcPr>
          <w:p>
            <w:pPr>
              <w:spacing w:after="0"/>
              <w:rPr>
                <w:sz w:val="1"/>
                <w:szCs w:val="1"/>
                <w:color w:val="auto"/>
              </w:rPr>
            </w:pPr>
          </w:p>
        </w:tc>
      </w:tr>
      <w:tr>
        <w:trPr>
          <w:trHeight w:val="142"/>
        </w:trPr>
        <w:tc>
          <w:tcPr>
            <w:tcW w:w="7160" w:type="dxa"/>
            <w:vAlign w:val="bottom"/>
            <w:shd w:val="clear" w:color="auto" w:fill="CCEEFF"/>
          </w:tcPr>
          <w:p>
            <w:pPr>
              <w:spacing w:after="0"/>
              <w:rPr>
                <w:sz w:val="20"/>
                <w:szCs w:val="20"/>
                <w:color w:val="auto"/>
              </w:rPr>
            </w:pPr>
            <w:r>
              <w:rPr>
                <w:rFonts w:ascii="Arial" w:cs="Arial" w:eastAsia="Arial" w:hAnsi="Arial"/>
                <w:sz w:val="12"/>
                <w:szCs w:val="12"/>
                <w:color w:val="auto"/>
              </w:rPr>
              <w:t>Income from continuing operations before income taxes (GAAP)</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13,252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6,411</w:t>
            </w:r>
          </w:p>
        </w:tc>
        <w:tc>
          <w:tcPr>
            <w:tcW w:w="0" w:type="dxa"/>
            <w:vAlign w:val="bottom"/>
          </w:tcPr>
          <w:p>
            <w:pPr>
              <w:spacing w:after="0"/>
              <w:rPr>
                <w:sz w:val="1"/>
                <w:szCs w:val="1"/>
                <w:color w:val="auto"/>
              </w:rPr>
            </w:pPr>
          </w:p>
        </w:tc>
      </w:tr>
      <w:tr>
        <w:trPr>
          <w:trHeight w:val="180"/>
        </w:trPr>
        <w:tc>
          <w:tcPr>
            <w:tcW w:w="71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Provision for credit losses, net of Strategic Program loans - with credit enhancement (see non-GAAP table above)</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1,355</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5,999</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3,949</w:t>
            </w:r>
          </w:p>
        </w:tc>
        <w:tc>
          <w:tcPr>
            <w:tcW w:w="0" w:type="dxa"/>
            <w:vAlign w:val="bottom"/>
          </w:tcPr>
          <w:p>
            <w:pPr>
              <w:spacing w:after="0"/>
              <w:rPr>
                <w:sz w:val="1"/>
                <w:szCs w:val="1"/>
                <w:color w:val="auto"/>
              </w:rPr>
            </w:pPr>
          </w:p>
        </w:tc>
      </w:tr>
      <w:tr>
        <w:trPr>
          <w:trHeight w:val="158"/>
        </w:trPr>
        <w:tc>
          <w:tcPr>
            <w:tcW w:w="7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Income from continuing operations before income taxes and provision for non-credit enhanced</w:t>
            </w: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14,607</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8,273</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10,360</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280"/>
          </w:cols>
          <w:pgMar w:left="300" w:top="557" w:right="319" w:bottom="1440" w:gutter="0" w:footer="0" w:header="0"/>
        </w:sectPr>
      </w:pPr>
    </w:p>
    <w:bookmarkStart w:id="18" w:name="page19"/>
    <w:bookmarkEnd w:id="18"/>
    <w:p>
      <w:pPr>
        <w:ind w:left="8"/>
        <w:spacing w:after="0" w:line="285" w:lineRule="auto"/>
        <w:rPr>
          <w:sz w:val="20"/>
          <w:szCs w:val="20"/>
          <w:color w:val="auto"/>
        </w:rPr>
      </w:pPr>
      <w:r>
        <w:rPr>
          <w:rFonts w:ascii="Arial" w:cs="Arial" w:eastAsia="Arial" w:hAnsi="Arial"/>
          <w:sz w:val="13"/>
          <w:szCs w:val="13"/>
          <w:color w:val="auto"/>
        </w:rPr>
        <w:t>FinWise has entered into agreements with certain of its Strategic Program service providers pursuant to which they provide credit enhancement on loans which protects the Bank by indemnifying or reimbursing the Bank for incurred credit and fraud losses. We estimate and record a provision for expected losses for these Strategic Program loans in accordance with GAAP, which requires estimation of the provision without consideration of the credit enhancement. When the provision for expected losses over the life of the loans that are subject to such credit enhancement is recorded, a credit enhancement asset reflecting the future recovery of those estimated credit losses pursuant to the strategic partner’s guarantee to assume the Bank’s credit losses on each of the loans in the respective guaranteed portfolio is also recorded on the balance sheet in the form of non-interest income (credit enhancement income). Reimbursement or indemnification for incurred losses is provided for in the form of a deposit reserve account that is replenished periodically by the respective Strategic Program service provider. The credit enhancement asset is reduced as credit enhancement payments and recoveries are received from the Strategic Program service provider or taken from its cash reserve account. If the Strategic Program service provider is unable to fulfill its contracted obligations under its credit enhancement agreement, then the Bank could be exposed to the loss of the reimbursement and credit enhancement income as a result of this counterparty risk. In the event the Strategic Program service provider is not able to perform according to the contractual terms, the Bank is entitled to receive all the income on the loans. The Bank incurs expenses for the amounts owed to the strategic partner for the credit guarantee and for servicing of the credit enhanced portfolio, if applicable (credit enhancement program expenses). See the following reconciliations of GAAP to non-GAAP measures for the impact of the credit enhancement on our financial condition and results. Note that these amounts are supplemental and are not a substitute for an analysis based on GAAP measures.</w:t>
      </w:r>
    </w:p>
    <w:p>
      <w:pPr>
        <w:spacing w:after="0" w:line="138" w:lineRule="exact"/>
        <w:rPr>
          <w:sz w:val="20"/>
          <w:szCs w:val="20"/>
          <w:color w:val="auto"/>
        </w:rPr>
      </w:pPr>
    </w:p>
    <w:p>
      <w:pPr>
        <w:ind w:left="8" w:right="280"/>
        <w:spacing w:after="0" w:line="327" w:lineRule="auto"/>
        <w:rPr>
          <w:sz w:val="20"/>
          <w:szCs w:val="20"/>
          <w:color w:val="auto"/>
        </w:rPr>
      </w:pPr>
      <w:r>
        <w:rPr>
          <w:rFonts w:ascii="Arial" w:cs="Arial" w:eastAsia="Arial" w:hAnsi="Arial"/>
          <w:sz w:val="13"/>
          <w:szCs w:val="13"/>
          <w:color w:val="auto"/>
        </w:rPr>
        <w:t>The following non-GAAP measures are presented to illustrate the impact of certain credit enhancement program expenses on total interest income on loans held-for-investment and average yield on loans held-for-investment:</w:t>
      </w:r>
    </w:p>
    <w:p>
      <w:pPr>
        <w:spacing w:after="0" w:line="125"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00" w:type="dxa"/>
            <w:vAlign w:val="bottom"/>
            <w:gridSpan w:val="7"/>
          </w:tcPr>
          <w:p>
            <w:pPr>
              <w:ind w:left="180"/>
              <w:spacing w:after="0"/>
              <w:rPr>
                <w:sz w:val="20"/>
                <w:szCs w:val="20"/>
                <w:color w:val="auto"/>
              </w:rPr>
            </w:pPr>
            <w:r>
              <w:rPr>
                <w:rFonts w:ascii="Arial" w:cs="Arial" w:eastAsia="Arial" w:hAnsi="Arial"/>
                <w:sz w:val="12"/>
                <w:szCs w:val="12"/>
                <w:b w:val="1"/>
                <w:bCs w:val="1"/>
                <w:color w:val="auto"/>
              </w:rPr>
              <w:t>As of and for the Three Months Ended</w:t>
            </w:r>
          </w:p>
        </w:tc>
        <w:tc>
          <w:tcPr>
            <w:tcW w:w="100" w:type="dxa"/>
            <w:vAlign w:val="bottom"/>
          </w:tcPr>
          <w:p>
            <w:pPr>
              <w:spacing w:after="0"/>
              <w:rPr>
                <w:sz w:val="13"/>
                <w:szCs w:val="13"/>
                <w:color w:val="auto"/>
              </w:rPr>
            </w:pPr>
          </w:p>
        </w:tc>
        <w:tc>
          <w:tcPr>
            <w:tcW w:w="2720" w:type="dxa"/>
            <w:vAlign w:val="bottom"/>
            <w:gridSpan w:val="7"/>
          </w:tcPr>
          <w:p>
            <w:pPr>
              <w:ind w:left="200"/>
              <w:spacing w:after="0"/>
              <w:rPr>
                <w:sz w:val="20"/>
                <w:szCs w:val="20"/>
                <w:color w:val="auto"/>
              </w:rPr>
            </w:pPr>
            <w:r>
              <w:rPr>
                <w:rFonts w:ascii="Arial" w:cs="Arial" w:eastAsia="Arial" w:hAnsi="Arial"/>
                <w:sz w:val="12"/>
                <w:szCs w:val="12"/>
                <w:b w:val="1"/>
                <w:bCs w:val="1"/>
                <w:color w:val="auto"/>
              </w:rPr>
              <w:t>As of and for the Three Months Ended</w:t>
            </w:r>
          </w:p>
        </w:tc>
        <w:tc>
          <w:tcPr>
            <w:tcW w:w="100" w:type="dxa"/>
            <w:vAlign w:val="bottom"/>
          </w:tcPr>
          <w:p>
            <w:pPr>
              <w:spacing w:after="0"/>
              <w:rPr>
                <w:sz w:val="13"/>
                <w:szCs w:val="13"/>
                <w:color w:val="auto"/>
              </w:rPr>
            </w:pPr>
          </w:p>
        </w:tc>
        <w:tc>
          <w:tcPr>
            <w:tcW w:w="2660" w:type="dxa"/>
            <w:vAlign w:val="bottom"/>
            <w:gridSpan w:val="6"/>
          </w:tcPr>
          <w:p>
            <w:pPr>
              <w:jc w:val="right"/>
              <w:ind w:right="240"/>
              <w:spacing w:after="0"/>
              <w:rPr>
                <w:sz w:val="20"/>
                <w:szCs w:val="20"/>
                <w:color w:val="auto"/>
              </w:rPr>
            </w:pPr>
            <w:r>
              <w:rPr>
                <w:rFonts w:ascii="Arial" w:cs="Arial" w:eastAsia="Arial" w:hAnsi="Arial"/>
                <w:sz w:val="12"/>
                <w:szCs w:val="12"/>
                <w:b w:val="1"/>
                <w:bCs w:val="1"/>
                <w:color w:val="auto"/>
              </w:rPr>
              <w:t>As of and for the Three Months Ended</w:t>
            </w: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9/30/2026</w:t>
            </w:r>
          </w:p>
        </w:tc>
        <w:tc>
          <w:tcPr>
            <w:tcW w:w="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6/30/2026</w:t>
            </w:r>
          </w:p>
        </w:tc>
        <w:tc>
          <w:tcPr>
            <w:tcW w:w="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9/30/2025</w:t>
            </w:r>
          </w:p>
        </w:tc>
        <w:tc>
          <w:tcPr>
            <w:tcW w:w="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880" w:type="dxa"/>
            <w:vAlign w:val="bottom"/>
          </w:tcPr>
          <w:p>
            <w:pPr>
              <w:spacing w:after="0"/>
              <w:rPr>
                <w:sz w:val="9"/>
                <w:szCs w:val="9"/>
                <w:color w:val="auto"/>
              </w:rPr>
            </w:pPr>
          </w:p>
        </w:tc>
        <w:tc>
          <w:tcPr>
            <w:tcW w:w="900" w:type="dxa"/>
            <w:vAlign w:val="bottom"/>
            <w:gridSpan w:val="3"/>
            <w:vMerge w:val="restart"/>
          </w:tcPr>
          <w:p>
            <w:pPr>
              <w:jc w:val="center"/>
              <w:ind w:right="40"/>
              <w:spacing w:after="0"/>
              <w:rPr>
                <w:sz w:val="20"/>
                <w:szCs w:val="20"/>
                <w:color w:val="auto"/>
              </w:rPr>
            </w:pPr>
            <w:r>
              <w:rPr>
                <w:rFonts w:ascii="Arial" w:cs="Arial" w:eastAsia="Arial" w:hAnsi="Arial"/>
                <w:sz w:val="12"/>
                <w:szCs w:val="12"/>
                <w:b w:val="1"/>
                <w:bCs w:val="1"/>
                <w:color w:val="auto"/>
                <w:w w:val="98"/>
              </w:rPr>
              <w:t>Total Average</w:t>
            </w:r>
          </w:p>
        </w:tc>
        <w:tc>
          <w:tcPr>
            <w:tcW w:w="900" w:type="dxa"/>
            <w:vAlign w:val="bottom"/>
            <w:gridSpan w:val="3"/>
          </w:tcPr>
          <w:p>
            <w:pPr>
              <w:jc w:val="center"/>
              <w:ind w:right="40"/>
              <w:spacing w:after="0" w:line="106" w:lineRule="exact"/>
              <w:rPr>
                <w:sz w:val="20"/>
                <w:szCs w:val="20"/>
                <w:color w:val="auto"/>
              </w:rPr>
            </w:pPr>
            <w:r>
              <w:rPr>
                <w:rFonts w:ascii="Arial" w:cs="Arial" w:eastAsia="Arial" w:hAnsi="Arial"/>
                <w:sz w:val="12"/>
                <w:szCs w:val="12"/>
                <w:b w:val="1"/>
                <w:bCs w:val="1"/>
                <w:color w:val="auto"/>
                <w:w w:val="98"/>
              </w:rPr>
              <w:t>Total Interest</w:t>
            </w:r>
          </w:p>
        </w:tc>
        <w:tc>
          <w:tcPr>
            <w:tcW w:w="10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Average Yield</w:t>
            </w:r>
          </w:p>
        </w:tc>
        <w:tc>
          <w:tcPr>
            <w:tcW w:w="900" w:type="dxa"/>
            <w:vAlign w:val="bottom"/>
            <w:gridSpan w:val="3"/>
            <w:vMerge w:val="restart"/>
          </w:tcPr>
          <w:p>
            <w:pPr>
              <w:jc w:val="center"/>
              <w:ind w:right="40"/>
              <w:spacing w:after="0"/>
              <w:rPr>
                <w:sz w:val="20"/>
                <w:szCs w:val="20"/>
                <w:color w:val="auto"/>
              </w:rPr>
            </w:pPr>
            <w:r>
              <w:rPr>
                <w:rFonts w:ascii="Arial" w:cs="Arial" w:eastAsia="Arial" w:hAnsi="Arial"/>
                <w:sz w:val="12"/>
                <w:szCs w:val="12"/>
                <w:b w:val="1"/>
                <w:bCs w:val="1"/>
                <w:color w:val="auto"/>
                <w:w w:val="98"/>
              </w:rPr>
              <w:t>Total Average</w:t>
            </w:r>
          </w:p>
        </w:tc>
        <w:tc>
          <w:tcPr>
            <w:tcW w:w="900" w:type="dxa"/>
            <w:vAlign w:val="bottom"/>
            <w:gridSpan w:val="3"/>
          </w:tcPr>
          <w:p>
            <w:pPr>
              <w:jc w:val="center"/>
              <w:ind w:right="40"/>
              <w:spacing w:after="0" w:line="106" w:lineRule="exact"/>
              <w:rPr>
                <w:sz w:val="20"/>
                <w:szCs w:val="20"/>
                <w:color w:val="auto"/>
              </w:rPr>
            </w:pPr>
            <w:r>
              <w:rPr>
                <w:rFonts w:ascii="Arial" w:cs="Arial" w:eastAsia="Arial" w:hAnsi="Arial"/>
                <w:sz w:val="12"/>
                <w:szCs w:val="12"/>
                <w:b w:val="1"/>
                <w:bCs w:val="1"/>
                <w:color w:val="auto"/>
                <w:w w:val="98"/>
              </w:rPr>
              <w:t>Total Interest</w:t>
            </w:r>
          </w:p>
        </w:tc>
        <w:tc>
          <w:tcPr>
            <w:tcW w:w="10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Average Yield</w:t>
            </w:r>
          </w:p>
        </w:tc>
        <w:tc>
          <w:tcPr>
            <w:tcW w:w="900" w:type="dxa"/>
            <w:vAlign w:val="bottom"/>
            <w:gridSpan w:val="3"/>
            <w:vMerge w:val="restart"/>
          </w:tcPr>
          <w:p>
            <w:pPr>
              <w:jc w:val="center"/>
              <w:ind w:right="40"/>
              <w:spacing w:after="0"/>
              <w:rPr>
                <w:sz w:val="20"/>
                <w:szCs w:val="20"/>
                <w:color w:val="auto"/>
              </w:rPr>
            </w:pPr>
            <w:r>
              <w:rPr>
                <w:rFonts w:ascii="Arial" w:cs="Arial" w:eastAsia="Arial" w:hAnsi="Arial"/>
                <w:sz w:val="12"/>
                <w:szCs w:val="12"/>
                <w:b w:val="1"/>
                <w:bCs w:val="1"/>
                <w:color w:val="auto"/>
                <w:w w:val="98"/>
              </w:rPr>
              <w:t>Total Average</w:t>
            </w:r>
          </w:p>
        </w:tc>
        <w:tc>
          <w:tcPr>
            <w:tcW w:w="900" w:type="dxa"/>
            <w:vAlign w:val="bottom"/>
            <w:gridSpan w:val="3"/>
          </w:tcPr>
          <w:p>
            <w:pPr>
              <w:jc w:val="center"/>
              <w:ind w:right="40"/>
              <w:spacing w:after="0" w:line="106" w:lineRule="exact"/>
              <w:rPr>
                <w:sz w:val="20"/>
                <w:szCs w:val="20"/>
                <w:color w:val="auto"/>
              </w:rPr>
            </w:pPr>
            <w:r>
              <w:rPr>
                <w:rFonts w:ascii="Arial" w:cs="Arial" w:eastAsia="Arial" w:hAnsi="Arial"/>
                <w:sz w:val="12"/>
                <w:szCs w:val="12"/>
                <w:b w:val="1"/>
                <w:bCs w:val="1"/>
                <w:color w:val="auto"/>
                <w:w w:val="98"/>
              </w:rPr>
              <w:t>Total Interest</w:t>
            </w:r>
          </w:p>
        </w:tc>
        <w:tc>
          <w:tcPr>
            <w:tcW w:w="960" w:type="dxa"/>
            <w:vAlign w:val="bottom"/>
            <w:vMerge w:val="restart"/>
          </w:tcPr>
          <w:p>
            <w:pPr>
              <w:jc w:val="right"/>
              <w:ind w:right="20"/>
              <w:spacing w:after="0"/>
              <w:rPr>
                <w:sz w:val="20"/>
                <w:szCs w:val="20"/>
                <w:color w:val="auto"/>
              </w:rPr>
            </w:pPr>
            <w:r>
              <w:rPr>
                <w:rFonts w:ascii="Arial" w:cs="Arial" w:eastAsia="Arial" w:hAnsi="Arial"/>
                <w:sz w:val="12"/>
                <w:szCs w:val="12"/>
                <w:b w:val="1"/>
                <w:bCs w:val="1"/>
                <w:color w:val="auto"/>
              </w:rPr>
              <w:t>Average Yield</w:t>
            </w:r>
          </w:p>
        </w:tc>
        <w:tc>
          <w:tcPr>
            <w:tcW w:w="0" w:type="dxa"/>
            <w:vAlign w:val="bottom"/>
          </w:tcPr>
          <w:p>
            <w:pPr>
              <w:spacing w:after="0"/>
              <w:rPr>
                <w:sz w:val="1"/>
                <w:szCs w:val="1"/>
                <w:color w:val="auto"/>
              </w:rPr>
            </w:pPr>
          </w:p>
        </w:tc>
      </w:tr>
      <w:tr>
        <w:trPr>
          <w:trHeight w:val="117"/>
        </w:trPr>
        <w:tc>
          <w:tcPr>
            <w:tcW w:w="288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140"/>
              <w:spacing w:after="0" w:line="117" w:lineRule="exact"/>
              <w:rPr>
                <w:sz w:val="20"/>
                <w:szCs w:val="20"/>
                <w:color w:val="auto"/>
              </w:rPr>
            </w:pPr>
            <w:r>
              <w:rPr>
                <w:rFonts w:ascii="Arial" w:cs="Arial" w:eastAsia="Arial" w:hAnsi="Arial"/>
                <w:sz w:val="12"/>
                <w:szCs w:val="12"/>
                <w:b w:val="1"/>
                <w:bCs w:val="1"/>
                <w:color w:val="auto"/>
                <w:w w:val="99"/>
              </w:rPr>
              <w:t>Income on</w:t>
            </w:r>
          </w:p>
        </w:tc>
        <w:tc>
          <w:tcPr>
            <w:tcW w:w="1020" w:type="dxa"/>
            <w:vAlign w:val="bottom"/>
            <w:gridSpan w:val="2"/>
            <w:vMerge w:val="continue"/>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20"/>
              <w:spacing w:after="0" w:line="117" w:lineRule="exact"/>
              <w:rPr>
                <w:sz w:val="20"/>
                <w:szCs w:val="20"/>
                <w:color w:val="auto"/>
              </w:rPr>
            </w:pPr>
            <w:r>
              <w:rPr>
                <w:rFonts w:ascii="Arial" w:cs="Arial" w:eastAsia="Arial" w:hAnsi="Arial"/>
                <w:sz w:val="12"/>
                <w:szCs w:val="12"/>
                <w:b w:val="1"/>
                <w:bCs w:val="1"/>
                <w:color w:val="auto"/>
                <w:w w:val="99"/>
              </w:rPr>
              <w:t>Income on</w:t>
            </w:r>
          </w:p>
        </w:tc>
        <w:tc>
          <w:tcPr>
            <w:tcW w:w="1020" w:type="dxa"/>
            <w:vAlign w:val="bottom"/>
            <w:gridSpan w:val="2"/>
            <w:vMerge w:val="continue"/>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60"/>
              <w:spacing w:after="0" w:line="117" w:lineRule="exact"/>
              <w:rPr>
                <w:sz w:val="20"/>
                <w:szCs w:val="20"/>
                <w:color w:val="auto"/>
              </w:rPr>
            </w:pPr>
            <w:r>
              <w:rPr>
                <w:rFonts w:ascii="Arial" w:cs="Arial" w:eastAsia="Arial" w:hAnsi="Arial"/>
                <w:sz w:val="12"/>
                <w:szCs w:val="12"/>
                <w:b w:val="1"/>
                <w:bCs w:val="1"/>
                <w:color w:val="auto"/>
                <w:w w:val="99"/>
              </w:rPr>
              <w:t>Income on</w:t>
            </w: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880" w:type="dxa"/>
            <w:vAlign w:val="bottom"/>
          </w:tcPr>
          <w:p>
            <w:pPr>
              <w:spacing w:after="0"/>
              <w:rPr>
                <w:sz w:val="20"/>
                <w:szCs w:val="20"/>
                <w:color w:val="auto"/>
              </w:rPr>
            </w:pPr>
            <w:r>
              <w:rPr>
                <w:rFonts w:ascii="Arial" w:cs="Arial" w:eastAsia="Arial" w:hAnsi="Arial"/>
                <w:sz w:val="11"/>
                <w:szCs w:val="11"/>
                <w:i w:val="1"/>
                <w:iCs w:val="1"/>
                <w:color w:val="auto"/>
              </w:rPr>
              <w:t>($ in thousands; unaudited)</w:t>
            </w:r>
          </w:p>
        </w:tc>
        <w:tc>
          <w:tcPr>
            <w:tcW w:w="12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9"/>
              </w:rPr>
              <w:t>Loans HFI</w:t>
            </w:r>
          </w:p>
        </w:tc>
        <w:tc>
          <w:tcPr>
            <w:tcW w:w="12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9"/>
              </w:rPr>
              <w:t>Loans HFI</w:t>
            </w: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on Loans HFI</w:t>
            </w:r>
          </w:p>
        </w:tc>
        <w:tc>
          <w:tcPr>
            <w:tcW w:w="10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9"/>
              </w:rPr>
              <w:t>Loans HFI</w:t>
            </w:r>
          </w:p>
        </w:tc>
        <w:tc>
          <w:tcPr>
            <w:tcW w:w="10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9"/>
              </w:rPr>
              <w:t>Loans HFI</w:t>
            </w: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on Loans HFI</w:t>
            </w:r>
          </w:p>
        </w:tc>
        <w:tc>
          <w:tcPr>
            <w:tcW w:w="10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9"/>
              </w:rPr>
              <w:t>Loans HFI</w:t>
            </w:r>
          </w:p>
        </w:tc>
        <w:tc>
          <w:tcPr>
            <w:tcW w:w="10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9"/>
              </w:rPr>
              <w:t>Loans HFI</w:t>
            </w: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on Loans HFI</w:t>
            </w:r>
          </w:p>
        </w:tc>
        <w:tc>
          <w:tcPr>
            <w:tcW w:w="0" w:type="dxa"/>
            <w:vAlign w:val="bottom"/>
          </w:tcPr>
          <w:p>
            <w:pPr>
              <w:spacing w:after="0"/>
              <w:rPr>
                <w:sz w:val="1"/>
                <w:szCs w:val="1"/>
                <w:color w:val="auto"/>
              </w:rPr>
            </w:pPr>
          </w:p>
        </w:tc>
      </w:tr>
      <w:tr>
        <w:trPr>
          <w:trHeight w:val="142"/>
        </w:trPr>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Before adjustment for credit enhancement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608,198</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41,245</w:t>
            </w:r>
          </w:p>
        </w:tc>
        <w:tc>
          <w:tcPr>
            <w:tcW w:w="4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26.90 %</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582,171</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27,324</w:t>
            </w:r>
          </w:p>
        </w:tc>
        <w:tc>
          <w:tcPr>
            <w:tcW w:w="4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18.83 %</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542,595</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16,313</w:t>
            </w:r>
          </w:p>
        </w:tc>
        <w:tc>
          <w:tcPr>
            <w:tcW w:w="6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11.93 %</w:t>
            </w:r>
          </w:p>
        </w:tc>
        <w:tc>
          <w:tcPr>
            <w:tcW w:w="0" w:type="dxa"/>
            <w:vAlign w:val="bottom"/>
          </w:tcPr>
          <w:p>
            <w:pPr>
              <w:spacing w:after="0"/>
              <w:rPr>
                <w:sz w:val="1"/>
                <w:szCs w:val="1"/>
                <w:color w:val="auto"/>
              </w:rPr>
            </w:pPr>
          </w:p>
        </w:tc>
      </w:tr>
      <w:tr>
        <w:trPr>
          <w:trHeight w:val="153"/>
        </w:trPr>
        <w:tc>
          <w:tcPr>
            <w:tcW w:w="2880" w:type="dxa"/>
            <w:vAlign w:val="bottom"/>
            <w:tcBorders>
              <w:bottom w:val="single" w:sz="8" w:color="CCEEFF"/>
            </w:tcBorders>
          </w:tcPr>
          <w:p>
            <w:pPr>
              <w:spacing w:after="0" w:line="153" w:lineRule="exact"/>
              <w:rPr>
                <w:sz w:val="20"/>
                <w:szCs w:val="20"/>
                <w:color w:val="auto"/>
              </w:rPr>
            </w:pPr>
            <w:r>
              <w:rPr>
                <w:rFonts w:ascii="Arial" w:cs="Arial" w:eastAsia="Arial" w:hAnsi="Arial"/>
                <w:sz w:val="12"/>
                <w:szCs w:val="12"/>
                <w:color w:val="auto"/>
              </w:rPr>
              <w:t>Less: credit enhancement program expenses</w:t>
            </w:r>
            <w:r>
              <w:rPr>
                <w:rFonts w:ascii="Arial" w:cs="Arial" w:eastAsia="Arial" w:hAnsi="Arial"/>
                <w:sz w:val="15"/>
                <w:szCs w:val="15"/>
                <w:color w:val="auto"/>
                <w:vertAlign w:val="superscript"/>
              </w:rPr>
              <w:t>(1)</w:t>
            </w: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(24,454)</w:t>
            </w:r>
          </w:p>
        </w:tc>
        <w:tc>
          <w:tcPr>
            <w:tcW w:w="4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(13,286)</w:t>
            </w:r>
          </w:p>
        </w:tc>
        <w:tc>
          <w:tcPr>
            <w:tcW w:w="4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(1,968)</w:t>
            </w:r>
          </w:p>
        </w:tc>
        <w:tc>
          <w:tcPr>
            <w:tcW w:w="6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880" w:type="dxa"/>
            <w:vAlign w:val="bottom"/>
            <w:shd w:val="clear" w:color="auto" w:fill="CCEEFF"/>
          </w:tcPr>
          <w:p>
            <w:pPr>
              <w:spacing w:after="0" w:line="97" w:lineRule="exact"/>
              <w:rPr>
                <w:sz w:val="20"/>
                <w:szCs w:val="20"/>
                <w:color w:val="auto"/>
              </w:rPr>
            </w:pPr>
            <w:r>
              <w:rPr>
                <w:rFonts w:ascii="Arial" w:cs="Arial" w:eastAsia="Arial" w:hAnsi="Arial"/>
                <w:sz w:val="11"/>
                <w:szCs w:val="11"/>
                <w:color w:val="auto"/>
              </w:rPr>
              <w:t>Net of adjustment for credit enhancement program</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608,198</w:t>
            </w:r>
          </w:p>
        </w:tc>
        <w:tc>
          <w:tcPr>
            <w:tcW w:w="40" w:type="dxa"/>
            <w:vAlign w:val="bottom"/>
            <w:shd w:val="clear" w:color="auto" w:fill="CCEEFF"/>
          </w:tcPr>
          <w:p>
            <w:pPr>
              <w:spacing w:after="0"/>
              <w:rPr>
                <w:sz w:val="8"/>
                <w:szCs w:val="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16,791</w:t>
            </w:r>
          </w:p>
        </w:tc>
        <w:tc>
          <w:tcPr>
            <w:tcW w:w="40" w:type="dxa"/>
            <w:vAlign w:val="bottom"/>
            <w:shd w:val="clear" w:color="auto" w:fill="CCEEFF"/>
          </w:tcPr>
          <w:p>
            <w:pPr>
              <w:spacing w:after="0"/>
              <w:rPr>
                <w:sz w:val="8"/>
                <w:szCs w:val="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10.95 %</w:t>
            </w:r>
          </w:p>
        </w:tc>
        <w:tc>
          <w:tcPr>
            <w:tcW w:w="6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582,171</w:t>
            </w:r>
          </w:p>
        </w:tc>
        <w:tc>
          <w:tcPr>
            <w:tcW w:w="4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14,038</w:t>
            </w:r>
          </w:p>
        </w:tc>
        <w:tc>
          <w:tcPr>
            <w:tcW w:w="40" w:type="dxa"/>
            <w:vAlign w:val="bottom"/>
            <w:shd w:val="clear" w:color="auto" w:fill="CCEEFF"/>
          </w:tcPr>
          <w:p>
            <w:pPr>
              <w:spacing w:after="0"/>
              <w:rPr>
                <w:sz w:val="8"/>
                <w:szCs w:val="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9.67 %</w:t>
            </w:r>
          </w:p>
        </w:tc>
        <w:tc>
          <w:tcPr>
            <w:tcW w:w="6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542,595</w:t>
            </w:r>
          </w:p>
        </w:tc>
        <w:tc>
          <w:tcPr>
            <w:tcW w:w="6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14,345</w:t>
            </w:r>
          </w:p>
        </w:tc>
        <w:tc>
          <w:tcPr>
            <w:tcW w:w="60" w:type="dxa"/>
            <w:vAlign w:val="bottom"/>
            <w:shd w:val="clear" w:color="auto" w:fill="CCEEFF"/>
          </w:tcPr>
          <w:p>
            <w:pPr>
              <w:spacing w:after="0"/>
              <w:rPr>
                <w:sz w:val="8"/>
                <w:szCs w:val="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10.49 %</w:t>
            </w:r>
          </w:p>
        </w:tc>
        <w:tc>
          <w:tcPr>
            <w:tcW w:w="0" w:type="dxa"/>
            <w:vAlign w:val="bottom"/>
          </w:tcPr>
          <w:p>
            <w:pPr>
              <w:spacing w:after="0"/>
              <w:rPr>
                <w:sz w:val="1"/>
                <w:szCs w:val="1"/>
                <w:color w:val="auto"/>
              </w:rPr>
            </w:pPr>
          </w:p>
        </w:tc>
      </w:tr>
      <w:tr>
        <w:trPr>
          <w:trHeight w:val="160"/>
        </w:trPr>
        <w:tc>
          <w:tcPr>
            <w:tcW w:w="2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expenses</w:t>
            </w:r>
          </w:p>
        </w:tc>
        <w:tc>
          <w:tcPr>
            <w:tcW w:w="120" w:type="dxa"/>
            <w:vAlign w:val="bottom"/>
            <w:tcBorders>
              <w:bottom w:val="single" w:sz="8" w:color="auto"/>
            </w:tcBorders>
            <w:vMerge w:val="continue"/>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vMerge w:val="continue"/>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8" w:right="260" w:hanging="8"/>
        <w:spacing w:after="0" w:line="231" w:lineRule="auto"/>
        <w:tabs>
          <w:tab w:leader="none" w:pos="124" w:val="left"/>
        </w:tabs>
        <w:numPr>
          <w:ilvl w:val="0"/>
          <w:numId w:val="10"/>
        </w:numPr>
        <w:rPr>
          <w:rFonts w:ascii="Arial" w:cs="Arial" w:eastAsia="Arial" w:hAnsi="Arial"/>
          <w:sz w:val="14"/>
          <w:szCs w:val="14"/>
          <w:color w:val="auto"/>
          <w:vertAlign w:val="superscript"/>
        </w:rPr>
      </w:pPr>
      <w:r>
        <w:rPr>
          <w:rFonts w:ascii="Arial" w:cs="Arial" w:eastAsia="Arial" w:hAnsi="Arial"/>
          <w:sz w:val="11"/>
          <w:szCs w:val="11"/>
          <w:color w:val="auto"/>
        </w:rPr>
        <w:t>Includes credit enhancement expenses of $0.1 million and $0.6 million from discontinued operations for the three months ended September 30, 2026 and June 30, 2026, respectively. There were no discontinued operations for the three months ended September 30, 2025.</w:t>
      </w:r>
    </w:p>
    <w:p>
      <w:pPr>
        <w:spacing w:after="0" w:line="168" w:lineRule="exact"/>
        <w:rPr>
          <w:sz w:val="20"/>
          <w:szCs w:val="20"/>
          <w:color w:val="auto"/>
        </w:rPr>
      </w:pPr>
    </w:p>
    <w:p>
      <w:pPr>
        <w:jc w:val="both"/>
        <w:ind w:left="8"/>
        <w:spacing w:after="0" w:line="300" w:lineRule="auto"/>
        <w:rPr>
          <w:sz w:val="20"/>
          <w:szCs w:val="20"/>
          <w:color w:val="auto"/>
        </w:rPr>
      </w:pPr>
      <w:r>
        <w:rPr>
          <w:rFonts w:ascii="Arial" w:cs="Arial" w:eastAsia="Arial" w:hAnsi="Arial"/>
          <w:sz w:val="13"/>
          <w:szCs w:val="13"/>
          <w:color w:val="auto"/>
        </w:rPr>
        <w:t>Total interest income on loans held-for-investment net of credit enhancement program expenses and the average yield on loans held-for-investment net of credit enhancement program expenses are non-GAAP measures that include the impact of credit enhancement program expenses on total interest income on loans held-for-investment and the respective average yield on loans held-for-investment, the most directly comparable GAAP measures.</w:t>
      </w:r>
    </w:p>
    <w:p>
      <w:pPr>
        <w:spacing w:after="0" w:line="231"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288"/>
          </w:cols>
          <w:pgMar w:left="292" w:top="728" w:right="319" w:bottom="1440" w:gutter="0" w:footer="0" w:header="0"/>
        </w:sectPr>
      </w:pPr>
    </w:p>
    <w:bookmarkStart w:id="19" w:name="page20"/>
    <w:bookmarkEnd w:id="19"/>
    <w:p>
      <w:pPr>
        <w:ind w:left="8"/>
        <w:spacing w:after="0"/>
        <w:rPr>
          <w:sz w:val="20"/>
          <w:szCs w:val="20"/>
          <w:color w:val="auto"/>
        </w:rPr>
      </w:pPr>
      <w:r>
        <w:rPr>
          <w:rFonts w:ascii="Arial" w:cs="Arial" w:eastAsia="Arial" w:hAnsi="Arial"/>
          <w:sz w:val="13"/>
          <w:szCs w:val="13"/>
          <w:color w:val="auto"/>
        </w:rPr>
        <w:t>The following non-GAAP measures are presented to illustrate the impact of certain credit enhancement program expenses on net interest income and net interest margin:</w:t>
      </w:r>
    </w:p>
    <w:p>
      <w:pPr>
        <w:spacing w:after="0" w:line="212"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80" w:type="dxa"/>
            <w:vAlign w:val="bottom"/>
            <w:gridSpan w:val="7"/>
          </w:tcPr>
          <w:p>
            <w:pPr>
              <w:ind w:left="200"/>
              <w:spacing w:after="0"/>
              <w:rPr>
                <w:sz w:val="20"/>
                <w:szCs w:val="20"/>
                <w:color w:val="auto"/>
              </w:rPr>
            </w:pPr>
            <w:r>
              <w:rPr>
                <w:rFonts w:ascii="Arial" w:cs="Arial" w:eastAsia="Arial" w:hAnsi="Arial"/>
                <w:sz w:val="12"/>
                <w:szCs w:val="12"/>
                <w:b w:val="1"/>
                <w:bCs w:val="1"/>
                <w:color w:val="auto"/>
              </w:rPr>
              <w:t>As of and for the Three Months Ended</w:t>
            </w:r>
          </w:p>
        </w:tc>
        <w:tc>
          <w:tcPr>
            <w:tcW w:w="140" w:type="dxa"/>
            <w:vAlign w:val="bottom"/>
          </w:tcPr>
          <w:p>
            <w:pPr>
              <w:spacing w:after="0"/>
              <w:rPr>
                <w:sz w:val="13"/>
                <w:szCs w:val="13"/>
                <w:color w:val="auto"/>
              </w:rPr>
            </w:pPr>
          </w:p>
        </w:tc>
        <w:tc>
          <w:tcPr>
            <w:tcW w:w="2780" w:type="dxa"/>
            <w:vAlign w:val="bottom"/>
            <w:gridSpan w:val="7"/>
          </w:tcPr>
          <w:p>
            <w:pPr>
              <w:ind w:left="200"/>
              <w:spacing w:after="0"/>
              <w:rPr>
                <w:sz w:val="20"/>
                <w:szCs w:val="20"/>
                <w:color w:val="auto"/>
              </w:rPr>
            </w:pPr>
            <w:r>
              <w:rPr>
                <w:rFonts w:ascii="Arial" w:cs="Arial" w:eastAsia="Arial" w:hAnsi="Arial"/>
                <w:sz w:val="12"/>
                <w:szCs w:val="12"/>
                <w:b w:val="1"/>
                <w:bCs w:val="1"/>
                <w:color w:val="auto"/>
              </w:rPr>
              <w:t>As of and for the Three Months Ended</w:t>
            </w:r>
          </w:p>
        </w:tc>
        <w:tc>
          <w:tcPr>
            <w:tcW w:w="140" w:type="dxa"/>
            <w:vAlign w:val="bottom"/>
          </w:tcPr>
          <w:p>
            <w:pPr>
              <w:spacing w:after="0"/>
              <w:rPr>
                <w:sz w:val="13"/>
                <w:szCs w:val="13"/>
                <w:color w:val="auto"/>
              </w:rPr>
            </w:pPr>
          </w:p>
        </w:tc>
        <w:tc>
          <w:tcPr>
            <w:tcW w:w="2740" w:type="dxa"/>
            <w:vAlign w:val="bottom"/>
            <w:gridSpan w:val="6"/>
          </w:tcPr>
          <w:p>
            <w:pPr>
              <w:jc w:val="right"/>
              <w:ind w:right="300"/>
              <w:spacing w:after="0"/>
              <w:rPr>
                <w:sz w:val="20"/>
                <w:szCs w:val="20"/>
                <w:color w:val="auto"/>
              </w:rPr>
            </w:pPr>
            <w:r>
              <w:rPr>
                <w:rFonts w:ascii="Arial" w:cs="Arial" w:eastAsia="Arial" w:hAnsi="Arial"/>
                <w:sz w:val="12"/>
                <w:szCs w:val="12"/>
                <w:b w:val="1"/>
                <w:bCs w:val="1"/>
                <w:color w:val="auto"/>
              </w:rPr>
              <w:t>As of and for the Three Months Ended</w:t>
            </w: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9/30/2026</w:t>
            </w:r>
          </w:p>
        </w:tc>
        <w:tc>
          <w:tcPr>
            <w:tcW w:w="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6/30/2026</w:t>
            </w:r>
          </w:p>
        </w:tc>
        <w:tc>
          <w:tcPr>
            <w:tcW w:w="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2"/>
                <w:szCs w:val="12"/>
                <w:b w:val="1"/>
                <w:bCs w:val="1"/>
                <w:color w:val="auto"/>
              </w:rPr>
              <w:t>9/30/2025</w:t>
            </w:r>
          </w:p>
        </w:tc>
        <w:tc>
          <w:tcPr>
            <w:tcW w:w="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560" w:type="dxa"/>
            <w:vAlign w:val="bottom"/>
          </w:tcPr>
          <w:p>
            <w:pPr>
              <w:spacing w:after="0"/>
              <w:rPr>
                <w:sz w:val="9"/>
                <w:szCs w:val="9"/>
                <w:color w:val="auto"/>
              </w:rPr>
            </w:pPr>
          </w:p>
        </w:tc>
        <w:tc>
          <w:tcPr>
            <w:tcW w:w="940" w:type="dxa"/>
            <w:vAlign w:val="bottom"/>
            <w:gridSpan w:val="3"/>
          </w:tcPr>
          <w:p>
            <w:pPr>
              <w:jc w:val="center"/>
              <w:ind w:right="40"/>
              <w:spacing w:after="0" w:line="106" w:lineRule="exact"/>
              <w:rPr>
                <w:sz w:val="20"/>
                <w:szCs w:val="20"/>
                <w:color w:val="auto"/>
              </w:rPr>
            </w:pPr>
            <w:r>
              <w:rPr>
                <w:rFonts w:ascii="Arial" w:cs="Arial" w:eastAsia="Arial" w:hAnsi="Arial"/>
                <w:sz w:val="12"/>
                <w:szCs w:val="12"/>
                <w:b w:val="1"/>
                <w:bCs w:val="1"/>
                <w:color w:val="auto"/>
                <w:w w:val="98"/>
              </w:rPr>
              <w:t>Total Average</w:t>
            </w: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gridSpan w:val="3"/>
          </w:tcPr>
          <w:p>
            <w:pPr>
              <w:jc w:val="center"/>
              <w:ind w:right="80"/>
              <w:spacing w:after="0" w:line="106" w:lineRule="exact"/>
              <w:rPr>
                <w:sz w:val="20"/>
                <w:szCs w:val="20"/>
                <w:color w:val="auto"/>
              </w:rPr>
            </w:pPr>
            <w:r>
              <w:rPr>
                <w:rFonts w:ascii="Arial" w:cs="Arial" w:eastAsia="Arial" w:hAnsi="Arial"/>
                <w:sz w:val="12"/>
                <w:szCs w:val="12"/>
                <w:b w:val="1"/>
                <w:bCs w:val="1"/>
                <w:color w:val="auto"/>
                <w:w w:val="98"/>
              </w:rPr>
              <w:t>Total Average</w:t>
            </w: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gridSpan w:val="3"/>
          </w:tcPr>
          <w:p>
            <w:pPr>
              <w:jc w:val="center"/>
              <w:ind w:right="40"/>
              <w:spacing w:after="0" w:line="106" w:lineRule="exact"/>
              <w:rPr>
                <w:sz w:val="20"/>
                <w:szCs w:val="20"/>
                <w:color w:val="auto"/>
              </w:rPr>
            </w:pPr>
            <w:r>
              <w:rPr>
                <w:rFonts w:ascii="Arial" w:cs="Arial" w:eastAsia="Arial" w:hAnsi="Arial"/>
                <w:sz w:val="12"/>
                <w:szCs w:val="12"/>
                <w:b w:val="1"/>
                <w:bCs w:val="1"/>
                <w:color w:val="auto"/>
                <w:w w:val="98"/>
              </w:rPr>
              <w:t>Total Average</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center"/>
              <w:ind w:right="200"/>
              <w:spacing w:after="0" w:line="117" w:lineRule="exact"/>
              <w:rPr>
                <w:sz w:val="20"/>
                <w:szCs w:val="20"/>
                <w:color w:val="auto"/>
              </w:rPr>
            </w:pPr>
            <w:r>
              <w:rPr>
                <w:rFonts w:ascii="Arial" w:cs="Arial" w:eastAsia="Arial" w:hAnsi="Arial"/>
                <w:sz w:val="12"/>
                <w:szCs w:val="12"/>
                <w:b w:val="1"/>
                <w:bCs w:val="1"/>
                <w:color w:val="auto"/>
              </w:rPr>
              <w:t>Interest-</w:t>
            </w:r>
          </w:p>
        </w:tc>
        <w:tc>
          <w:tcPr>
            <w:tcW w:w="100" w:type="dxa"/>
            <w:vAlign w:val="bottom"/>
          </w:tcPr>
          <w:p>
            <w:pPr>
              <w:spacing w:after="0"/>
              <w:rPr>
                <w:sz w:val="10"/>
                <w:szCs w:val="10"/>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9"/>
              </w:rPr>
              <w:t>Net Interest</w:t>
            </w:r>
          </w:p>
        </w:tc>
        <w:tc>
          <w:tcPr>
            <w:tcW w:w="1040" w:type="dxa"/>
            <w:vAlign w:val="bottom"/>
            <w:gridSpan w:val="2"/>
            <w:vMerge w:val="restart"/>
          </w:tcPr>
          <w:p>
            <w:pPr>
              <w:jc w:val="center"/>
              <w:ind w:right="60"/>
              <w:spacing w:after="0"/>
              <w:rPr>
                <w:sz w:val="20"/>
                <w:szCs w:val="20"/>
                <w:color w:val="auto"/>
              </w:rPr>
            </w:pPr>
            <w:r>
              <w:rPr>
                <w:rFonts w:ascii="Arial" w:cs="Arial" w:eastAsia="Arial" w:hAnsi="Arial"/>
                <w:sz w:val="12"/>
                <w:szCs w:val="12"/>
                <w:b w:val="1"/>
                <w:bCs w:val="1"/>
                <w:color w:val="auto"/>
                <w:w w:val="99"/>
              </w:rPr>
              <w:t>Net Interest</w:t>
            </w:r>
          </w:p>
        </w:tc>
        <w:tc>
          <w:tcPr>
            <w:tcW w:w="140" w:type="dxa"/>
            <w:vAlign w:val="bottom"/>
          </w:tcPr>
          <w:p>
            <w:pPr>
              <w:spacing w:after="0"/>
              <w:rPr>
                <w:sz w:val="10"/>
                <w:szCs w:val="10"/>
                <w:color w:val="auto"/>
              </w:rPr>
            </w:pPr>
          </w:p>
        </w:tc>
        <w:tc>
          <w:tcPr>
            <w:tcW w:w="800" w:type="dxa"/>
            <w:vAlign w:val="bottom"/>
            <w:gridSpan w:val="2"/>
          </w:tcPr>
          <w:p>
            <w:pPr>
              <w:jc w:val="center"/>
              <w:ind w:right="200"/>
              <w:spacing w:after="0" w:line="117" w:lineRule="exact"/>
              <w:rPr>
                <w:sz w:val="20"/>
                <w:szCs w:val="20"/>
                <w:color w:val="auto"/>
              </w:rPr>
            </w:pPr>
            <w:r>
              <w:rPr>
                <w:rFonts w:ascii="Arial" w:cs="Arial" w:eastAsia="Arial" w:hAnsi="Arial"/>
                <w:sz w:val="12"/>
                <w:szCs w:val="12"/>
                <w:b w:val="1"/>
                <w:bCs w:val="1"/>
                <w:color w:val="auto"/>
              </w:rPr>
              <w:t>Interest-</w:t>
            </w:r>
          </w:p>
        </w:tc>
        <w:tc>
          <w:tcPr>
            <w:tcW w:w="100" w:type="dxa"/>
            <w:vAlign w:val="bottom"/>
          </w:tcPr>
          <w:p>
            <w:pPr>
              <w:spacing w:after="0"/>
              <w:rPr>
                <w:sz w:val="10"/>
                <w:szCs w:val="10"/>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9"/>
              </w:rPr>
              <w:t>Net Interest</w:t>
            </w:r>
          </w:p>
        </w:tc>
        <w:tc>
          <w:tcPr>
            <w:tcW w:w="1040" w:type="dxa"/>
            <w:vAlign w:val="bottom"/>
            <w:gridSpan w:val="2"/>
            <w:vMerge w:val="restart"/>
          </w:tcPr>
          <w:p>
            <w:pPr>
              <w:jc w:val="center"/>
              <w:ind w:right="60"/>
              <w:spacing w:after="0"/>
              <w:rPr>
                <w:sz w:val="20"/>
                <w:szCs w:val="20"/>
                <w:color w:val="auto"/>
              </w:rPr>
            </w:pPr>
            <w:r>
              <w:rPr>
                <w:rFonts w:ascii="Arial" w:cs="Arial" w:eastAsia="Arial" w:hAnsi="Arial"/>
                <w:sz w:val="12"/>
                <w:szCs w:val="12"/>
                <w:b w:val="1"/>
                <w:bCs w:val="1"/>
                <w:color w:val="auto"/>
                <w:w w:val="99"/>
              </w:rPr>
              <w:t>Net Interest</w:t>
            </w:r>
          </w:p>
        </w:tc>
        <w:tc>
          <w:tcPr>
            <w:tcW w:w="140" w:type="dxa"/>
            <w:vAlign w:val="bottom"/>
          </w:tcPr>
          <w:p>
            <w:pPr>
              <w:spacing w:after="0"/>
              <w:rPr>
                <w:sz w:val="10"/>
                <w:szCs w:val="10"/>
                <w:color w:val="auto"/>
              </w:rPr>
            </w:pPr>
          </w:p>
        </w:tc>
        <w:tc>
          <w:tcPr>
            <w:tcW w:w="800" w:type="dxa"/>
            <w:vAlign w:val="bottom"/>
            <w:gridSpan w:val="2"/>
          </w:tcPr>
          <w:p>
            <w:pPr>
              <w:jc w:val="center"/>
              <w:ind w:right="200"/>
              <w:spacing w:after="0" w:line="117" w:lineRule="exact"/>
              <w:rPr>
                <w:sz w:val="20"/>
                <w:szCs w:val="20"/>
                <w:color w:val="auto"/>
              </w:rPr>
            </w:pPr>
            <w:r>
              <w:rPr>
                <w:rFonts w:ascii="Arial" w:cs="Arial" w:eastAsia="Arial" w:hAnsi="Arial"/>
                <w:sz w:val="12"/>
                <w:szCs w:val="12"/>
                <w:b w:val="1"/>
                <w:bCs w:val="1"/>
                <w:color w:val="auto"/>
              </w:rPr>
              <w:t>Interest-</w:t>
            </w:r>
          </w:p>
        </w:tc>
        <w:tc>
          <w:tcPr>
            <w:tcW w:w="100" w:type="dxa"/>
            <w:vAlign w:val="bottom"/>
          </w:tcPr>
          <w:p>
            <w:pPr>
              <w:spacing w:after="0"/>
              <w:rPr>
                <w:sz w:val="10"/>
                <w:szCs w:val="10"/>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Net Interest</w:t>
            </w:r>
          </w:p>
        </w:tc>
        <w:tc>
          <w:tcPr>
            <w:tcW w:w="1000" w:type="dxa"/>
            <w:vAlign w:val="bottom"/>
            <w:vMerge w:val="restart"/>
          </w:tcPr>
          <w:p>
            <w:pPr>
              <w:jc w:val="right"/>
              <w:ind w:right="100"/>
              <w:spacing w:after="0"/>
              <w:rPr>
                <w:sz w:val="20"/>
                <w:szCs w:val="20"/>
                <w:color w:val="auto"/>
              </w:rPr>
            </w:pPr>
            <w:r>
              <w:rPr>
                <w:rFonts w:ascii="Arial" w:cs="Arial" w:eastAsia="Arial" w:hAnsi="Arial"/>
                <w:sz w:val="12"/>
                <w:szCs w:val="12"/>
                <w:b w:val="1"/>
                <w:bCs w:val="1"/>
                <w:color w:val="auto"/>
              </w:rPr>
              <w:t>Net Interest</w:t>
            </w:r>
          </w:p>
        </w:tc>
        <w:tc>
          <w:tcPr>
            <w:tcW w:w="0" w:type="dxa"/>
            <w:vAlign w:val="bottom"/>
          </w:tcPr>
          <w:p>
            <w:pPr>
              <w:spacing w:after="0"/>
              <w:rPr>
                <w:sz w:val="1"/>
                <w:szCs w:val="1"/>
                <w:color w:val="auto"/>
              </w:rPr>
            </w:pPr>
          </w:p>
        </w:tc>
      </w:tr>
      <w:tr>
        <w:trPr>
          <w:trHeight w:val="117"/>
        </w:trPr>
        <w:tc>
          <w:tcPr>
            <w:tcW w:w="2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center"/>
              <w:ind w:right="200"/>
              <w:spacing w:after="0" w:line="117" w:lineRule="exact"/>
              <w:rPr>
                <w:sz w:val="20"/>
                <w:szCs w:val="20"/>
                <w:color w:val="auto"/>
              </w:rPr>
            </w:pPr>
            <w:r>
              <w:rPr>
                <w:rFonts w:ascii="Arial" w:cs="Arial" w:eastAsia="Arial" w:hAnsi="Arial"/>
                <w:sz w:val="12"/>
                <w:szCs w:val="12"/>
                <w:b w:val="1"/>
                <w:bCs w:val="1"/>
                <w:color w:val="auto"/>
                <w:w w:val="98"/>
              </w:rPr>
              <w:t>Earning</w:t>
            </w: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center"/>
              <w:ind w:right="200"/>
              <w:spacing w:after="0" w:line="117" w:lineRule="exact"/>
              <w:rPr>
                <w:sz w:val="20"/>
                <w:szCs w:val="20"/>
                <w:color w:val="auto"/>
              </w:rPr>
            </w:pPr>
            <w:r>
              <w:rPr>
                <w:rFonts w:ascii="Arial" w:cs="Arial" w:eastAsia="Arial" w:hAnsi="Arial"/>
                <w:sz w:val="12"/>
                <w:szCs w:val="12"/>
                <w:b w:val="1"/>
                <w:bCs w:val="1"/>
                <w:color w:val="auto"/>
                <w:w w:val="98"/>
              </w:rPr>
              <w:t>Earning</w:t>
            </w: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center"/>
              <w:ind w:right="200"/>
              <w:spacing w:after="0" w:line="117" w:lineRule="exact"/>
              <w:rPr>
                <w:sz w:val="20"/>
                <w:szCs w:val="20"/>
                <w:color w:val="auto"/>
              </w:rPr>
            </w:pPr>
            <w:r>
              <w:rPr>
                <w:rFonts w:ascii="Arial" w:cs="Arial" w:eastAsia="Arial" w:hAnsi="Arial"/>
                <w:sz w:val="12"/>
                <w:szCs w:val="12"/>
                <w:b w:val="1"/>
                <w:bCs w:val="1"/>
                <w:color w:val="auto"/>
                <w:w w:val="98"/>
              </w:rPr>
              <w:t>Earning</w:t>
            </w: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Arial" w:cs="Arial" w:eastAsia="Arial" w:hAnsi="Arial"/>
                <w:sz w:val="11"/>
                <w:szCs w:val="11"/>
                <w:i w:val="1"/>
                <w:iCs w:val="1"/>
                <w:color w:val="auto"/>
              </w:rPr>
              <w:t>($ in thousands; unaudited)</w:t>
            </w:r>
          </w:p>
        </w:tc>
        <w:tc>
          <w:tcPr>
            <w:tcW w:w="14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Assets</w:t>
            </w:r>
          </w:p>
        </w:tc>
        <w:tc>
          <w:tcPr>
            <w:tcW w:w="10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9"/>
              </w:rPr>
              <w:t>Income</w:t>
            </w:r>
          </w:p>
        </w:tc>
        <w:tc>
          <w:tcPr>
            <w:tcW w:w="10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6"/>
              </w:rPr>
              <w:t>Margin</w:t>
            </w:r>
          </w:p>
        </w:tc>
        <w:tc>
          <w:tcPr>
            <w:tcW w:w="14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Assets</w:t>
            </w: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Income</w:t>
            </w:r>
          </w:p>
        </w:tc>
        <w:tc>
          <w:tcPr>
            <w:tcW w:w="10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6"/>
              </w:rPr>
              <w:t>Margin</w:t>
            </w:r>
          </w:p>
        </w:tc>
        <w:tc>
          <w:tcPr>
            <w:tcW w:w="14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Assets</w:t>
            </w:r>
          </w:p>
        </w:tc>
        <w:tc>
          <w:tcPr>
            <w:tcW w:w="10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Income</w:t>
            </w:r>
          </w:p>
        </w:tc>
        <w:tc>
          <w:tcPr>
            <w:tcW w:w="1000" w:type="dxa"/>
            <w:vAlign w:val="bottom"/>
          </w:tcPr>
          <w:p>
            <w:pPr>
              <w:jc w:val="right"/>
              <w:ind w:right="240"/>
              <w:spacing w:after="0"/>
              <w:rPr>
                <w:sz w:val="20"/>
                <w:szCs w:val="20"/>
                <w:color w:val="auto"/>
              </w:rPr>
            </w:pPr>
            <w:r>
              <w:rPr>
                <w:rFonts w:ascii="Arial" w:cs="Arial" w:eastAsia="Arial" w:hAnsi="Arial"/>
                <w:sz w:val="12"/>
                <w:szCs w:val="12"/>
                <w:b w:val="1"/>
                <w:bCs w:val="1"/>
                <w:color w:val="auto"/>
              </w:rPr>
              <w:t>Margin</w:t>
            </w:r>
          </w:p>
        </w:tc>
        <w:tc>
          <w:tcPr>
            <w:tcW w:w="0" w:type="dxa"/>
            <w:vAlign w:val="bottom"/>
          </w:tcPr>
          <w:p>
            <w:pPr>
              <w:spacing w:after="0"/>
              <w:rPr>
                <w:sz w:val="1"/>
                <w:szCs w:val="1"/>
                <w:color w:val="auto"/>
              </w:rPr>
            </w:pPr>
          </w:p>
        </w:tc>
      </w:tr>
      <w:tr>
        <w:trPr>
          <w:trHeight w:val="142"/>
        </w:trPr>
        <w:tc>
          <w:tcPr>
            <w:tcW w:w="2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Before adjustment for credit enhancement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860,983</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42,483</w:t>
            </w:r>
          </w:p>
        </w:tc>
        <w:tc>
          <w:tcPr>
            <w:tcW w:w="6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19.58 %</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834,035</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28,749</w:t>
            </w:r>
          </w:p>
        </w:tc>
        <w:tc>
          <w:tcPr>
            <w:tcW w:w="6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13.83 %</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811,810</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18,607</w:t>
            </w:r>
          </w:p>
        </w:tc>
        <w:tc>
          <w:tcPr>
            <w:tcW w:w="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9.09 %</w:t>
            </w:r>
          </w:p>
        </w:tc>
        <w:tc>
          <w:tcPr>
            <w:tcW w:w="0" w:type="dxa"/>
            <w:vAlign w:val="bottom"/>
          </w:tcPr>
          <w:p>
            <w:pPr>
              <w:spacing w:after="0"/>
              <w:rPr>
                <w:sz w:val="1"/>
                <w:szCs w:val="1"/>
                <w:color w:val="auto"/>
              </w:rPr>
            </w:pPr>
          </w:p>
        </w:tc>
      </w:tr>
      <w:tr>
        <w:trPr>
          <w:trHeight w:val="153"/>
        </w:trPr>
        <w:tc>
          <w:tcPr>
            <w:tcW w:w="2560" w:type="dxa"/>
            <w:vAlign w:val="bottom"/>
            <w:tcBorders>
              <w:bottom w:val="single" w:sz="8" w:color="CCEEFF"/>
            </w:tcBorders>
          </w:tcPr>
          <w:p>
            <w:pPr>
              <w:spacing w:after="0" w:line="153" w:lineRule="exact"/>
              <w:rPr>
                <w:sz w:val="20"/>
                <w:szCs w:val="20"/>
                <w:color w:val="auto"/>
              </w:rPr>
            </w:pPr>
            <w:r>
              <w:rPr>
                <w:rFonts w:ascii="Arial" w:cs="Arial" w:eastAsia="Arial" w:hAnsi="Arial"/>
                <w:sz w:val="12"/>
                <w:szCs w:val="12"/>
                <w:color w:val="auto"/>
              </w:rPr>
              <w:t>Less: credit enhancement program expenses</w:t>
            </w:r>
            <w:r>
              <w:rPr>
                <w:rFonts w:ascii="Arial" w:cs="Arial" w:eastAsia="Arial" w:hAnsi="Arial"/>
                <w:sz w:val="15"/>
                <w:szCs w:val="15"/>
                <w:color w:val="auto"/>
                <w:vertAlign w:val="superscript"/>
              </w:rPr>
              <w:t>(1)</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(24,454)</w:t>
            </w:r>
          </w:p>
        </w:tc>
        <w:tc>
          <w:tcPr>
            <w:tcW w:w="6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(13,286)</w:t>
            </w:r>
          </w:p>
        </w:tc>
        <w:tc>
          <w:tcPr>
            <w:tcW w:w="6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(1,968)</w:t>
            </w:r>
          </w:p>
        </w:tc>
        <w:tc>
          <w:tcPr>
            <w:tcW w:w="4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560" w:type="dxa"/>
            <w:vAlign w:val="bottom"/>
            <w:shd w:val="clear" w:color="auto" w:fill="CCEEFF"/>
          </w:tcPr>
          <w:p>
            <w:pPr>
              <w:spacing w:after="0" w:line="97" w:lineRule="exact"/>
              <w:rPr>
                <w:sz w:val="20"/>
                <w:szCs w:val="20"/>
                <w:color w:val="auto"/>
              </w:rPr>
            </w:pPr>
            <w:r>
              <w:rPr>
                <w:rFonts w:ascii="Arial" w:cs="Arial" w:eastAsia="Arial" w:hAnsi="Arial"/>
                <w:sz w:val="11"/>
                <w:szCs w:val="11"/>
                <w:color w:val="auto"/>
              </w:rPr>
              <w:t>Net of adjustment for credit enhancement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860,983</w:t>
            </w:r>
          </w:p>
        </w:tc>
        <w:tc>
          <w:tcPr>
            <w:tcW w:w="6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18,029</w:t>
            </w:r>
          </w:p>
        </w:tc>
        <w:tc>
          <w:tcPr>
            <w:tcW w:w="60" w:type="dxa"/>
            <w:vAlign w:val="bottom"/>
            <w:shd w:val="clear" w:color="auto" w:fill="CCEEFF"/>
          </w:tcPr>
          <w:p>
            <w:pPr>
              <w:spacing w:after="0"/>
              <w:rPr>
                <w:sz w:val="8"/>
                <w:szCs w:val="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8.31 %</w:t>
            </w:r>
          </w:p>
        </w:tc>
        <w:tc>
          <w:tcPr>
            <w:tcW w:w="6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834,035</w:t>
            </w:r>
          </w:p>
        </w:tc>
        <w:tc>
          <w:tcPr>
            <w:tcW w:w="6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15,463</w:t>
            </w:r>
          </w:p>
        </w:tc>
        <w:tc>
          <w:tcPr>
            <w:tcW w:w="60" w:type="dxa"/>
            <w:vAlign w:val="bottom"/>
            <w:shd w:val="clear" w:color="auto" w:fill="CCEEFF"/>
          </w:tcPr>
          <w:p>
            <w:pPr>
              <w:spacing w:after="0"/>
              <w:rPr>
                <w:sz w:val="8"/>
                <w:szCs w:val="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7.44 %</w:t>
            </w:r>
          </w:p>
        </w:tc>
        <w:tc>
          <w:tcPr>
            <w:tcW w:w="6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811,810</w:t>
            </w:r>
          </w:p>
        </w:tc>
        <w:tc>
          <w:tcPr>
            <w:tcW w:w="6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16,639</w:t>
            </w:r>
          </w:p>
        </w:tc>
        <w:tc>
          <w:tcPr>
            <w:tcW w:w="40" w:type="dxa"/>
            <w:vAlign w:val="bottom"/>
            <w:shd w:val="clear" w:color="auto" w:fill="CCEEFF"/>
          </w:tcPr>
          <w:p>
            <w:pPr>
              <w:spacing w:after="0"/>
              <w:rPr>
                <w:sz w:val="8"/>
                <w:szCs w:val="8"/>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8.13 %</w:t>
            </w:r>
          </w:p>
        </w:tc>
        <w:tc>
          <w:tcPr>
            <w:tcW w:w="0" w:type="dxa"/>
            <w:vAlign w:val="bottom"/>
          </w:tcPr>
          <w:p>
            <w:pPr>
              <w:spacing w:after="0"/>
              <w:rPr>
                <w:sz w:val="1"/>
                <w:szCs w:val="1"/>
                <w:color w:val="auto"/>
              </w:rPr>
            </w:pPr>
          </w:p>
        </w:tc>
      </w:tr>
      <w:tr>
        <w:trPr>
          <w:trHeight w:val="160"/>
        </w:trPr>
        <w:tc>
          <w:tcPr>
            <w:tcW w:w="2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program expenses</w:t>
            </w:r>
          </w:p>
        </w:tc>
        <w:tc>
          <w:tcPr>
            <w:tcW w:w="140" w:type="dxa"/>
            <w:vAlign w:val="bottom"/>
            <w:tcBorders>
              <w:bottom w:val="single" w:sz="8" w:color="auto"/>
            </w:tcBorders>
            <w:vMerge w:val="continue"/>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78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vMerge w:val="continue"/>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78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vMerge w:val="continue"/>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80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8" w:right="260" w:hanging="8"/>
        <w:spacing w:after="0" w:line="238" w:lineRule="auto"/>
        <w:tabs>
          <w:tab w:leader="none" w:pos="124" w:val="left"/>
        </w:tabs>
        <w:numPr>
          <w:ilvl w:val="0"/>
          <w:numId w:val="11"/>
        </w:numPr>
        <w:rPr>
          <w:rFonts w:ascii="Arial" w:cs="Arial" w:eastAsia="Arial" w:hAnsi="Arial"/>
          <w:sz w:val="14"/>
          <w:szCs w:val="14"/>
          <w:color w:val="auto"/>
          <w:vertAlign w:val="superscript"/>
        </w:rPr>
      </w:pPr>
      <w:r>
        <w:rPr>
          <w:rFonts w:ascii="Arial" w:cs="Arial" w:eastAsia="Arial" w:hAnsi="Arial"/>
          <w:sz w:val="11"/>
          <w:szCs w:val="11"/>
          <w:color w:val="auto"/>
        </w:rPr>
        <w:t>Includes credit enhancement expenses of $0.1 million and $0.6 million from discontinued operations for the three months ended September 30, 2026 and June 30, 2026, respectively. There were no discontinued operations for the three months ended September 30, 2025.</w:t>
      </w:r>
    </w:p>
    <w:p>
      <w:pPr>
        <w:spacing w:after="0" w:line="168" w:lineRule="exact"/>
        <w:rPr>
          <w:sz w:val="20"/>
          <w:szCs w:val="20"/>
          <w:color w:val="auto"/>
        </w:rPr>
      </w:pPr>
    </w:p>
    <w:p>
      <w:pPr>
        <w:ind w:left="8" w:right="340"/>
        <w:spacing w:after="0" w:line="312" w:lineRule="auto"/>
        <w:rPr>
          <w:sz w:val="20"/>
          <w:szCs w:val="20"/>
          <w:color w:val="auto"/>
        </w:rPr>
      </w:pPr>
      <w:r>
        <w:rPr>
          <w:rFonts w:ascii="Arial" w:cs="Arial" w:eastAsia="Arial" w:hAnsi="Arial"/>
          <w:sz w:val="13"/>
          <w:szCs w:val="13"/>
          <w:color w:val="auto"/>
        </w:rPr>
        <w:t>Net interest income and net interest margin net of credit enhancement program expenses are non-GAAP measures that include the impact of credit enhancement program expenses on net interest income and net interest margin, the most directly comparable GAAP measures.</w:t>
      </w:r>
    </w:p>
    <w:p>
      <w:pPr>
        <w:spacing w:after="0" w:line="124" w:lineRule="exact"/>
        <w:rPr>
          <w:sz w:val="20"/>
          <w:szCs w:val="20"/>
          <w:color w:val="auto"/>
        </w:rPr>
      </w:pPr>
    </w:p>
    <w:p>
      <w:pPr>
        <w:ind w:left="8"/>
        <w:spacing w:after="0"/>
        <w:rPr>
          <w:sz w:val="20"/>
          <w:szCs w:val="20"/>
          <w:color w:val="auto"/>
        </w:rPr>
      </w:pPr>
      <w:r>
        <w:rPr>
          <w:rFonts w:ascii="Arial" w:cs="Arial" w:eastAsia="Arial" w:hAnsi="Arial"/>
          <w:sz w:val="13"/>
          <w:szCs w:val="13"/>
          <w:color w:val="auto"/>
        </w:rPr>
        <w:t>Non-interest expenses less credit enhancement program expenses is a non-GAAP measure presented to illustrate the impact of credit enhancement program expenses on non-interest expense:</w:t>
      </w:r>
    </w:p>
    <w:p>
      <w:pPr>
        <w:spacing w:after="0" w:line="209"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6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Three Months Ended</w:t>
            </w:r>
          </w:p>
        </w:tc>
        <w:tc>
          <w:tcPr>
            <w:tcW w:w="120" w:type="dxa"/>
            <w:vAlign w:val="bottom"/>
          </w:tcPr>
          <w:p>
            <w:pPr>
              <w:spacing w:after="0"/>
              <w:rPr>
                <w:sz w:val="12"/>
                <w:szCs w:val="12"/>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Three Months Ended</w:t>
            </w:r>
          </w:p>
        </w:tc>
        <w:tc>
          <w:tcPr>
            <w:tcW w:w="120" w:type="dxa"/>
            <w:vAlign w:val="bottom"/>
          </w:tcPr>
          <w:p>
            <w:pPr>
              <w:spacing w:after="0"/>
              <w:rPr>
                <w:sz w:val="12"/>
                <w:szCs w:val="12"/>
                <w:color w:val="auto"/>
              </w:rPr>
            </w:pPr>
          </w:p>
        </w:tc>
        <w:tc>
          <w:tcPr>
            <w:tcW w:w="1400" w:type="dxa"/>
            <w:vAlign w:val="bottom"/>
          </w:tcPr>
          <w:p>
            <w:pPr>
              <w:jc w:val="right"/>
              <w:ind w:right="100"/>
              <w:spacing w:after="0"/>
              <w:rPr>
                <w:sz w:val="20"/>
                <w:szCs w:val="20"/>
                <w:color w:val="auto"/>
              </w:rPr>
            </w:pPr>
            <w:r>
              <w:rPr>
                <w:rFonts w:ascii="Arial" w:cs="Arial" w:eastAsia="Arial" w:hAnsi="Arial"/>
                <w:sz w:val="12"/>
                <w:szCs w:val="12"/>
                <w:b w:val="1"/>
                <w:bCs w:val="1"/>
                <w:color w:val="auto"/>
              </w:rPr>
              <w:t>Three Months Ended</w:t>
            </w:r>
          </w:p>
        </w:tc>
      </w:tr>
      <w:tr>
        <w:trPr>
          <w:trHeight w:val="157"/>
        </w:trPr>
        <w:tc>
          <w:tcPr>
            <w:tcW w:w="6620" w:type="dxa"/>
            <w:vAlign w:val="bottom"/>
          </w:tcPr>
          <w:p>
            <w:pPr>
              <w:spacing w:after="0"/>
              <w:rPr>
                <w:sz w:val="20"/>
                <w:szCs w:val="20"/>
                <w:color w:val="auto"/>
              </w:rPr>
            </w:pPr>
            <w:r>
              <w:rPr>
                <w:rFonts w:ascii="Arial" w:cs="Arial" w:eastAsia="Arial" w:hAnsi="Arial"/>
                <w:sz w:val="11"/>
                <w:szCs w:val="11"/>
                <w:i w:val="1"/>
                <w:iCs w:val="1"/>
                <w:color w:val="auto"/>
              </w:rPr>
              <w:t>($ in thousands; unaudited)</w:t>
            </w:r>
          </w:p>
        </w:tc>
        <w:tc>
          <w:tcPr>
            <w:tcW w:w="120" w:type="dxa"/>
            <w:vAlign w:val="bottom"/>
          </w:tcPr>
          <w:p>
            <w:pPr>
              <w:spacing w:after="0"/>
              <w:rPr>
                <w:sz w:val="13"/>
                <w:szCs w:val="13"/>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September 30, 2026</w:t>
            </w:r>
          </w:p>
        </w:tc>
        <w:tc>
          <w:tcPr>
            <w:tcW w:w="120" w:type="dxa"/>
            <w:vAlign w:val="bottom"/>
          </w:tcPr>
          <w:p>
            <w:pPr>
              <w:spacing w:after="0"/>
              <w:rPr>
                <w:sz w:val="13"/>
                <w:szCs w:val="13"/>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June 30, 2026</w:t>
            </w:r>
          </w:p>
        </w:tc>
        <w:tc>
          <w:tcPr>
            <w:tcW w:w="120" w:type="dxa"/>
            <w:vAlign w:val="bottom"/>
          </w:tcPr>
          <w:p>
            <w:pPr>
              <w:spacing w:after="0"/>
              <w:rPr>
                <w:sz w:val="13"/>
                <w:szCs w:val="13"/>
                <w:color w:val="auto"/>
              </w:rPr>
            </w:pPr>
          </w:p>
        </w:tc>
        <w:tc>
          <w:tcPr>
            <w:tcW w:w="1400" w:type="dxa"/>
            <w:vAlign w:val="bottom"/>
          </w:tcPr>
          <w:p>
            <w:pPr>
              <w:jc w:val="right"/>
              <w:ind w:right="140"/>
              <w:spacing w:after="0"/>
              <w:rPr>
                <w:sz w:val="20"/>
                <w:szCs w:val="20"/>
                <w:color w:val="auto"/>
              </w:rPr>
            </w:pPr>
            <w:r>
              <w:rPr>
                <w:rFonts w:ascii="Arial" w:cs="Arial" w:eastAsia="Arial" w:hAnsi="Arial"/>
                <w:sz w:val="12"/>
                <w:szCs w:val="12"/>
                <w:b w:val="1"/>
                <w:bCs w:val="1"/>
                <w:color w:val="auto"/>
              </w:rPr>
              <w:t>September 30, 2025</w:t>
            </w:r>
          </w:p>
        </w:tc>
      </w:tr>
      <w:tr>
        <w:trPr>
          <w:trHeight w:val="142"/>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non-interest expense from continuing operations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42,744</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28,306</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17,449</w:t>
            </w:r>
          </w:p>
        </w:tc>
      </w:tr>
      <w:tr>
        <w:trPr>
          <w:trHeight w:val="153"/>
        </w:trPr>
        <w:tc>
          <w:tcPr>
            <w:tcW w:w="66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Less: credit enhancement program expenses</w:t>
            </w: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(24,333)</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(12,730)</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(1,968)</w:t>
            </w:r>
          </w:p>
        </w:tc>
      </w:tr>
      <w:tr>
        <w:trPr>
          <w:trHeight w:val="158"/>
        </w:trPr>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non-interest expense less credit enhancement program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18,411</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15,576</w:t>
            </w: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15,481</w:t>
            </w:r>
          </w:p>
        </w:tc>
      </w:tr>
    </w:tbl>
    <w:p>
      <w:pPr>
        <w:spacing w:after="0" w:line="220" w:lineRule="exact"/>
        <w:rPr>
          <w:sz w:val="20"/>
          <w:szCs w:val="20"/>
          <w:color w:val="auto"/>
        </w:rPr>
      </w:pPr>
    </w:p>
    <w:p>
      <w:pPr>
        <w:jc w:val="both"/>
        <w:ind w:left="8" w:right="20"/>
        <w:spacing w:after="0" w:line="312" w:lineRule="auto"/>
        <w:rPr>
          <w:sz w:val="20"/>
          <w:szCs w:val="20"/>
          <w:color w:val="auto"/>
        </w:rPr>
      </w:pPr>
      <w:r>
        <w:rPr>
          <w:rFonts w:ascii="Arial" w:cs="Arial" w:eastAsia="Arial" w:hAnsi="Arial"/>
          <w:sz w:val="13"/>
          <w:szCs w:val="13"/>
          <w:color w:val="auto"/>
        </w:rPr>
        <w:t>Total non-interest expense less credit enhancement program expenses is a non-GAAP measure that illustrates the impact of credit enhancement program expenses on non-interest expense, the most directly comparable GAAP measure.</w:t>
      </w:r>
    </w:p>
    <w:p>
      <w:pPr>
        <w:spacing w:after="0" w:line="124" w:lineRule="exact"/>
        <w:rPr>
          <w:sz w:val="20"/>
          <w:szCs w:val="20"/>
          <w:color w:val="auto"/>
        </w:rPr>
      </w:pPr>
    </w:p>
    <w:p>
      <w:pPr>
        <w:ind w:left="8" w:right="220"/>
        <w:spacing w:after="0" w:line="312" w:lineRule="auto"/>
        <w:rPr>
          <w:sz w:val="20"/>
          <w:szCs w:val="20"/>
          <w:color w:val="auto"/>
        </w:rPr>
      </w:pPr>
      <w:r>
        <w:rPr>
          <w:rFonts w:ascii="Arial" w:cs="Arial" w:eastAsia="Arial" w:hAnsi="Arial"/>
          <w:sz w:val="13"/>
          <w:szCs w:val="13"/>
          <w:color w:val="auto"/>
        </w:rPr>
        <w:t>Total non-interest income less credit enhancement income is a non-GAAP measure to illustrate the impact of credit enhancement income resulting from credit enhanced loans on non-interest income:</w:t>
      </w:r>
    </w:p>
    <w:p>
      <w:pPr>
        <w:spacing w:after="0" w:line="223"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288"/>
          </w:cols>
          <w:pgMar w:left="292" w:top="566" w:right="3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38"/>
        </w:trPr>
        <w:tc>
          <w:tcPr>
            <w:tcW w:w="6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Three Months Ended</w:t>
            </w:r>
          </w:p>
        </w:tc>
        <w:tc>
          <w:tcPr>
            <w:tcW w:w="120" w:type="dxa"/>
            <w:vAlign w:val="bottom"/>
          </w:tcPr>
          <w:p>
            <w:pPr>
              <w:spacing w:after="0"/>
              <w:rPr>
                <w:sz w:val="12"/>
                <w:szCs w:val="12"/>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Three Months Ended</w:t>
            </w:r>
          </w:p>
        </w:tc>
        <w:tc>
          <w:tcPr>
            <w:tcW w:w="120" w:type="dxa"/>
            <w:vAlign w:val="bottom"/>
          </w:tcPr>
          <w:p>
            <w:pPr>
              <w:spacing w:after="0"/>
              <w:rPr>
                <w:sz w:val="12"/>
                <w:szCs w:val="12"/>
                <w:color w:val="auto"/>
              </w:rPr>
            </w:pPr>
          </w:p>
        </w:tc>
        <w:tc>
          <w:tcPr>
            <w:tcW w:w="1400" w:type="dxa"/>
            <w:vAlign w:val="bottom"/>
          </w:tcPr>
          <w:p>
            <w:pPr>
              <w:jc w:val="right"/>
              <w:ind w:right="100"/>
              <w:spacing w:after="0"/>
              <w:rPr>
                <w:sz w:val="20"/>
                <w:szCs w:val="20"/>
                <w:color w:val="auto"/>
              </w:rPr>
            </w:pPr>
            <w:r>
              <w:rPr>
                <w:rFonts w:ascii="Arial" w:cs="Arial" w:eastAsia="Arial" w:hAnsi="Arial"/>
                <w:sz w:val="12"/>
                <w:szCs w:val="12"/>
                <w:b w:val="1"/>
                <w:bCs w:val="1"/>
                <w:color w:val="auto"/>
              </w:rPr>
              <w:t>Three Months Ended</w:t>
            </w:r>
          </w:p>
        </w:tc>
      </w:tr>
      <w:tr>
        <w:trPr>
          <w:trHeight w:val="162"/>
        </w:trPr>
        <w:tc>
          <w:tcPr>
            <w:tcW w:w="6620" w:type="dxa"/>
            <w:vAlign w:val="bottom"/>
          </w:tcPr>
          <w:p>
            <w:pPr>
              <w:spacing w:after="0"/>
              <w:rPr>
                <w:sz w:val="20"/>
                <w:szCs w:val="20"/>
                <w:color w:val="auto"/>
              </w:rPr>
            </w:pPr>
            <w:r>
              <w:rPr>
                <w:rFonts w:ascii="Arial" w:cs="Arial" w:eastAsia="Arial" w:hAnsi="Arial"/>
                <w:sz w:val="11"/>
                <w:szCs w:val="11"/>
                <w:i w:val="1"/>
                <w:iCs w:val="1"/>
                <w:color w:val="auto"/>
              </w:rPr>
              <w:t>($ in thousands; unaudited)</w:t>
            </w:r>
          </w:p>
        </w:tc>
        <w:tc>
          <w:tcPr>
            <w:tcW w:w="12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September 30, 2026</w:t>
            </w:r>
          </w:p>
        </w:tc>
        <w:tc>
          <w:tcPr>
            <w:tcW w:w="120" w:type="dxa"/>
            <w:vAlign w:val="bottom"/>
          </w:tcPr>
          <w:p>
            <w:pPr>
              <w:spacing w:after="0"/>
              <w:rPr>
                <w:sz w:val="14"/>
                <w:szCs w:val="14"/>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June 30, 2026</w:t>
            </w:r>
          </w:p>
        </w:tc>
        <w:tc>
          <w:tcPr>
            <w:tcW w:w="120" w:type="dxa"/>
            <w:vAlign w:val="bottom"/>
          </w:tcPr>
          <w:p>
            <w:pPr>
              <w:spacing w:after="0"/>
              <w:rPr>
                <w:sz w:val="14"/>
                <w:szCs w:val="14"/>
                <w:color w:val="auto"/>
              </w:rPr>
            </w:pPr>
          </w:p>
        </w:tc>
        <w:tc>
          <w:tcPr>
            <w:tcW w:w="1400" w:type="dxa"/>
            <w:vAlign w:val="bottom"/>
          </w:tcPr>
          <w:p>
            <w:pPr>
              <w:jc w:val="right"/>
              <w:ind w:right="140"/>
              <w:spacing w:after="0"/>
              <w:rPr>
                <w:sz w:val="20"/>
                <w:szCs w:val="20"/>
                <w:color w:val="auto"/>
              </w:rPr>
            </w:pPr>
            <w:r>
              <w:rPr>
                <w:rFonts w:ascii="Arial" w:cs="Arial" w:eastAsia="Arial" w:hAnsi="Arial"/>
                <w:sz w:val="12"/>
                <w:szCs w:val="12"/>
                <w:b w:val="1"/>
                <w:bCs w:val="1"/>
                <w:color w:val="auto"/>
              </w:rPr>
              <w:t>September 30, 2025</w:t>
            </w:r>
          </w:p>
        </w:tc>
      </w:tr>
      <w:tr>
        <w:trPr>
          <w:trHeight w:val="142"/>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non-interest income from continuing operations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60,825</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23,122</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18,052</w:t>
            </w:r>
          </w:p>
        </w:tc>
      </w:tr>
      <w:tr>
        <w:trPr>
          <w:trHeight w:val="153"/>
        </w:trPr>
        <w:tc>
          <w:tcPr>
            <w:tcW w:w="66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Less: credit enhancement income</w:t>
            </w: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(45,392)</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(14,944)</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(8,762)</w:t>
            </w:r>
          </w:p>
        </w:tc>
      </w:tr>
      <w:tr>
        <w:trPr>
          <w:trHeight w:val="158"/>
        </w:trPr>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non-interest income less credit enhancement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15,433</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8,178</w:t>
            </w: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9,290</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non-GAAP measure is presented to illustrate the effect of the credit enhancement program that creates the credit enhancement on the allowance for credit losses: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420" w:type="dxa"/>
            <w:vAlign w:val="bottom"/>
          </w:tcPr>
          <w:p>
            <w:pPr>
              <w:spacing w:after="0"/>
              <w:rPr>
                <w:sz w:val="20"/>
                <w:szCs w:val="20"/>
                <w:color w:val="auto"/>
              </w:rPr>
            </w:pPr>
            <w:r>
              <w:rPr>
                <w:rFonts w:ascii="Arial" w:cs="Arial" w:eastAsia="Arial" w:hAnsi="Arial"/>
                <w:sz w:val="11"/>
                <w:szCs w:val="11"/>
                <w:i w:val="1"/>
                <w:iCs w:val="1"/>
                <w:color w:val="auto"/>
              </w:rPr>
              <w:t>($ in thousands; unaudited)</w:t>
            </w:r>
          </w:p>
        </w:tc>
        <w:tc>
          <w:tcPr>
            <w:tcW w:w="160" w:type="dxa"/>
            <w:vAlign w:val="bottom"/>
          </w:tcPr>
          <w:p>
            <w:pPr>
              <w:spacing w:after="0"/>
              <w:rPr>
                <w:sz w:val="13"/>
                <w:szCs w:val="13"/>
                <w:color w:val="auto"/>
              </w:rPr>
            </w:pPr>
          </w:p>
        </w:tc>
        <w:tc>
          <w:tcPr>
            <w:tcW w:w="1800" w:type="dxa"/>
            <w:vAlign w:val="bottom"/>
            <w:gridSpan w:val="2"/>
          </w:tcPr>
          <w:p>
            <w:pPr>
              <w:ind w:left="60"/>
              <w:spacing w:after="0"/>
              <w:rPr>
                <w:sz w:val="20"/>
                <w:szCs w:val="20"/>
                <w:color w:val="auto"/>
              </w:rPr>
            </w:pPr>
            <w:r>
              <w:rPr>
                <w:rFonts w:ascii="Arial" w:cs="Arial" w:eastAsia="Arial" w:hAnsi="Arial"/>
                <w:sz w:val="12"/>
                <w:szCs w:val="12"/>
                <w:b w:val="1"/>
                <w:bCs w:val="1"/>
                <w:color w:val="auto"/>
              </w:rPr>
              <w:t>As of September 30, 2026</w:t>
            </w:r>
          </w:p>
        </w:tc>
        <w:tc>
          <w:tcPr>
            <w:tcW w:w="240" w:type="dxa"/>
            <w:vAlign w:val="bottom"/>
          </w:tcPr>
          <w:p>
            <w:pPr>
              <w:spacing w:after="0"/>
              <w:rPr>
                <w:sz w:val="13"/>
                <w:szCs w:val="13"/>
                <w:color w:val="auto"/>
              </w:rPr>
            </w:pPr>
          </w:p>
        </w:tc>
        <w:tc>
          <w:tcPr>
            <w:tcW w:w="1720" w:type="dxa"/>
            <w:vAlign w:val="bottom"/>
            <w:gridSpan w:val="2"/>
          </w:tcPr>
          <w:p>
            <w:pPr>
              <w:ind w:left="160"/>
              <w:spacing w:after="0"/>
              <w:rPr>
                <w:sz w:val="20"/>
                <w:szCs w:val="20"/>
                <w:color w:val="auto"/>
              </w:rPr>
            </w:pPr>
            <w:r>
              <w:rPr>
                <w:rFonts w:ascii="Arial" w:cs="Arial" w:eastAsia="Arial" w:hAnsi="Arial"/>
                <w:sz w:val="12"/>
                <w:szCs w:val="12"/>
                <w:b w:val="1"/>
                <w:bCs w:val="1"/>
                <w:color w:val="auto"/>
              </w:rPr>
              <w:t>As of June 30, 2026</w:t>
            </w:r>
          </w:p>
        </w:tc>
        <w:tc>
          <w:tcPr>
            <w:tcW w:w="160" w:type="dxa"/>
            <w:vAlign w:val="bottom"/>
          </w:tcPr>
          <w:p>
            <w:pPr>
              <w:spacing w:after="0"/>
              <w:rPr>
                <w:sz w:val="13"/>
                <w:szCs w:val="13"/>
                <w:color w:val="auto"/>
              </w:rPr>
            </w:pPr>
          </w:p>
        </w:tc>
        <w:tc>
          <w:tcPr>
            <w:tcW w:w="1760" w:type="dxa"/>
            <w:vAlign w:val="bottom"/>
          </w:tcPr>
          <w:p>
            <w:pPr>
              <w:jc w:val="right"/>
              <w:ind w:right="180"/>
              <w:spacing w:after="0"/>
              <w:rPr>
                <w:sz w:val="20"/>
                <w:szCs w:val="20"/>
                <w:color w:val="auto"/>
              </w:rPr>
            </w:pPr>
            <w:r>
              <w:rPr>
                <w:rFonts w:ascii="Arial" w:cs="Arial" w:eastAsia="Arial" w:hAnsi="Arial"/>
                <w:sz w:val="12"/>
                <w:szCs w:val="12"/>
                <w:b w:val="1"/>
                <w:bCs w:val="1"/>
                <w:color w:val="auto"/>
              </w:rPr>
              <w:t>As of September 30, 2025</w:t>
            </w:r>
          </w:p>
        </w:tc>
        <w:tc>
          <w:tcPr>
            <w:tcW w:w="0" w:type="dxa"/>
            <w:vAlign w:val="bottom"/>
          </w:tcPr>
          <w:p>
            <w:pPr>
              <w:spacing w:after="0"/>
              <w:rPr>
                <w:sz w:val="1"/>
                <w:szCs w:val="1"/>
                <w:color w:val="auto"/>
              </w:rPr>
            </w:pPr>
          </w:p>
        </w:tc>
      </w:tr>
      <w:tr>
        <w:trPr>
          <w:trHeight w:val="142"/>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Allowance for credit losses</w:t>
            </w: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740" w:type="dxa"/>
            <w:vAlign w:val="bottom"/>
            <w:tcBorders>
              <w:top w:val="single" w:sz="8" w:color="auto"/>
            </w:tcBorders>
            <w:shd w:val="clear" w:color="auto" w:fill="CCEEFF"/>
          </w:tcPr>
          <w:p>
            <w:pPr>
              <w:jc w:val="center"/>
              <w:ind w:left="1220"/>
              <w:spacing w:after="0"/>
              <w:rPr>
                <w:sz w:val="20"/>
                <w:szCs w:val="20"/>
                <w:color w:val="auto"/>
              </w:rPr>
            </w:pPr>
            <w:r>
              <w:rPr>
                <w:rFonts w:ascii="Arial" w:cs="Arial" w:eastAsia="Arial" w:hAnsi="Arial"/>
                <w:sz w:val="12"/>
                <w:szCs w:val="12"/>
                <w:color w:val="auto"/>
              </w:rPr>
              <w:t>79,821</w:t>
            </w: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660" w:type="dxa"/>
            <w:vAlign w:val="bottom"/>
            <w:tcBorders>
              <w:top w:val="single" w:sz="8" w:color="auto"/>
            </w:tcBorders>
            <w:shd w:val="clear" w:color="auto" w:fill="CCEEFF"/>
          </w:tcPr>
          <w:p>
            <w:pPr>
              <w:jc w:val="center"/>
              <w:ind w:left="1160"/>
              <w:spacing w:after="0"/>
              <w:rPr>
                <w:sz w:val="20"/>
                <w:szCs w:val="20"/>
                <w:color w:val="auto"/>
              </w:rPr>
            </w:pPr>
            <w:r>
              <w:rPr>
                <w:rFonts w:ascii="Arial" w:cs="Arial" w:eastAsia="Arial" w:hAnsi="Arial"/>
                <w:sz w:val="12"/>
                <w:szCs w:val="12"/>
                <w:color w:val="auto"/>
                <w:w w:val="97"/>
              </w:rPr>
              <w:t>43,851</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25,778</w:t>
            </w:r>
          </w:p>
        </w:tc>
        <w:tc>
          <w:tcPr>
            <w:tcW w:w="0" w:type="dxa"/>
            <w:vAlign w:val="bottom"/>
          </w:tcPr>
          <w:p>
            <w:pPr>
              <w:spacing w:after="0"/>
              <w:rPr>
                <w:sz w:val="1"/>
                <w:szCs w:val="1"/>
                <w:color w:val="auto"/>
              </w:rPr>
            </w:pPr>
          </w:p>
        </w:tc>
      </w:tr>
      <w:tr>
        <w:trPr>
          <w:trHeight w:val="153"/>
        </w:trPr>
        <w:tc>
          <w:tcPr>
            <w:tcW w:w="54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Less: allowance for credit losses related to credit enhanced loans</w:t>
            </w:r>
          </w:p>
        </w:tc>
        <w:tc>
          <w:tcPr>
            <w:tcW w:w="1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center"/>
              <w:ind w:left="1200"/>
              <w:spacing w:after="0"/>
              <w:rPr>
                <w:sz w:val="20"/>
                <w:szCs w:val="20"/>
                <w:color w:val="auto"/>
              </w:rPr>
            </w:pPr>
            <w:r>
              <w:rPr>
                <w:rFonts w:ascii="Arial" w:cs="Arial" w:eastAsia="Arial" w:hAnsi="Arial"/>
                <w:sz w:val="12"/>
                <w:szCs w:val="12"/>
                <w:color w:val="auto"/>
                <w:w w:val="98"/>
              </w:rPr>
              <w:t>(64,247)</w:t>
            </w: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center"/>
              <w:ind w:left="1140"/>
              <w:spacing w:after="0"/>
              <w:rPr>
                <w:sz w:val="20"/>
                <w:szCs w:val="20"/>
                <w:color w:val="auto"/>
              </w:rPr>
            </w:pPr>
            <w:r>
              <w:rPr>
                <w:rFonts w:ascii="Arial" w:cs="Arial" w:eastAsia="Arial" w:hAnsi="Arial"/>
                <w:sz w:val="12"/>
                <w:szCs w:val="12"/>
                <w:color w:val="auto"/>
              </w:rPr>
              <w:t>(28,322)</w:t>
            </w: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(11,214)</w:t>
            </w:r>
          </w:p>
        </w:tc>
        <w:tc>
          <w:tcPr>
            <w:tcW w:w="0" w:type="dxa"/>
            <w:vAlign w:val="bottom"/>
          </w:tcPr>
          <w:p>
            <w:pPr>
              <w:spacing w:after="0"/>
              <w:rPr>
                <w:sz w:val="1"/>
                <w:szCs w:val="1"/>
                <w:color w:val="auto"/>
              </w:rPr>
            </w:pPr>
          </w:p>
        </w:tc>
      </w:tr>
      <w:tr>
        <w:trPr>
          <w:trHeight w:val="97"/>
        </w:trPr>
        <w:tc>
          <w:tcPr>
            <w:tcW w:w="5420" w:type="dxa"/>
            <w:vAlign w:val="bottom"/>
            <w:shd w:val="clear" w:color="auto" w:fill="CCEEFF"/>
          </w:tcPr>
          <w:p>
            <w:pPr>
              <w:spacing w:after="0" w:line="97" w:lineRule="exact"/>
              <w:rPr>
                <w:sz w:val="20"/>
                <w:szCs w:val="20"/>
                <w:color w:val="auto"/>
              </w:rPr>
            </w:pPr>
            <w:r>
              <w:rPr>
                <w:rFonts w:ascii="Arial" w:cs="Arial" w:eastAsia="Arial" w:hAnsi="Arial"/>
                <w:sz w:val="11"/>
                <w:szCs w:val="11"/>
                <w:color w:val="auto"/>
              </w:rPr>
              <w:t>Allowance for credit losses excluding the effect of the allowance for credit losses related to credit</w:t>
            </w:r>
          </w:p>
        </w:tc>
        <w:tc>
          <w:tcPr>
            <w:tcW w:w="160" w:type="dxa"/>
            <w:vAlign w:val="bottom"/>
            <w:vMerge w:val="restart"/>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740" w:type="dxa"/>
            <w:vAlign w:val="bottom"/>
            <w:vMerge w:val="restart"/>
            <w:shd w:val="clear" w:color="auto" w:fill="CCEEFF"/>
          </w:tcPr>
          <w:p>
            <w:pPr>
              <w:jc w:val="center"/>
              <w:ind w:left="1220"/>
              <w:spacing w:after="0"/>
              <w:rPr>
                <w:sz w:val="20"/>
                <w:szCs w:val="20"/>
                <w:color w:val="auto"/>
              </w:rPr>
            </w:pPr>
            <w:r>
              <w:rPr>
                <w:rFonts w:ascii="Arial" w:cs="Arial" w:eastAsia="Arial" w:hAnsi="Arial"/>
                <w:sz w:val="12"/>
                <w:szCs w:val="12"/>
                <w:color w:val="auto"/>
              </w:rPr>
              <w:t>15,574</w:t>
            </w:r>
          </w:p>
        </w:tc>
        <w:tc>
          <w:tcPr>
            <w:tcW w:w="60" w:type="dxa"/>
            <w:vAlign w:val="bottom"/>
            <w:shd w:val="clear" w:color="auto" w:fill="CCEEFF"/>
          </w:tcPr>
          <w:p>
            <w:pPr>
              <w:spacing w:after="0"/>
              <w:rPr>
                <w:sz w:val="8"/>
                <w:szCs w:val="8"/>
                <w:color w:val="auto"/>
              </w:rPr>
            </w:pPr>
          </w:p>
        </w:tc>
        <w:tc>
          <w:tcPr>
            <w:tcW w:w="24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660" w:type="dxa"/>
            <w:vAlign w:val="bottom"/>
            <w:vMerge w:val="restart"/>
            <w:shd w:val="clear" w:color="auto" w:fill="CCEEFF"/>
          </w:tcPr>
          <w:p>
            <w:pPr>
              <w:jc w:val="center"/>
              <w:ind w:left="1160"/>
              <w:spacing w:after="0"/>
              <w:rPr>
                <w:sz w:val="20"/>
                <w:szCs w:val="20"/>
                <w:color w:val="auto"/>
              </w:rPr>
            </w:pPr>
            <w:r>
              <w:rPr>
                <w:rFonts w:ascii="Arial" w:cs="Arial" w:eastAsia="Arial" w:hAnsi="Arial"/>
                <w:sz w:val="12"/>
                <w:szCs w:val="12"/>
                <w:color w:val="auto"/>
                <w:w w:val="97"/>
              </w:rPr>
              <w:t>15,529</w:t>
            </w:r>
          </w:p>
        </w:tc>
        <w:tc>
          <w:tcPr>
            <w:tcW w:w="60" w:type="dxa"/>
            <w:vAlign w:val="bottom"/>
            <w:shd w:val="clear" w:color="auto" w:fill="CCEEFF"/>
          </w:tcPr>
          <w:p>
            <w:pPr>
              <w:spacing w:after="0"/>
              <w:rPr>
                <w:sz w:val="8"/>
                <w:szCs w:val="8"/>
                <w:color w:val="auto"/>
              </w:rPr>
            </w:pPr>
          </w:p>
        </w:tc>
        <w:tc>
          <w:tcPr>
            <w:tcW w:w="160" w:type="dxa"/>
            <w:vAlign w:val="bottom"/>
            <w:vMerge w:val="restart"/>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14,564</w:t>
            </w:r>
          </w:p>
        </w:tc>
        <w:tc>
          <w:tcPr>
            <w:tcW w:w="0" w:type="dxa"/>
            <w:vAlign w:val="bottom"/>
          </w:tcPr>
          <w:p>
            <w:pPr>
              <w:spacing w:after="0"/>
              <w:rPr>
                <w:sz w:val="1"/>
                <w:szCs w:val="1"/>
                <w:color w:val="auto"/>
              </w:rPr>
            </w:pPr>
          </w:p>
        </w:tc>
      </w:tr>
      <w:tr>
        <w:trPr>
          <w:trHeight w:val="160"/>
        </w:trPr>
        <w:tc>
          <w:tcPr>
            <w:tcW w:w="5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enhanced loans</w:t>
            </w:r>
          </w:p>
        </w:tc>
        <w:tc>
          <w:tcPr>
            <w:tcW w:w="160" w:type="dxa"/>
            <w:vAlign w:val="bottom"/>
            <w:tcBorders>
              <w:bottom w:val="single" w:sz="8" w:color="auto"/>
            </w:tcBorders>
            <w:vMerge w:val="continue"/>
            <w:shd w:val="clear" w:color="auto" w:fill="CCEEFF"/>
          </w:tcPr>
          <w:p>
            <w:pPr>
              <w:spacing w:after="0"/>
              <w:rPr>
                <w:sz w:val="13"/>
                <w:szCs w:val="13"/>
                <w:color w:val="auto"/>
              </w:rPr>
            </w:pPr>
          </w:p>
        </w:tc>
        <w:tc>
          <w:tcPr>
            <w:tcW w:w="174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vMerge w:val="continue"/>
            <w:shd w:val="clear" w:color="auto" w:fill="CCEEFF"/>
          </w:tcPr>
          <w:p>
            <w:pPr>
              <w:spacing w:after="0"/>
              <w:rPr>
                <w:sz w:val="13"/>
                <w:szCs w:val="13"/>
                <w:color w:val="auto"/>
              </w:rPr>
            </w:pPr>
          </w:p>
        </w:tc>
        <w:tc>
          <w:tcPr>
            <w:tcW w:w="166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vMerge w:val="continue"/>
            <w:shd w:val="clear" w:color="auto" w:fill="CCEEFF"/>
          </w:tcPr>
          <w:p>
            <w:pPr>
              <w:spacing w:after="0"/>
              <w:rPr>
                <w:sz w:val="13"/>
                <w:szCs w:val="13"/>
                <w:color w:val="auto"/>
              </w:rPr>
            </w:pPr>
          </w:p>
        </w:tc>
        <w:tc>
          <w:tcPr>
            <w:tcW w:w="176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right="120"/>
        <w:spacing w:after="0" w:line="300" w:lineRule="auto"/>
        <w:rPr>
          <w:sz w:val="20"/>
          <w:szCs w:val="20"/>
          <w:color w:val="auto"/>
        </w:rPr>
      </w:pPr>
      <w:r>
        <w:rPr>
          <w:rFonts w:ascii="Arial" w:cs="Arial" w:eastAsia="Arial" w:hAnsi="Arial"/>
          <w:sz w:val="13"/>
          <w:szCs w:val="13"/>
          <w:color w:val="auto"/>
        </w:rPr>
        <w:t>The allowance for credit losses excluding the effect of the allowance for credit losses related to credit enhanced loans is a non-GAAP measure that reflects the effect of the credit enhancement program on the allowance for credit losses. The total outstanding balance of loans held-for-investment with credit enhancement as of September 30, 2026, June 30, 2026, and September 30, 2025 was approximately $146.2 million, $74.2 million, and $41.4 million, respectively.</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280"/>
          </w:cols>
          <w:pgMar w:left="300" w:top="569" w:right="319" w:bottom="1440"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3985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2026-10-28T15:29:49Z</dcterms:created>
  <dcterms:modified xsi:type="dcterms:W3CDTF">2026-10-28T15:29:49Z</dcterms:modified>
</cp:coreProperties>
</file>