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149225</wp:posOffset>
            </wp:positionV>
            <wp:extent cx="7149465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254000</wp:posOffset>
            </wp:positionV>
            <wp:extent cx="714946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8-K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Date of Report (Date of earliest event reported): June 21, 2022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-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8"/>
          <w:szCs w:val="38"/>
          <w:b w:val="1"/>
          <w:bCs w:val="1"/>
          <w:color w:val="auto"/>
        </w:rPr>
        <w:t>FINWISE BANCORP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(Exact name of registrant as specified in its charter)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tbl>
      <w:tblPr>
        <w:tblLayout w:type="fixed"/>
        <w:tblInd w:w="36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1"/>
        </w:trPr>
        <w:tc>
          <w:tcPr>
            <w:tcW w:w="29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  <w:w w:val="94"/>
              </w:rPr>
              <w:t>Utah</w:t>
            </w:r>
          </w:p>
        </w:tc>
        <w:tc>
          <w:tcPr>
            <w:tcW w:w="474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  <w:w w:val="98"/>
              </w:rPr>
              <w:t>001-40721</w:t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83-0356689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9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8"/>
              </w:rPr>
              <w:t>(State or other jurisdiction of incorporation or</w:t>
            </w:r>
          </w:p>
        </w:tc>
        <w:tc>
          <w:tcPr>
            <w:tcW w:w="474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8"/>
              </w:rPr>
              <w:t>(Commission file number)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8"/>
              </w:rPr>
              <w:t>(I.R.S. employer identification no.)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9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8"/>
              </w:rPr>
              <w:t>organization)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3"/>
        </w:trPr>
        <w:tc>
          <w:tcPr>
            <w:tcW w:w="2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  <w:w w:val="98"/>
              </w:rPr>
              <w:t>756 East Winchester St., Suite 100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jc w:val="right"/>
              <w:ind w:right="9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84107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  <w:w w:val="97"/>
              </w:rPr>
              <w:t>Murray, Utah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8"/>
              </w:rPr>
              <w:t>(Zip 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8"/>
              </w:rPr>
              <w:t>(Address of principal executive offices)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2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9"/>
              </w:rPr>
              <w:t xml:space="preserve">Registrant’s telephone number, including area code: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  <w:w w:val="99"/>
              </w:rPr>
              <w:t>(801) 501-7200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  <w:w w:val="97"/>
              </w:rPr>
              <w:t>Not Applicable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8"/>
              </w:rPr>
              <w:t>(Former Name or Former Address, if Changed Since Last Report)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360680</wp:posOffset>
            </wp:positionH>
            <wp:positionV relativeFrom="paragraph">
              <wp:posOffset>201295</wp:posOffset>
            </wp:positionV>
            <wp:extent cx="6428105" cy="15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10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285" w:hanging="285"/>
        <w:spacing w:after="0"/>
        <w:tabs>
          <w:tab w:leader="none" w:pos="28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Written communications pursuant to Rule 425 under the Securities Act (17 CFR 230.425)</w:t>
      </w:r>
    </w:p>
    <w:p>
      <w:pPr>
        <w:spacing w:after="0" w:line="21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5" w:hanging="285"/>
        <w:spacing w:after="0"/>
        <w:tabs>
          <w:tab w:leader="none" w:pos="28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Rule 14a-12 under the Exchange Act (17 CFR 240.14a-12)</w:t>
      </w:r>
    </w:p>
    <w:p>
      <w:pPr>
        <w:spacing w:after="0" w:line="21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5" w:hanging="285"/>
        <w:spacing w:after="0"/>
        <w:tabs>
          <w:tab w:leader="none" w:pos="28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Pre-commencement communications pursuant to Rule 14d-2(b) under the Exchange Act (17 CFR 240.14d-2(b))</w:t>
      </w:r>
    </w:p>
    <w:p>
      <w:pPr>
        <w:spacing w:after="0" w:line="21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85" w:hanging="285"/>
        <w:spacing w:after="0"/>
        <w:tabs>
          <w:tab w:leader="none" w:pos="285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Pre-commencement communications pursuant to Rule 13e-4(c) under the Exchange Act (17 CFR 240.13e-4(c))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5" w:right="240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Indicate by check mark whether the registrant is an emerging growth company as defined in Rule 405 of the Securities Act of 1933 (§230.405 of this chapter) or Rule 12b-2 of the Securities Exchange Act of 1934 (§240.12b-2 of this chapter).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  <w:gridSpan w:val="2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Emerging growth company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9"/>
                <w:szCs w:val="19"/>
                <w:color w:val="auto"/>
                <w:w w:val="73"/>
              </w:rPr>
              <w:t>☒</w:t>
            </w:r>
          </w:p>
        </w:tc>
      </w:tr>
      <w:tr>
        <w:trPr>
          <w:trHeight w:val="331"/>
        </w:trPr>
        <w:tc>
          <w:tcPr>
            <w:tcW w:w="11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8"/>
              </w:rPr>
              <w:t>If an emerging growth company, indicate by check mark if the registrant has elected not to use the extended transition period for complying with any new or revised financial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5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accounting standards provided pursuant to Section 13(a) of the Exchange Act.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89"/>
        </w:trPr>
        <w:tc>
          <w:tcPr>
            <w:tcW w:w="45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Securities registered pursuant to Section 12(b) of the Act: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Title of each class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Trading Symbol(s)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40" w:type="dxa"/>
            <w:vAlign w:val="bottom"/>
            <w:gridSpan w:val="2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Name of exchange on which registered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14"/>
        </w:trPr>
        <w:tc>
          <w:tcPr>
            <w:tcW w:w="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Common Stock, par value $0.001 per share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FINW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The NASDAQ Stock Market LLC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65"/>
          </w:cols>
          <w:pgMar w:left="315" w:top="672" w:right="319" w:bottom="144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Item 7.01</w:t>
            </w:r>
          </w:p>
        </w:tc>
        <w:tc>
          <w:tcPr>
            <w:tcW w:w="10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Regulation FD Disclosure.</w:t>
            </w:r>
          </w:p>
        </w:tc>
      </w:tr>
      <w:tr>
        <w:trPr>
          <w:trHeight w:val="385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8"/>
              </w:rPr>
              <w:t>FinWise Bancorp has prepared materials for investors and other business information. A copy of the materials is furnished as Exhibit 99.1 to this Current Report</w:t>
            </w:r>
          </w:p>
        </w:tc>
      </w:tr>
      <w:tr>
        <w:trPr>
          <w:trHeight w:val="18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on Form 8-K and is incorporated herein by reference. The information set forth under “Item 7.01 Regulation FD Disclosure,” including Exhibit 99.1 attached</w:t>
            </w:r>
          </w:p>
        </w:tc>
      </w:tr>
      <w:tr>
        <w:trPr>
          <w:trHeight w:val="18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8"/>
              </w:rPr>
              <w:t>hereto, shall not be deemed “filed” for purposes of Section 18 of the Securities Act of 1934, as amended, nor shall such information be deemed incorporated by</w:t>
            </w:r>
          </w:p>
        </w:tc>
      </w:tr>
      <w:tr>
        <w:trPr>
          <w:trHeight w:val="206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reference in any filing under the Securities Act of 1933, as amended, except as shall be expressly set forth by specific reference in such filing.</w:t>
            </w:r>
          </w:p>
        </w:tc>
      </w:tr>
      <w:tr>
        <w:trPr>
          <w:trHeight w:val="402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Item 9.01</w:t>
            </w:r>
          </w:p>
        </w:tc>
        <w:tc>
          <w:tcPr>
            <w:tcW w:w="10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Financial Statements and Exhibits.</w:t>
            </w:r>
          </w:p>
        </w:tc>
      </w:tr>
      <w:tr>
        <w:trPr>
          <w:trHeight w:val="402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(d) Exhibits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66"/>
        </w:trPr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96"/>
              </w:rPr>
              <w:t>Exhibit No.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Description</w:t>
            </w: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2"/>
        </w:trPr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u w:val="single" w:color="auto"/>
                <w:color w:val="0000EE"/>
              </w:rPr>
              <w:t>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Investor Presentation of FinWise Bancorp (furnished pursuant to Regulation FD).</w:t>
            </w:r>
          </w:p>
        </w:tc>
      </w:tr>
      <w:tr>
        <w:trPr>
          <w:trHeight w:val="418"/>
        </w:trPr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Cover Page Interactive Data File (embedded within the Inline XBRL document).</w:t>
            </w:r>
          </w:p>
        </w:tc>
      </w:tr>
      <w:tr>
        <w:trPr>
          <w:trHeight w:val="370"/>
        </w:trPr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60"/>
          </w:cols>
          <w:pgMar w:left="320" w:top="121" w:right="31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SIGNATURE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852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Pursuant to the requirements of the Securities Exchange Act of 1934, FinWise Bancorp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DATE: June 21, 2022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FINWISE BANCORP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/s/ Javvis Jacobson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3931920</wp:posOffset>
            </wp:positionH>
            <wp:positionV relativeFrom="paragraph">
              <wp:posOffset>21590</wp:posOffset>
            </wp:positionV>
            <wp:extent cx="3214370" cy="15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7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Name: Javvis Jacobson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Title: Chief Financial Officer and Executive Vice 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333375</wp:posOffset>
            </wp:positionV>
            <wp:extent cx="7149465" cy="15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20"/>
          </w:cols>
          <w:pgMar w:left="320" w:top="121" w:right="659" w:bottom="1440" w:gutter="0" w:footer="0" w:header="0"/>
        </w:sectPr>
      </w:pPr>
    </w:p>
    <w:bookmarkStart w:id="3" w:name="page4"/>
    <w:bookmarkEnd w:id="3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149465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156210</wp:posOffset>
            </wp:positionV>
            <wp:extent cx="7204075" cy="56622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254" w:right="31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921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9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99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99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5735955</wp:posOffset>
            </wp:positionV>
            <wp:extent cx="7149465" cy="152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66229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66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88900</wp:posOffset>
            </wp:positionV>
            <wp:extent cx="7204075" cy="548957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548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2022-06-21T15:37:25Z</dcterms:created>
  <dcterms:modified xsi:type="dcterms:W3CDTF">2022-06-21T15:37:25Z</dcterms:modified>
</cp:coreProperties>
</file>