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132715</wp:posOffset>
            </wp:positionV>
            <wp:extent cx="12858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161290</wp:posOffset>
            </wp:positionV>
            <wp:extent cx="12858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80" w:right="1780" w:hanging="3872"/>
        <w:spacing w:after="0" w:line="493" w:lineRule="auto"/>
        <w:tabs>
          <w:tab w:leader="none" w:pos="31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580"/>
        <w:spacing w:after="0"/>
        <w:tabs>
          <w:tab w:leader="none" w:pos="674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3804920</wp:posOffset>
            </wp:positionH>
            <wp:positionV relativeFrom="paragraph">
              <wp:posOffset>-7620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001-40721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154305</wp:posOffset>
            </wp:positionV>
            <wp:extent cx="12858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FINWISE BANCORP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141605</wp:posOffset>
            </wp:positionV>
            <wp:extent cx="12858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7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4"/>
              </w:rPr>
              <w:t>Utah</w:t>
            </w:r>
          </w:p>
        </w:tc>
        <w:tc>
          <w:tcPr>
            <w:tcW w:w="3120" w:type="dxa"/>
            <w:vAlign w:val="bottom"/>
          </w:tcPr>
          <w:p>
            <w:pPr>
              <w:jc w:val="right"/>
              <w:ind w:right="190"/>
              <w:spacing w:after="0"/>
              <w:rPr>
                <w:sz w:val="20"/>
                <w:szCs w:val="20"/>
                <w:color w:val="auto"/>
              </w:rPr>
            </w:pPr>
            <w:r>
              <w:rPr>
                <w:rFonts w:ascii="Arial" w:cs="Arial" w:eastAsia="Arial" w:hAnsi="Arial"/>
                <w:sz w:val="18"/>
                <w:szCs w:val="18"/>
                <w:b w:val="1"/>
                <w:bCs w:val="1"/>
                <w:color w:val="auto"/>
              </w:rPr>
              <w:t>83-0356689</w:t>
            </w:r>
          </w:p>
        </w:tc>
      </w:t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(State or other jurisdiction of</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4"/>
              </w:rPr>
              <w:t>(I.R.S. Employer</w:t>
            </w:r>
          </w:p>
        </w:tc>
      </w:t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incorporation or organization)</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3"/>
              </w:rPr>
              <w:t>Identification No.)</w:t>
            </w:r>
          </w:p>
        </w:tc>
      </w:t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89"/>
              </w:rPr>
              <w:t>756 East Winchester, Suite 100</w:t>
            </w:r>
          </w:p>
        </w:tc>
        <w:tc>
          <w:tcPr>
            <w:tcW w:w="3120" w:type="dxa"/>
            <w:vAlign w:val="bottom"/>
          </w:tcPr>
          <w:p>
            <w:pPr>
              <w:spacing w:after="0"/>
              <w:rPr>
                <w:sz w:val="18"/>
                <w:szCs w:val="18"/>
                <w:color w:val="auto"/>
              </w:rPr>
            </w:pPr>
          </w:p>
        </w:tc>
      </w:tr>
      <w:tr>
        <w:trPr>
          <w:trHeight w:val="216"/>
        </w:trPr>
        <w:tc>
          <w:tcPr>
            <w:tcW w:w="47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8"/>
              </w:rPr>
              <w:t>Murray, Utah</w:t>
            </w:r>
          </w:p>
        </w:tc>
        <w:tc>
          <w:tcPr>
            <w:tcW w:w="3120" w:type="dxa"/>
            <w:vAlign w:val="bottom"/>
          </w:tcPr>
          <w:p>
            <w:pPr>
              <w:jc w:val="right"/>
              <w:ind w:right="390"/>
              <w:spacing w:after="0"/>
              <w:rPr>
                <w:sz w:val="20"/>
                <w:szCs w:val="20"/>
                <w:color w:val="auto"/>
              </w:rPr>
            </w:pPr>
            <w:r>
              <w:rPr>
                <w:rFonts w:ascii="Arial" w:cs="Arial" w:eastAsia="Arial" w:hAnsi="Arial"/>
                <w:sz w:val="18"/>
                <w:szCs w:val="18"/>
                <w:b w:val="1"/>
                <w:bCs w:val="1"/>
                <w:color w:val="auto"/>
              </w:rPr>
              <w:t>84107</w:t>
            </w:r>
          </w:p>
        </w:tc>
      </w:tr>
      <w:tr>
        <w:trPr>
          <w:trHeight w:val="234"/>
        </w:trPr>
        <w:tc>
          <w:tcPr>
            <w:tcW w:w="4700" w:type="dxa"/>
            <w:vAlign w:val="bottom"/>
          </w:tcPr>
          <w:p>
            <w:pPr>
              <w:jc w:val="center"/>
              <w:ind w:right="1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(801) 501-7200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154305</wp:posOffset>
            </wp:positionV>
            <wp:extent cx="12858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3"/>
          </w:tcPr>
          <w:p>
            <w:pPr>
              <w:ind w:left="52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60" w:type="dxa"/>
            <w:vAlign w:val="bottom"/>
          </w:tcPr>
          <w:p>
            <w:pPr>
              <w:spacing w:after="0"/>
              <w:rPr>
                <w:sz w:val="20"/>
                <w:szCs w:val="20"/>
                <w:color w:val="auto"/>
              </w:rPr>
            </w:pPr>
          </w:p>
        </w:tc>
      </w:tr>
      <w:tr>
        <w:trPr>
          <w:trHeight w:val="414"/>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Trading</w:t>
            </w:r>
          </w:p>
        </w:tc>
        <w:tc>
          <w:tcPr>
            <w:tcW w:w="5060" w:type="dxa"/>
            <w:vAlign w:val="bottom"/>
          </w:tcPr>
          <w:p>
            <w:pPr>
              <w:spacing w:after="0"/>
              <w:rPr>
                <w:sz w:val="24"/>
                <w:szCs w:val="24"/>
                <w:color w:val="auto"/>
              </w:rPr>
            </w:pPr>
          </w:p>
        </w:tc>
      </w:tr>
      <w:tr>
        <w:trPr>
          <w:trHeight w:val="241"/>
        </w:trPr>
        <w:tc>
          <w:tcPr>
            <w:tcW w:w="47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Title of each class</w:t>
            </w: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Symbol(s)</w:t>
            </w: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rPr>
              <w:t>FINW</w:t>
            </w:r>
          </w:p>
        </w:tc>
        <w:tc>
          <w:tcPr>
            <w:tcW w:w="120" w:type="dxa"/>
            <w:vAlign w:val="bottom"/>
          </w:tcPr>
          <w:p>
            <w:pPr>
              <w:spacing w:after="0"/>
              <w:rPr>
                <w:sz w:val="20"/>
                <w:szCs w:val="20"/>
                <w:color w:val="auto"/>
              </w:rPr>
            </w:pPr>
          </w:p>
        </w:tc>
        <w:tc>
          <w:tcPr>
            <w:tcW w:w="5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firstLine="51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6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20"/>
        <w:spacing w:after="0" w:line="207" w:lineRule="exact"/>
        <w:tabs>
          <w:tab w:leader="none" w:pos="8900" w:val="left"/>
          <w:tab w:leader="none" w:pos="9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520"/>
        <w:spacing w:after="0"/>
        <w:rPr>
          <w:sz w:val="20"/>
          <w:szCs w:val="20"/>
          <w:color w:val="auto"/>
        </w:rPr>
      </w:pPr>
      <w:r>
        <w:rPr>
          <w:rFonts w:ascii="Arial" w:cs="Arial" w:eastAsia="Arial" w:hAnsi="Arial"/>
          <w:sz w:val="18"/>
          <w:szCs w:val="18"/>
          <w:color w:val="auto"/>
        </w:rPr>
        <w:t>As of August 15, 2022, the registrant had 12,884,821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14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4"/>
          </w:tcPr>
          <w:p>
            <w:pPr>
              <w:ind w:left="8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gridSpan w:val="2"/>
            <w:vMerge w:val="restart"/>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FINANCIAL INFORMATION</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Financial Statements (Unaudited)</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gridSpan w:val="18"/>
          </w:tcPr>
          <w:p>
            <w:pPr>
              <w:ind w:left="80"/>
              <w:spacing w:after="0" w:line="176" w:lineRule="exact"/>
              <w:rPr>
                <w:sz w:val="20"/>
                <w:szCs w:val="20"/>
                <w:color w:val="auto"/>
              </w:rPr>
            </w:pPr>
            <w:r>
              <w:rPr>
                <w:rFonts w:ascii="Arial" w:cs="Arial" w:eastAsia="Arial" w:hAnsi="Arial"/>
                <w:sz w:val="18"/>
                <w:szCs w:val="18"/>
                <w:color w:val="0000EE"/>
              </w:rPr>
              <w:t>Consolidated Balance Sheets</w:t>
            </w: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Consolidated Statements of Income</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gridSpan w:val="18"/>
          </w:tcPr>
          <w:p>
            <w:pPr>
              <w:ind w:left="80"/>
              <w:spacing w:after="0" w:line="176" w:lineRule="exact"/>
              <w:rPr>
                <w:sz w:val="20"/>
                <w:szCs w:val="20"/>
                <w:color w:val="auto"/>
              </w:rPr>
            </w:pPr>
            <w:r>
              <w:rPr>
                <w:rFonts w:ascii="Arial" w:cs="Arial" w:eastAsia="Arial" w:hAnsi="Arial"/>
                <w:sz w:val="18"/>
                <w:szCs w:val="18"/>
                <w:color w:val="0000EE"/>
              </w:rPr>
              <w:t>Consolidated Statement of Changes in Stockholders’ Equity</w:t>
            </w: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Consolidated Statements of Cash Flows</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gridSpan w:val="18"/>
          </w:tcPr>
          <w:p>
            <w:pPr>
              <w:ind w:left="80"/>
              <w:spacing w:after="0" w:line="176" w:lineRule="exact"/>
              <w:rPr>
                <w:sz w:val="20"/>
                <w:szCs w:val="20"/>
                <w:color w:val="auto"/>
              </w:rPr>
            </w:pPr>
            <w:r>
              <w:rPr>
                <w:rFonts w:ascii="Arial" w:cs="Arial" w:eastAsia="Arial" w:hAnsi="Arial"/>
                <w:sz w:val="18"/>
                <w:szCs w:val="18"/>
                <w:color w:val="0000EE"/>
              </w:rPr>
              <w:t>Notes to Unaudited Consolidated Financial Statements</w:t>
            </w: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9840" w:type="dxa"/>
            <w:vAlign w:val="bottom"/>
            <w:gridSpan w:val="18"/>
          </w:tcPr>
          <w:p>
            <w:pPr>
              <w:ind w:left="8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Controls and Procedures</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OTHER INFORMATION</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Legal Proceedings</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9840" w:type="dxa"/>
            <w:vAlign w:val="bottom"/>
            <w:gridSpan w:val="18"/>
          </w:tcPr>
          <w:p>
            <w:pPr>
              <w:ind w:left="80"/>
              <w:spacing w:after="0" w:line="176" w:lineRule="exact"/>
              <w:rPr>
                <w:sz w:val="20"/>
                <w:szCs w:val="20"/>
                <w:color w:val="auto"/>
              </w:rPr>
            </w:pPr>
            <w:r>
              <w:rPr>
                <w:rFonts w:ascii="Arial" w:cs="Arial" w:eastAsia="Arial" w:hAnsi="Arial"/>
                <w:sz w:val="18"/>
                <w:szCs w:val="18"/>
                <w:color w:val="0000EE"/>
              </w:rPr>
              <w:t>Risk Factors</w:t>
            </w: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9840" w:type="dxa"/>
            <w:vAlign w:val="bottom"/>
            <w:gridSpan w:val="18"/>
          </w:tcPr>
          <w:p>
            <w:pPr>
              <w:ind w:left="80"/>
              <w:spacing w:after="0" w:line="176" w:lineRule="exact"/>
              <w:rPr>
                <w:sz w:val="20"/>
                <w:szCs w:val="20"/>
                <w:color w:val="auto"/>
              </w:rPr>
            </w:pPr>
            <w:r>
              <w:rPr>
                <w:rFonts w:ascii="Arial" w:cs="Arial" w:eastAsia="Arial" w:hAnsi="Arial"/>
                <w:sz w:val="18"/>
                <w:szCs w:val="18"/>
                <w:color w:val="0000EE"/>
              </w:rPr>
              <w:t>Defaults Upon Senior Securities</w:t>
            </w: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Mine Safety Disclosures</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Arial" w:cs="Arial" w:eastAsia="Arial" w:hAnsi="Arial"/>
                <w:sz w:val="18"/>
                <w:szCs w:val="18"/>
                <w:color w:val="auto"/>
              </w:rPr>
              <w:t>Item 5.</w:t>
            </w:r>
          </w:p>
        </w:tc>
        <w:tc>
          <w:tcPr>
            <w:tcW w:w="9840" w:type="dxa"/>
            <w:vAlign w:val="bottom"/>
            <w:gridSpan w:val="18"/>
          </w:tcPr>
          <w:p>
            <w:pPr>
              <w:ind w:left="80"/>
              <w:spacing w:after="0" w:line="176" w:lineRule="exact"/>
              <w:rPr>
                <w:sz w:val="20"/>
                <w:szCs w:val="20"/>
                <w:color w:val="auto"/>
              </w:rPr>
            </w:pPr>
            <w:r>
              <w:rPr>
                <w:rFonts w:ascii="Arial" w:cs="Arial" w:eastAsia="Arial" w:hAnsi="Arial"/>
                <w:sz w:val="18"/>
                <w:szCs w:val="18"/>
                <w:color w:val="0000EE"/>
              </w:rPr>
              <w:t>Other Information</w:t>
            </w: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840" w:type="dxa"/>
            <w:vAlign w:val="bottom"/>
            <w:gridSpan w:val="18"/>
            <w:shd w:val="clear" w:color="auto" w:fill="CCEEFF"/>
          </w:tcPr>
          <w:p>
            <w:pPr>
              <w:ind w:left="80"/>
              <w:spacing w:after="0" w:line="176" w:lineRule="exact"/>
              <w:rPr>
                <w:sz w:val="20"/>
                <w:szCs w:val="20"/>
                <w:color w:val="auto"/>
              </w:rPr>
            </w:pPr>
            <w:r>
              <w:rPr>
                <w:rFonts w:ascii="Arial" w:cs="Arial" w:eastAsia="Arial" w:hAnsi="Arial"/>
                <w:sz w:val="18"/>
                <w:szCs w:val="18"/>
                <w:color w:val="0000EE"/>
              </w:rPr>
              <w:t>Exhibits</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0000EE"/>
                <w:w w:val="95"/>
              </w:rPr>
              <w:t>Signatures</w:t>
            </w:r>
          </w:p>
        </w:tc>
        <w:tc>
          <w:tcPr>
            <w:tcW w:w="8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33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5"/>
        </w:trPr>
        <w:tc>
          <w:tcPr>
            <w:tcW w:w="7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520" w:type="dxa"/>
            <w:vAlign w:val="bottom"/>
            <w:gridSpan w:val="17"/>
          </w:tcPr>
          <w:p>
            <w:pPr>
              <w:ind w:left="4740"/>
              <w:spacing w:after="0"/>
              <w:rPr>
                <w:sz w:val="20"/>
                <w:szCs w:val="20"/>
                <w:color w:val="auto"/>
              </w:rPr>
            </w:pPr>
            <w:r>
              <w:rPr>
                <w:rFonts w:ascii="Arial" w:cs="Arial" w:eastAsia="Arial" w:hAnsi="Arial"/>
                <w:sz w:val="14"/>
                <w:szCs w:val="14"/>
                <w:color w:val="auto"/>
              </w:rPr>
              <w:t>2</w:t>
            </w:r>
          </w:p>
        </w:tc>
        <w:tc>
          <w:tcPr>
            <w:tcW w:w="3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(this “Report”) contains forward-looking statements made pursuant to the safe harbor provisions of the Private Securities Litigation Reform Act of 1995. These forward-looking statements reflect the Company’s current views with respect to, among other things, future events and its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factors, among others, could cause our financial performance to differ materially from that expressed in such forward-looking statements, including, but not limited to, the following:</w:t>
      </w:r>
    </w:p>
    <w:p>
      <w:pPr>
        <w:spacing w:after="0" w:line="170" w:lineRule="exact"/>
        <w:rPr>
          <w:sz w:val="20"/>
          <w:szCs w:val="20"/>
          <w:color w:val="auto"/>
        </w:rPr>
      </w:pPr>
    </w:p>
    <w:p>
      <w:pPr>
        <w:jc w:val="both"/>
        <w:ind w:left="500" w:hanging="492"/>
        <w:spacing w:after="0" w:line="263"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relating to the Covid-19 pandemic, including the severity and duration of the associated economic slowdown either nationally or in our market areas, and the response of governmental authorities to the Covid-19 pandemic and our participation in Covid-19-related government programs such as the Paycheck Protection Program (“PPP”);</w:t>
      </w:r>
    </w:p>
    <w:p>
      <w:pPr>
        <w:spacing w:after="0" w:line="183"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system failure or cybersecurity breaches of our network security;</w:t>
      </w:r>
    </w:p>
    <w:p>
      <w:pPr>
        <w:spacing w:after="0" w:line="225"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the financial technology industry, the development and acceptance of which is subject to a high degree of uncertainty, as well as the continued evolution of the regulation of this industry;</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changes in the industry or implement new technology effectively;</w:t>
      </w:r>
    </w:p>
    <w:p>
      <w:pPr>
        <w:spacing w:after="0" w:line="225"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service providers for core systems support, informational website hosting, internet services, online account opening and other processing services;</w:t>
      </w:r>
    </w:p>
    <w:p>
      <w:pPr>
        <w:spacing w:after="0" w:line="170"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conditions, either nationally or in our market areas (including interest rate environment, government economic and monetary policies, the strength of global financial markets and inflation and deflation), that impact the financial services industry and/or our business;</w:t>
      </w:r>
    </w:p>
    <w:p>
      <w:pPr>
        <w:spacing w:after="0" w:line="146"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 and other companies that offer banking services;</w:t>
      </w:r>
    </w:p>
    <w:p>
      <w:pPr>
        <w:spacing w:after="0" w:line="170"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measure and manage our credit risk effectively and the potential deterioration of the business and economic conditions in our primary market areas;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risk management framework;</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allowance for loan losses (“ALL”);</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lines of business or new products and services;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Small Business Administration (“SBA”) rules, regulations and loan products, including specifically the Section 7(a) program, changes in SBA standard operating procedures or changes to the status of the Bank as an SBA Preferred Lender;</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increases in our levels of nonperforming assets;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losses from loan defaults and nonperformance on loans;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the risks we face with respect to claims and litigation initiated against us;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small- and medium-sized businesses to whom we lend to weather adverse business conditions and repay loans;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aspects of our growth strategy and to sustain our historic rate of growth;</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originate, sell and retain loans, including through our Strategic Programs;</w:t>
      </w:r>
    </w:p>
    <w:p>
      <w:pPr>
        <w:sectPr>
          <w:pgSz w:w="11900" w:h="16838" w:orient="portrait"/>
          <w:cols w:equalWidth="0" w:num="1">
            <w:col w:w="11240"/>
          </w:cols>
          <w:pgMar w:left="320" w:top="121" w:right="339" w:bottom="1007"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07"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383"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concentration of our lending and depositor relationships through Strategic Programs in the financial technology industry generally;</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additional merchants and retain and grow our existing merchant relationships;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interest rates, and the impact to our earnings from changes in interest rates;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internal control over financial reporting and our ability to remediate any future material weakness in our internal control over financial reporting;</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 and other disruptions in our computer systems relating to our development and use of new technology platforms;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our management team and changes in management composition;</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sufficiency of our capital, including sources of capital and the extent to which we may be required to raise additional capital to meet our goals;</w:t>
      </w:r>
    </w:p>
    <w:p>
      <w:pPr>
        <w:spacing w:after="0" w:line="248"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laws and regulations, supervisory actions, the Dodd-Frank Act, capital requirements, the Bank Secrecy Act, anti-money laundering laws, predatory lending laws, and other statutes and regulations;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application of interest rate caps or maximums;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 strong core deposit base or other low-cost funding sources;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 or to write-down assets;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Strategic Program service providers to comply with regulatory regimes, including laws and regulations applicable to consumer credit transactions, and our ability to adequately oversee and monitor our Strategic Program service providers;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grow our relationships with our Strategic Program service providers;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pandemics, an outbreak of hostilities or other international or domestic calamities, and other matters beyond our control;</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requirements associated with being a public company;</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of coverage of our business by securities analysts;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equity and debt issuances; and</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listed from time to time in the Company’s filings with the Securities and Exchange Commission (the “SEC”), including, without limitation, this Report, the Company’s Annual Report on Form 10-K for the year ended December 31, 2021 (the “2021 Form 10-K”) and subsequent reports on Form 10-Q and Form 8-K.</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 speaks only as of the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ectPr>
          <w:pgSz w:w="11900" w:h="16838" w:orient="portrait"/>
          <w:cols w:equalWidth="0" w:num="1">
            <w:col w:w="11240"/>
          </w:cols>
          <w:pgMar w:left="320" w:top="122" w:right="3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0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7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7880" w:type="dxa"/>
            <w:vAlign w:val="bottom"/>
          </w:tcPr>
          <w:p>
            <w:pPr>
              <w:jc w:val="center"/>
              <w:ind w:left="1690"/>
              <w:spacing w:after="0"/>
              <w:rPr>
                <w:sz w:val="20"/>
                <w:szCs w:val="20"/>
                <w:color w:val="auto"/>
              </w:rPr>
            </w:pPr>
            <w:r>
              <w:rPr>
                <w:rFonts w:ascii="Arial" w:cs="Arial" w:eastAsia="Arial" w:hAnsi="Arial"/>
                <w:sz w:val="18"/>
                <w:szCs w:val="18"/>
                <w:b w:val="1"/>
                <w:bCs w:val="1"/>
                <w:color w:val="auto"/>
                <w:w w:val="98"/>
              </w:rPr>
              <w:t>PART I</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80" w:type="dxa"/>
            <w:vAlign w:val="bottom"/>
          </w:tcPr>
          <w:p>
            <w:pPr>
              <w:jc w:val="center"/>
              <w:ind w:left="1690"/>
              <w:spacing w:after="0"/>
              <w:rPr>
                <w:sz w:val="20"/>
                <w:szCs w:val="20"/>
                <w:color w:val="auto"/>
              </w:rPr>
            </w:pPr>
            <w:r>
              <w:rPr>
                <w:rFonts w:ascii="Arial" w:cs="Arial" w:eastAsia="Arial" w:hAnsi="Arial"/>
                <w:sz w:val="18"/>
                <w:szCs w:val="18"/>
                <w:b w:val="1"/>
                <w:bCs w:val="1"/>
                <w:color w:val="auto"/>
                <w:w w:val="91"/>
              </w:rPr>
              <w:t>FinWise Bancorp</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80" w:type="dxa"/>
            <w:vAlign w:val="bottom"/>
          </w:tcPr>
          <w:p>
            <w:pPr>
              <w:jc w:val="center"/>
              <w:ind w:left="169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80" w:type="dxa"/>
            <w:vAlign w:val="bottom"/>
          </w:tcPr>
          <w:p>
            <w:pPr>
              <w:jc w:val="center"/>
              <w:ind w:left="1690"/>
              <w:spacing w:after="0"/>
              <w:rPr>
                <w:sz w:val="20"/>
                <w:szCs w:val="20"/>
                <w:color w:val="auto"/>
              </w:rPr>
            </w:pPr>
            <w:r>
              <w:rPr>
                <w:rFonts w:ascii="Arial" w:cs="Arial" w:eastAsia="Arial" w:hAnsi="Arial"/>
                <w:sz w:val="18"/>
                <w:szCs w:val="18"/>
                <w:b w:val="1"/>
                <w:bCs w:val="1"/>
                <w:color w:val="auto"/>
                <w:w w:val="88"/>
              </w:rPr>
              <w:t>(in thousands, except share and par value amounts)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02"/>
        </w:trPr>
        <w:tc>
          <w:tcPr>
            <w:tcW w:w="8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7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due from banks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r>
      <w:tr>
        <w:trPr>
          <w:trHeight w:val="223"/>
        </w:trPr>
        <w:tc>
          <w:tcPr>
            <w:tcW w:w="320" w:type="dxa"/>
            <w:vAlign w:val="bottom"/>
          </w:tcPr>
          <w:p>
            <w:pPr>
              <w:spacing w:after="0"/>
              <w:rPr>
                <w:sz w:val="19"/>
                <w:szCs w:val="19"/>
                <w:color w:val="auto"/>
              </w:rPr>
            </w:pPr>
          </w:p>
        </w:tc>
        <w:tc>
          <w:tcPr>
            <w:tcW w:w="8360" w:type="dxa"/>
            <w:vAlign w:val="bottom"/>
            <w:gridSpan w:val="2"/>
          </w:tcPr>
          <w:p>
            <w:pPr>
              <w:ind w:left="20"/>
              <w:spacing w:after="0"/>
              <w:rPr>
                <w:sz w:val="20"/>
                <w:szCs w:val="20"/>
                <w:color w:val="auto"/>
              </w:rPr>
            </w:pPr>
            <w:r>
              <w:rPr>
                <w:rFonts w:ascii="Arial" w:cs="Arial" w:eastAsia="Arial" w:hAnsi="Arial"/>
                <w:sz w:val="18"/>
                <w:szCs w:val="18"/>
                <w:color w:val="auto"/>
              </w:rPr>
              <w:t>Interest-bearing deposits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96,131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85,343</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96,528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Investment securities held-to-maturity, at cost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11,423</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Investment in Federal Home Loan Bank (FHLB) stock, at cost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Strategic Program loans held-for-sale, at lower of cost or fair value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60,748</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Loans receivable,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198,102</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Premises and equipment,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3,285</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Deferred taxes,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SBA servicing asset,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Investment in Business Funding Group (BFG), at fair value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Investment in FinWise Investments, LLC</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Operating lease right-of-use (“ROU”) assets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Income tax receivable, net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7,235</w:t>
            </w:r>
          </w:p>
        </w:tc>
      </w:tr>
      <w:tr>
        <w:trPr>
          <w:trHeight w:val="257"/>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365,987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380,214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20" w:type="dxa"/>
            <w:vAlign w:val="bottom"/>
          </w:tcPr>
          <w:p>
            <w:pPr>
              <w:spacing w:after="0"/>
              <w:rPr>
                <w:sz w:val="18"/>
                <w:szCs w:val="18"/>
                <w:color w:val="auto"/>
              </w:rPr>
            </w:pPr>
          </w:p>
        </w:tc>
        <w:tc>
          <w:tcPr>
            <w:tcW w:w="83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w w:val="93"/>
              </w:rPr>
              <w:t>Liabilities</w:t>
            </w:r>
          </w:p>
        </w:tc>
        <w:tc>
          <w:tcPr>
            <w:tcW w:w="7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5"/>
              </w:rPr>
              <w:t>Deposits</w:t>
            </w:r>
          </w:p>
        </w:tc>
        <w:tc>
          <w:tcPr>
            <w:tcW w:w="7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gridSpan w:val="2"/>
          </w:tcPr>
          <w:p>
            <w:pPr>
              <w:ind w:left="20"/>
              <w:spacing w:after="0"/>
              <w:rPr>
                <w:sz w:val="20"/>
                <w:szCs w:val="20"/>
                <w:color w:val="auto"/>
              </w:rPr>
            </w:pPr>
            <w:r>
              <w:rPr>
                <w:rFonts w:ascii="Arial" w:cs="Arial" w:eastAsia="Arial" w:hAnsi="Arial"/>
                <w:sz w:val="18"/>
                <w:szCs w:val="18"/>
                <w:color w:val="auto"/>
              </w:rPr>
              <w:t>Noninterest-bearing</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83,490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110,548</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Interest-bearing</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135,869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Total deposits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219,359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251,892</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Income taxes payable, net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PPP Liquidity Facility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235,450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264,772</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Preferred stock, $0.001 par value, 4,000,000 authorized; no shares issued and outstanding as of June 30, 2022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December 31, 2021</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3"/>
          </w:tcPr>
          <w:p>
            <w:pPr>
              <w:spacing w:after="0" w:line="201" w:lineRule="exact"/>
              <w:rPr>
                <w:sz w:val="20"/>
                <w:szCs w:val="20"/>
                <w:color w:val="auto"/>
              </w:rPr>
            </w:pPr>
            <w:r>
              <w:rPr>
                <w:rFonts w:ascii="Arial" w:cs="Arial" w:eastAsia="Arial" w:hAnsi="Arial"/>
                <w:sz w:val="18"/>
                <w:szCs w:val="18"/>
                <w:color w:val="auto"/>
                <w:w w:val="96"/>
              </w:rPr>
              <w:t>Common stock, $0.001 par value, 40,000,000 shares authorized; 12,884,821 and 12,772,010 shares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outstanding as of June 30, 2022 and December 31, 2021, respectively</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54,836</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75,509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60,593</w:t>
            </w: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130,537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365,987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380,214</w:t>
            </w:r>
          </w:p>
        </w:tc>
      </w:tr>
      <w:tr>
        <w:trPr>
          <w:trHeight w:val="21"/>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FinWise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Three Months</w:t>
            </w:r>
          </w:p>
        </w:tc>
        <w:tc>
          <w:tcPr>
            <w:tcW w:w="200" w:type="dxa"/>
            <w:vAlign w:val="bottom"/>
          </w:tcPr>
          <w:p>
            <w:pPr>
              <w:spacing w:after="0"/>
              <w:rPr>
                <w:sz w:val="18"/>
                <w:szCs w:val="18"/>
                <w:color w:val="auto"/>
              </w:rPr>
            </w:pPr>
          </w:p>
        </w:tc>
        <w:tc>
          <w:tcPr>
            <w:tcW w:w="2340" w:type="dxa"/>
            <w:vAlign w:val="bottom"/>
            <w:gridSpan w:val="5"/>
          </w:tcPr>
          <w:p>
            <w:pPr>
              <w:ind w:left="280"/>
              <w:spacing w:after="0"/>
              <w:rPr>
                <w:sz w:val="20"/>
                <w:szCs w:val="20"/>
                <w:color w:val="auto"/>
              </w:rPr>
            </w:pPr>
            <w:r>
              <w:rPr>
                <w:rFonts w:ascii="Arial" w:cs="Arial" w:eastAsia="Arial" w:hAnsi="Arial"/>
                <w:sz w:val="18"/>
                <w:szCs w:val="18"/>
                <w:b w:val="1"/>
                <w:bCs w:val="1"/>
                <w:color w:val="auto"/>
              </w:rPr>
              <w:t>For the Six Months</w:t>
            </w: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Ended June 30,</w:t>
            </w:r>
          </w:p>
        </w:tc>
        <w:tc>
          <w:tcPr>
            <w:tcW w:w="200" w:type="dxa"/>
            <w:vAlign w:val="bottom"/>
          </w:tcPr>
          <w:p>
            <w:pPr>
              <w:spacing w:after="0"/>
              <w:rPr>
                <w:sz w:val="20"/>
                <w:szCs w:val="20"/>
                <w:color w:val="auto"/>
              </w:rPr>
            </w:pPr>
          </w:p>
        </w:tc>
        <w:tc>
          <w:tcPr>
            <w:tcW w:w="2340" w:type="dxa"/>
            <w:vAlign w:val="bottom"/>
            <w:gridSpan w:val="5"/>
          </w:tcPr>
          <w:p>
            <w:pPr>
              <w:ind w:left="42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59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fees on loans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12,864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on securities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interest income</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13,013</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11,135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26,236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19,941</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deposits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on PPP Liquidity Facility</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interest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10,802</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25,730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19,236</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1,536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5,860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2,169</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after provision for loan losses</w:t>
            </w: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3"/>
              </w:rPr>
              <w:t>19,870</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17,067</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Strategic Program fees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3,942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6,895</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loans, net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SBA loan servicing fees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on investment in BFG</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Other miscellaneous income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8,431</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3"/>
              </w:rPr>
              <w:t>20,113</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14,240</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5,488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14,274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10,383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Occupancy and equipment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(Recovery) impairment of SBA servicing asset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non-interest expense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7,079</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20,067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13,742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expense</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7,268</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3"/>
              </w:rPr>
              <w:t>19,916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4,535</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5,482</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7,739</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14,916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13,030</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Earnings per share, 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0.43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diluted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12,716,010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8,183,774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12,698,714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8,137,736</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Weighted average shares outstanding, diluted</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13,417,390</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8,650,956</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13,444,347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8,412,187</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FinWise Bancorp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(Unaudited)</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Three Months Ended June 30,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2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41"/>
        </w:trPr>
        <w:tc>
          <w:tcPr>
            <w:tcW w:w="2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94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8,716,110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18,000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34,301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52,310</w:t>
            </w: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1"/>
              </w:rPr>
              <w:t>Stock-based compensation expense</w:t>
            </w:r>
          </w:p>
        </w:tc>
        <w:tc>
          <w:tcPr>
            <w:tcW w:w="19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7,739</w:t>
            </w:r>
          </w:p>
        </w:tc>
      </w:tr>
      <w:tr>
        <w:trPr>
          <w:trHeight w:val="27"/>
        </w:trPr>
        <w:tc>
          <w:tcPr>
            <w:tcW w:w="26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Balance at June 30, 2021</w:t>
            </w:r>
          </w:p>
        </w:tc>
        <w:tc>
          <w:tcPr>
            <w:tcW w:w="19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8,716,110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18,274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42,040</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60,323</w:t>
            </w:r>
          </w:p>
        </w:tc>
      </w:tr>
      <w:tr>
        <w:trPr>
          <w:trHeight w:val="20"/>
        </w:trPr>
        <w:tc>
          <w:tcPr>
            <w:tcW w:w="2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680" w:type="dxa"/>
            <w:vAlign w:val="bottom"/>
          </w:tcPr>
          <w:p>
            <w:pPr>
              <w:spacing w:after="0"/>
              <w:rPr>
                <w:sz w:val="24"/>
                <w:szCs w:val="24"/>
                <w:color w:val="auto"/>
              </w:rPr>
            </w:pPr>
          </w:p>
        </w:tc>
        <w:tc>
          <w:tcPr>
            <w:tcW w:w="47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Six Months Ended June 30, 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2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41"/>
        </w:trPr>
        <w:tc>
          <w:tcPr>
            <w:tcW w:w="2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194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8,660,334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16,853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29,010</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45,872</w:t>
            </w: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1"/>
              </w:rPr>
              <w:t>Stock-based compensation expense</w:t>
            </w:r>
          </w:p>
        </w:tc>
        <w:tc>
          <w:tcPr>
            <w:tcW w:w="19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1,255</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3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55,776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13,030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13,030</w:t>
            </w:r>
          </w:p>
        </w:tc>
      </w:tr>
      <w:tr>
        <w:trPr>
          <w:trHeight w:val="257"/>
        </w:trPr>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2021</w:t>
            </w:r>
          </w:p>
        </w:tc>
        <w:tc>
          <w:tcPr>
            <w:tcW w:w="19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8,716,110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18,274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42,040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7"/>
        </w:trPr>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60" w:type="dxa"/>
            <w:vAlign w:val="bottom"/>
            <w:gridSpan w:val="5"/>
          </w:tcPr>
          <w:p>
            <w:pPr>
              <w:ind w:left="340"/>
              <w:spacing w:after="0"/>
              <w:rPr>
                <w:sz w:val="20"/>
                <w:szCs w:val="20"/>
                <w:color w:val="auto"/>
              </w:rPr>
            </w:pPr>
            <w:r>
              <w:rPr>
                <w:rFonts w:ascii="Arial" w:cs="Arial" w:eastAsia="Arial" w:hAnsi="Arial"/>
                <w:sz w:val="18"/>
                <w:szCs w:val="18"/>
                <w:b w:val="1"/>
                <w:bCs w:val="1"/>
                <w:color w:val="auto"/>
              </w:rPr>
              <w:t>FinWise Bancorp</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602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89"/>
              </w:rPr>
              <w:t>Consolidated Statements of Changes in Shareholders’ Equity (Unaudited)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4700" w:type="dxa"/>
            <w:vAlign w:val="bottom"/>
            <w:gridSpan w:val="6"/>
          </w:tcPr>
          <w:p>
            <w:pPr>
              <w:jc w:val="center"/>
              <w:ind w:left="1090"/>
              <w:spacing w:after="0"/>
              <w:rPr>
                <w:sz w:val="20"/>
                <w:szCs w:val="20"/>
                <w:color w:val="auto"/>
              </w:rPr>
            </w:pPr>
            <w:r>
              <w:rPr>
                <w:rFonts w:ascii="Arial" w:cs="Arial" w:eastAsia="Arial" w:hAnsi="Arial"/>
                <w:sz w:val="18"/>
                <w:szCs w:val="18"/>
                <w:b w:val="1"/>
                <w:bCs w:val="1"/>
                <w:color w:val="auto"/>
                <w:w w:val="87"/>
              </w:rPr>
              <w:t>(in thousands, except share amounts)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4700" w:type="dxa"/>
            <w:vAlign w:val="bottom"/>
            <w:gridSpan w:val="6"/>
          </w:tcPr>
          <w:p>
            <w:pPr>
              <w:jc w:val="center"/>
              <w:ind w:left="1090"/>
              <w:spacing w:after="0"/>
              <w:rPr>
                <w:sz w:val="20"/>
                <w:szCs w:val="20"/>
                <w:color w:val="auto"/>
              </w:rPr>
            </w:pPr>
            <w:r>
              <w:rPr>
                <w:rFonts w:ascii="Arial" w:cs="Arial" w:eastAsia="Arial" w:hAnsi="Arial"/>
                <w:sz w:val="18"/>
                <w:szCs w:val="18"/>
                <w:b w:val="1"/>
                <w:bCs w:val="1"/>
                <w:color w:val="auto"/>
                <w:w w:val="90"/>
              </w:rPr>
              <w:t>Three Months Ended June 30, 2022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2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41"/>
        </w:trPr>
        <w:tc>
          <w:tcPr>
            <w:tcW w:w="2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2022</w:t>
            </w:r>
          </w:p>
        </w:tc>
        <w:tc>
          <w:tcPr>
            <w:tcW w:w="194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12,788,810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54,915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70,027</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124,955</w:t>
            </w: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1"/>
              </w:rPr>
              <w:t>Stock-based compensation expense</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96,011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5,482</w:t>
            </w:r>
          </w:p>
        </w:tc>
      </w:tr>
      <w:tr>
        <w:trPr>
          <w:trHeight w:val="27"/>
        </w:trPr>
        <w:tc>
          <w:tcPr>
            <w:tcW w:w="26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b w:val="1"/>
                <w:bCs w:val="1"/>
                <w:color w:val="auto"/>
              </w:rPr>
              <w:t>Balance at June 30, 2022</w:t>
            </w:r>
          </w:p>
        </w:tc>
        <w:tc>
          <w:tcPr>
            <w:tcW w:w="19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12,884,821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55,015</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75,509</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130,537</w:t>
            </w:r>
          </w:p>
        </w:tc>
      </w:tr>
      <w:tr>
        <w:trPr>
          <w:trHeight w:val="20"/>
        </w:trPr>
        <w:tc>
          <w:tcPr>
            <w:tcW w:w="2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680" w:type="dxa"/>
            <w:vAlign w:val="bottom"/>
          </w:tcPr>
          <w:p>
            <w:pPr>
              <w:spacing w:after="0"/>
              <w:rPr>
                <w:sz w:val="24"/>
                <w:szCs w:val="24"/>
                <w:color w:val="auto"/>
              </w:rPr>
            </w:pPr>
          </w:p>
        </w:tc>
        <w:tc>
          <w:tcPr>
            <w:tcW w:w="47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Six Months Ended June 30, 2022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6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2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41"/>
        </w:trPr>
        <w:tc>
          <w:tcPr>
            <w:tcW w:w="2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2022</w:t>
            </w:r>
          </w:p>
        </w:tc>
        <w:tc>
          <w:tcPr>
            <w:tcW w:w="194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12,772,010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54,836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60,593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115,442</w:t>
            </w:r>
          </w:p>
        </w:tc>
        <w:tc>
          <w:tcPr>
            <w:tcW w:w="100" w:type="dxa"/>
            <w:vAlign w:val="bottom"/>
            <w:shd w:val="clear" w:color="auto" w:fill="CCEEFF"/>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1"/>
              </w:rPr>
              <w:t>Stock-based compensation expense</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96,011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3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Net Income</w:t>
            </w:r>
          </w:p>
        </w:tc>
        <w:tc>
          <w:tcPr>
            <w:tcW w:w="19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14,916</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14,916</w:t>
            </w:r>
          </w:p>
        </w:tc>
      </w:tr>
      <w:tr>
        <w:trPr>
          <w:trHeight w:val="256"/>
        </w:trPr>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19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12,884,821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55,015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75,509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130,537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70"/>
              <w:spacing w:after="0"/>
              <w:rPr>
                <w:sz w:val="20"/>
                <w:szCs w:val="20"/>
                <w:color w:val="auto"/>
              </w:rPr>
            </w:pPr>
            <w:r>
              <w:rPr>
                <w:rFonts w:ascii="Arial" w:cs="Arial" w:eastAsia="Arial" w:hAnsi="Arial"/>
                <w:sz w:val="18"/>
                <w:szCs w:val="18"/>
                <w:b w:val="1"/>
                <w:bCs w:val="1"/>
                <w:color w:val="auto"/>
                <w:w w:val="91"/>
              </w:rPr>
              <w:t>FinWise Bancorp</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5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70"/>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For the Six Months</w:t>
            </w: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13,030</w:t>
            </w: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from operating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Amortization of operating lease ROU asset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amortization in securities discounts and premiums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Capitalized servicing assets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(2,243)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(1,760)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SBA loans,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Originations of Strategic Program loans held-for-sale</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(4,436,343)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(2,317,739)</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on Strategic Program loans held-for-sale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4,465,492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2,279,911</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BFG</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(1,861)</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 of SBA servicing asset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1,255</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 benefit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changes in: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(1,519)</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5,660</w:t>
            </w: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(25,494)</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decrease in loans receivable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67,067</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Distributions from BFG</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of bank premises and equipment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Proceeds from maturities and paydowns of securities held-to-maturity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securities held to maturity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Purchase of FHLB stock</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Net increase (decrease) in deposits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(32,533)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34,120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Proceeds from PPP Liquidity Facility</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5,558</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 of PPP Liquidity Facility</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(89,039)</w:t>
            </w: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(33,167)</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(49,195)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(7,517)</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85,754</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96,528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39,866</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paid during the period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7,257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5,374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operating activities: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w w:val="93"/>
              </w:rPr>
              <w:t xml:space="preserve">Right-of-use assets obtained in exchange for operating lease liabilities </w:t>
            </w:r>
            <w:r>
              <w:rPr>
                <w:rFonts w:ascii="Arial" w:cs="Arial" w:eastAsia="Arial" w:hAnsi="Arial"/>
                <w:sz w:val="18"/>
                <w:szCs w:val="18"/>
                <w:i w:val="1"/>
                <w:iCs w:val="1"/>
                <w:color w:val="auto"/>
                <w:w w:val="93"/>
              </w:rPr>
              <w:t>(ASC 842 adoption effective January 1, 2022)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7,380</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Nature of business and organization – </w:t>
      </w:r>
      <w:r>
        <w:rPr>
          <w:rFonts w:ascii="Arial" w:cs="Arial" w:eastAsia="Arial" w:hAnsi="Arial"/>
          <w:sz w:val="17"/>
          <w:szCs w:val="17"/>
          <w:color w:val="auto"/>
        </w:rPr>
        <w:t>FinWise Bancorp is a Utah Corporation headquartered in Murray, Utah and operates all business activities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its wholly-owned banking subsidiary, FinWise Bank, f/k/a Utah Community Bank. FinWise Bank was incorporated in the state of Utah on May 7, 1999. FinWise Bancorp, f/k/a All West Bancorp, was incorporated in the state of Utah on October 22, 2002, after which, it acquired 100% of FinWise Bank. As of March 4, 2016, FinWise Bank’s articles of incorporation were amended to rename the entity FinWise Bank. As of March 15, 2021, FinWise Bancorp’s articles of incorporation were amended and restated to rename the entity FinWise Bancorp. References herein to “FinWise Bancorp,” “Bancorp” or the “holding company,” refer to FinWise Bancorp on a standalone basis. The word “Company” refers to FinWise Bancorp and FinWise Bank collectively and on a consolidated basis. References to the “Bank” refer to FinWise Bank on a standalone basis.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15, 2021, the Company publicly filed a Registration Statement on Form S-1 with the SEC in connection with its Initial Public Offering (“IPO”) (the “Registration Statement”), which was subsequently amended on July 30, 2021, August 4, 2021, November 1, 2021, and November 16, 2021. The Registration Statement was declared effective by the SEC on November 18, 2021. In connection with the IPO, the Company issued 4,025,000 shares of common stock, par value of $0.001, which included 525,000 shares sold pursuant to the underwriters’ exercise of their option to purchase additional shares. The securities were sold to the public at a price of $10.50 per share and began trading on the Nasdaq Stock Market LLC on November 19, 2021. On November 23, 2021, the closing date of the IPO, the Company received total net proceeds of $39.3 million. The net proceeds less other related expenses, including audit fees, legal fees, listing fees, and other expenses, totaled $35.6 million.</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Bank provides a full range of banking services to individual and commercial customers. The Bank’s primary source of revenue is from loans including consumer, Small Business Administration (SBA), commercial, commercial real estate, and residential real estate.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subject to competition from other financial institutions and to the regulations of certain federal and state agencies and undergoes periodic examinations by those agencies.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COVID-19 – </w:t>
      </w:r>
      <w:r>
        <w:rPr>
          <w:rFonts w:ascii="Arial" w:cs="Arial" w:eastAsia="Arial" w:hAnsi="Arial"/>
          <w:sz w:val="16"/>
          <w:szCs w:val="16"/>
          <w:color w:val="auto"/>
        </w:rPr>
        <w:t>On March 11, 2020, the World Health Organization declared COVID-19 to be a global pandemic. Local and national governments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authorities have systematically implemented remedial measures to try to slow and curb the spread of COVID-19, including business closures and operating restrictions, travel bans, shelter in place, stay home, and similar directives and orders. In response to the COVID-19 pandemic and in adherence with state and local guidelines, the Company has implemented the business continuity plan and other measures and activities to protect the Company’s employees and, at the same time, to assist the Company’s clients and the communities of which the Company is a part, including remote working for the majority of the Company’s employees, increased mobile banking and electronic transaction options for clients, payment deferral assistance to commercial and consumer borrowers, and participation in the SBA’s Paycheck Protection Program (“PPP”) for loans to qualifying small businesses.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22, 2020, the federal banking agencies issued an “Interagency Statement on Loan Modifications and Reporting for Financial Institutions Working with Customers Affected by the Coronavirus”. This guidance encourages financial institutions to work prudently with borrowers that may be unable to meet their contractual obligations because of the effects of COVID-19. The guidance goes on to explain that in consultation with the Financial Accounting Standards Board (“FASB”) staff that the federal banking agencies concluded that short-term modifications (e.g., six months) made on a good faith basis to borrowers who were current as of the implementation date of a relief program are not troubled debt restructurings (“TDRs”).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Coronavirus Aid, Relief and Economic Security (“CARES”) Act was passed by Congress on March 27, 2020. The CARES Act also addressed COVID-19 related modifications and specified that COVID-19 related modifications on loans that were current as of December 31, 2019 are not TDRs. The Bank has applied this guidance related to payment deferrals and other COVID-19 related loan modifications.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CARES Act also included a total allocation of $659 billion for loans to be issued by financial institutions through the Small Business Administration (“SBA”). This program is known as the Paycheck Protection Program (“PPP”). PPP loans are forgivable, in whole or in part, if the proceeds are used for eligible payroll costs and other permitted purposes in accordance with the requirements of the PPP. These loans carry a fixed rate of 1.00%. PPP loans originated prior to June 5, 2020 have a term of two years, while PPP loans originated on or after June 5, 2020 have a term of five years. Payments are deferred for at least the first six months of the loan and the loans are 100% guaranteed by the SBA. The SBA pays the originating bank a processing fee ranging from 1% to 5%, based on the size of the loan. At June 30, 2022, net deferred loan fees related to PPP loans was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which will be recognized over the life of the loans. As of December 31, 2021, PPP borrowers had applied for and received forgiveness from the SBA for $125.2 million of PPP loan principal and had made $0.3 million of principal payments leaving $1.1 million of PPP loan principal outstanding as of December 31, 2021. During the six months ended June 30, 2022, PPP borrowers made $0.4 million of principal payments leaving $0.7 million of PPP loan principal outstanding as of June 30, 2022. The loan forgiveness resulted in the recognition of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deferred loan fees for the six months ended June 30, 2022.</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financial statements are comprised of the accounts of FinWise Bancorp and its wholly-owned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FinWise Investments, LLC and FinWise Bank (collectively, the “Company”). All significant inter-company transactions have been eliminated in consolidation. In the opinion of management, all the adjustments (consisting of normal and recurring adjustments) necessary for the fair presentation of the consolidated financial condition and the consolidated results of operations for the unaudited periods presented have been included. The results of operations and other data presented for three and six months ended June 30, 2022 are not necessarily indicative of the results of operations that may be expected for subsequent periods or the full year results.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and note disclosures usually included in financial statements prepared in accordance with U.S. generally accepted accounting principles (“U.S. GAAP”) have been condensed or omitted pursuant to the rules and regulations of the SEC for the presentation of the Form 10-Q. The unaudited consolidated financial statements presented should be read in conjunction with the Company’s audited consolidated financial statements and notes to the audited consolidated financial statements included in the Company’s December 31, 2021 Annual Report on Form 10-K.</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Out-of-period adjustment </w:t>
      </w:r>
      <w:r>
        <w:rPr>
          <w:rFonts w:ascii="Arial" w:cs="Arial" w:eastAsia="Arial" w:hAnsi="Arial"/>
          <w:sz w:val="16"/>
          <w:szCs w:val="16"/>
          <w:color w:val="auto"/>
        </w:rPr>
        <w:t>– During the first quarter of 2022, we recognized a $(0.8) million ($(0.6) million net of tax) reduction of interest and fees on</w:t>
      </w:r>
      <w:r>
        <w:rPr>
          <w:rFonts w:ascii="Arial" w:cs="Arial" w:eastAsia="Arial" w:hAnsi="Arial"/>
          <w:sz w:val="16"/>
          <w:szCs w:val="16"/>
          <w:b w:val="1"/>
          <w:bCs w:val="1"/>
          <w:color w:val="auto"/>
        </w:rPr>
        <w:t xml:space="preserve"> </w:t>
      </w:r>
      <w:r>
        <w:rPr>
          <w:rFonts w:ascii="Arial" w:cs="Arial" w:eastAsia="Arial" w:hAnsi="Arial"/>
          <w:sz w:val="16"/>
          <w:szCs w:val="16"/>
          <w:color w:val="auto"/>
        </w:rPr>
        <w:t>loans and loans receivable, net as an out-of-period adjustment. The adjustment was not considered material to the interim consolidated financial statements for the three months ended March 31, 2022, six months ended June 30, 2022, or the financial statements of any previously filed interim or annual periods.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In preparing the consolidated financial statements in accordance with U.S. GAAP, management is required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certain assets and liabilities as of the date of the consolidated balance sheets and certain revenues and expenses for the period. Actual results could differ, either positively or negatively,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to increase transparency and comparability among organizations by, among other provisions, recognizing lease assets and lease liabilities on the balance sheet for those leases classified as operating leases under previous U.S. GAAP.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A modified retrospective transition approach is required, applying the new standard to all leases existing at the date of initial application. The guidance was initially effective for fiscal years beginning after December 15, 2020, and interim periods within fiscal years beginning after December 15, 2021. However, the FASB issued ASU 2020-05, </w:t>
      </w:r>
      <w:r>
        <w:rPr>
          <w:rFonts w:ascii="Arial" w:cs="Arial" w:eastAsia="Arial" w:hAnsi="Arial"/>
          <w:sz w:val="16"/>
          <w:szCs w:val="16"/>
          <w:i w:val="1"/>
          <w:iCs w:val="1"/>
          <w:color w:val="auto"/>
        </w:rPr>
        <w:t>Revenue from Contracts with Customers (Topic 606) and 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 Effective Dates for Certain Entities</w:t>
      </w:r>
      <w:r>
        <w:rPr>
          <w:rFonts w:ascii="Arial" w:cs="Arial" w:eastAsia="Arial" w:hAnsi="Arial"/>
          <w:sz w:val="16"/>
          <w:szCs w:val="16"/>
          <w:color w:val="auto"/>
        </w:rPr>
        <w:t>, delaying the effective date to fiscal years beginning after December 15, 2021, and interim periods within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years beginning after December 15, 2022. In transition, entities may also elect a package of practical expedients that must be applied in its entirety to all leases commencing before the adoption date, unless the lease is modified, and permits entities to not reassess (a) the existence of a lease, (b) lease classification or (c) determination of initial direct costs, as of the adoption date, which effectively allows entities to carryforward accounting conclusions under previous U.S. GAAP.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provides entities an optional transition method to apply the guidance under ASC Topic 842 as of the adoption date, rather than as of the earliest period presented. The Company adopted this guidance on January 1, 2022, which resulted in an increase in assets and liabilities by $7.4 million on the Company’s consolidated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The ASU sets forth a “current expected credit loss” (CECL) model which requires the Company to measure all expected credit losses for financial instruments held at the reporting date based on historical experience, current conditions, and reasonable supportable forecasts. This replaces the existing incurred loss model and is applicable to the measurement of credit losses on financial assets measured at amortized cost, available-for-sale debt securities and applies to certain off-balance sheet credit exposures. This ASU was initially effective for fiscal years beginning after December 15, 2019, including interim periods within those fiscal years, with early adoption permitted. However, the FASB issued an ASU to delay adoption to January 1, 2023 for smaller reporting companies with less than $250 million in public float as defined by the SEC’s rules. The Company is a smaller reporting company. The Company plans to apply the amendment’s provisions as a cumulative-effect adjustment to retained earnings at the beginning of the first period the amendment is effective. The Company has formed a team that is working on an implementation plan to adopt the amendment. The implementation plan is expected to include developing policies, procedures, and internal controls over the model. The Company is also working with a software vendor to measure expected losses required by the amendment. The Company is currently evaluating the effects that the adoption of this amendment will have on its consolidated financial statements and expects that the portfolio composition and economic conditions at the time of adoption will influence the accounting adjustment made at the time the amendment is adopted.</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March 2022, the FASB issued ASU 2022-02, </w:t>
      </w:r>
      <w:r>
        <w:rPr>
          <w:rFonts w:ascii="Arial" w:cs="Arial" w:eastAsia="Arial" w:hAnsi="Arial"/>
          <w:sz w:val="16"/>
          <w:szCs w:val="16"/>
          <w:i w:val="1"/>
          <w:iCs w:val="1"/>
          <w:color w:val="auto"/>
        </w:rPr>
        <w:t>Financial Instruments – Credit Losses (Topic 326): Troubled Debt Restructurings and Vintage Disclosures</w:t>
      </w:r>
      <w:r>
        <w:rPr>
          <w:rFonts w:ascii="Arial" w:cs="Arial" w:eastAsia="Arial" w:hAnsi="Arial"/>
          <w:sz w:val="16"/>
          <w:szCs w:val="16"/>
          <w:color w:val="auto"/>
        </w:rPr>
        <w:t>. These amendments eliminate the TDR recognition and measurement guidance and, instead, require that an entity evaluate (consistent with the accounting for other loan modifications) whether the modification represents a new loan or a continuation of an existing loan. The amendments also enhance existing disclosure requirements and introduce new requirements related to certain modifications of receivables made to borrowers experiencing financial difficulty. For public business entities, these amendments require that an entity disclose current-period gross writeoffs by year of origination for financing receivables and net investment in leases within the scope of Subtopic 326-20. This ASU is effective on January 1, 2023, the same effective date as ASU 2016-13. The Company is currently evaluating the effects that the adoption of this amendment will have on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held-to-maturity, at cost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unrealized gains and losses, and estimated fair values of the Company’s held-to-maturity securities at June 30, 2022 and December 31, 2021,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88"/>
              </w:rPr>
              <w:t>June 30,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00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Gain</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7"/>
              </w:rPr>
              <w:t>11,070</w:t>
            </w:r>
          </w:p>
        </w:tc>
        <w:tc>
          <w:tcPr>
            <w:tcW w:w="100" w:type="dxa"/>
            <w:vAlign w:val="bottom"/>
            <w:shd w:val="clear" w:color="auto" w:fill="CCEEFF"/>
          </w:tcPr>
          <w:p>
            <w:pPr>
              <w:spacing w:after="0"/>
              <w:rPr>
                <w:sz w:val="18"/>
                <w:szCs w:val="18"/>
                <w:color w:val="auto"/>
              </w:rPr>
            </w:pPr>
          </w:p>
        </w:tc>
      </w:tr>
      <w:tr>
        <w:trPr>
          <w:trHeight w:val="439"/>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90"/>
              </w:rPr>
              <w:t>December 31,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00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Gain</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23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7"/>
              </w:rPr>
              <w:t>11,332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fifteen securities in an unrealized loss position at June 30, 2022 and nine securities in an unrealized loss position at December 31, 2021, as summarized in the following tables: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520"/>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5"/>
          </w:tcPr>
          <w:p>
            <w:pPr>
              <w:ind w:left="34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2540" w:type="dxa"/>
            <w:vAlign w:val="bottom"/>
            <w:gridSpan w:val="5"/>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3"/>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r>
      <w:tr>
        <w:trPr>
          <w:trHeight w:val="439"/>
        </w:trPr>
        <w:tc>
          <w:tcPr>
            <w:tcW w:w="3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5"/>
          </w:tcPr>
          <w:p>
            <w:pPr>
              <w:ind w:left="34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19"/>
                <w:szCs w:val="19"/>
                <w:color w:val="auto"/>
              </w:rPr>
            </w:pPr>
          </w:p>
        </w:tc>
        <w:tc>
          <w:tcPr>
            <w:tcW w:w="2540" w:type="dxa"/>
            <w:vAlign w:val="bottom"/>
            <w:gridSpan w:val="5"/>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3"/>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r>
      <w:tr>
        <w:trPr>
          <w:trHeight w:val="569"/>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amortized cost and estimated market value of debt securities at June 30, 2022 and December 31, 2021, by contractual maturity are shown below. Actual maturities may differ from contractual maturities because borrowers may have the right to call or prepay obligations with or without call or prepayment penalties.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b w:val="1"/>
                <w:bCs w:val="1"/>
                <w:color w:val="auto"/>
              </w:rPr>
              <w:t>December 31, 2021</w:t>
            </w:r>
          </w:p>
        </w:tc>
      </w:tr>
      <w:tr>
        <w:trPr>
          <w:trHeight w:val="198"/>
        </w:trPr>
        <w:tc>
          <w:tcPr>
            <w:tcW w:w="4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Securities held-to-maturity</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Due after one year through five years</w:t>
            </w:r>
          </w:p>
        </w:tc>
        <w:tc>
          <w:tcPr>
            <w:tcW w:w="12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Due after ten years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10,135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8,893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9,882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9,784</w:t>
            </w:r>
          </w:p>
        </w:tc>
      </w:tr>
      <w:tr>
        <w:trPr>
          <w:trHeight w:val="223"/>
        </w:trPr>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Total​</w:t>
            </w: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held-to-maturity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2022, all held-to-maturity securities were pledged as collateral for a credit line held by the Bank. There were no sales or transfers of investment securities and no realized gains or losses on these securities during the six months ended June 30, 2022 or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FHLB stock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 is a member of the FHLB system. Members are required to own FHLB stock of at least the greater of 1% of FHLB membership asset value or 2.7% of outstanding FHLB advances. At June 30, 2022 and December 31, 2021, the Bank owned $0.4 million, respectively, of FHLB stock, which is carried at cost. The Company evaluated the carrying value of its FHLB stock investment at June 30, 2022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our recorded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Loans and Allowance for Loan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Loans are summarized as follows according to major risk category as of June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48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142,392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59,066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85,850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Consumer</w:t>
            </w:r>
          </w:p>
        </w:tc>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4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232,139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Loans held-for-sale</w:t>
            </w:r>
          </w:p>
        </w:tc>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(31,599)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(60,748)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loans held for investment</w:t>
            </w:r>
          </w:p>
        </w:tc>
        <w:tc>
          <w:tcPr>
            <w:tcW w:w="4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200,540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Deferred loan costs (fees), net</w:t>
            </w: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4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(9,855)</w:t>
            </w:r>
          </w:p>
        </w:tc>
        <w:tc>
          <w:tcPr>
            <w:tcW w:w="0" w:type="dxa"/>
            <w:vAlign w:val="bottom"/>
          </w:tcPr>
          <w:p>
            <w:pPr>
              <w:spacing w:after="0"/>
              <w:rPr>
                <w:sz w:val="1"/>
                <w:szCs w:val="1"/>
                <w:color w:val="auto"/>
              </w:rPr>
            </w:pPr>
          </w:p>
        </w:tc>
      </w:tr>
      <w:tr>
        <w:trPr>
          <w:trHeight w:val="27"/>
        </w:trPr>
        <w:tc>
          <w:tcPr>
            <w:tcW w:w="398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Net loans</w:t>
            </w:r>
          </w:p>
        </w:tc>
        <w:tc>
          <w:tcPr>
            <w:tcW w:w="48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189,670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198,102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700" w:type="dxa"/>
            <w:vAlign w:val="bottom"/>
            <w:vMerge w:val="restart"/>
          </w:tcPr>
          <w:p>
            <w:pPr>
              <w:jc w:val="right"/>
              <w:ind w:right="2896"/>
              <w:spacing w:after="0"/>
              <w:rPr>
                <w:sz w:val="20"/>
                <w:szCs w:val="20"/>
                <w:color w:val="auto"/>
              </w:rPr>
            </w:pPr>
            <w:r>
              <w:rPr>
                <w:rFonts w:ascii="Arial" w:cs="Arial" w:eastAsia="Arial" w:hAnsi="Arial"/>
                <w:sz w:val="14"/>
                <w:szCs w:val="14"/>
                <w:color w:val="auto"/>
              </w:rPr>
              <w:t>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398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980" w:type="dxa"/>
            <w:vAlign w:val="bottom"/>
            <w:tcBorders>
              <w:bottom w:val="single" w:sz="8" w:color="auto"/>
            </w:tcBorders>
          </w:tcPr>
          <w:p>
            <w:pPr>
              <w:spacing w:after="0"/>
              <w:rPr>
                <w:sz w:val="4"/>
                <w:szCs w:val="4"/>
                <w:color w:val="auto"/>
              </w:rPr>
            </w:pPr>
          </w:p>
        </w:tc>
        <w:tc>
          <w:tcPr>
            <w:tcW w:w="4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3" w:name="page14"/>
    <w:bookmarkEnd w:id="13"/>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Strategic Program Loans </w:t>
      </w:r>
      <w:r>
        <w:rPr>
          <w:rFonts w:ascii="Arial" w:cs="Arial" w:eastAsia="Arial" w:hAnsi="Arial"/>
          <w:sz w:val="17"/>
          <w:szCs w:val="17"/>
          <w:color w:val="auto"/>
        </w:rPr>
        <w:t>– In 2016, the Company began originating loans with various third-party loan origination platforms that use technology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innovative systems to streamline the origination of unsecured consumer and secured or unsecured business loans to a wide array of borrowers within certain approved credit profiles. Loans issued by the Company through these programs generally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generally retains the loans and/or receivables for a number of business days after origination before selling the loans and/or receivables to the Strategic Program platform or another investor. Interest income is recognized by the Company while holding the loans. These loans are classified as held-for-sale on the balance sheet.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may also hold a portion of the loans or receivable and sell the remainder directly to the Strategic Programs or other investors. The Company generally services the loans originated through the Strategic Programs in consideration of servicing fees equal to a percentage of the loans generated under the Strategic Programs. In turn, the Strategic Program service providers, subject to the Company’s approval and oversight, serve as sub-servicer and perform typical primary servicing duties including loan collections, modifications, charging-off, reporting and monitoring.</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Strategic Program establishes a “reserve” deposit account with the Company. The agreements generally require that the deposit reserve account balance does not fall below the dollar amount of the total loans outstanding currently held by the Company for the specific Strategic Program. If necessary, the Company has the right to withdraw amounts from the reserve account to fulfill loan purchaser obligations created under the program agreements. Total cash held in reserve by Strategic Programs at the Company at June 30, 2022 and December 31, 2021, was $24.4 million and $39.6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Strategic Program loans retained and held-for-sale as of June 30, 2022 and December 31, 2021,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Retained Strategic Program loans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25,102</w:t>
            </w:r>
          </w:p>
        </w:tc>
        <w:tc>
          <w:tcPr>
            <w:tcW w:w="0" w:type="dxa"/>
            <w:vAlign w:val="bottom"/>
          </w:tcPr>
          <w:p>
            <w:pPr>
              <w:spacing w:after="0"/>
              <w:rPr>
                <w:sz w:val="1"/>
                <w:szCs w:val="1"/>
                <w:color w:val="auto"/>
              </w:rPr>
            </w:pPr>
          </w:p>
        </w:tc>
      </w:tr>
      <w:tr>
        <w:trPr>
          <w:trHeight w:val="223"/>
        </w:trPr>
        <w:tc>
          <w:tcPr>
            <w:tcW w:w="3220" w:type="dxa"/>
            <w:vAlign w:val="bottom"/>
            <w:gridSpan w:val="4"/>
          </w:tcPr>
          <w:p>
            <w:pPr>
              <w:spacing w:after="0"/>
              <w:rPr>
                <w:sz w:val="20"/>
                <w:szCs w:val="20"/>
                <w:color w:val="auto"/>
              </w:rPr>
            </w:pPr>
            <w:r>
              <w:rPr>
                <w:rFonts w:ascii="Arial" w:cs="Arial" w:eastAsia="Arial" w:hAnsi="Arial"/>
                <w:sz w:val="18"/>
                <w:szCs w:val="18"/>
                <w:color w:val="auto"/>
              </w:rPr>
              <w:t>Strategic Program loans held-for-sale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31,599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60,748</w:t>
            </w:r>
          </w:p>
        </w:tc>
        <w:tc>
          <w:tcPr>
            <w:tcW w:w="0" w:type="dxa"/>
            <w:vAlign w:val="bottom"/>
          </w:tcPr>
          <w:p>
            <w:pPr>
              <w:spacing w:after="0"/>
              <w:rPr>
                <w:sz w:val="1"/>
                <w:szCs w:val="1"/>
                <w:color w:val="auto"/>
              </w:rPr>
            </w:pPr>
          </w:p>
        </w:tc>
      </w:tr>
      <w:tr>
        <w:trPr>
          <w:trHeight w:val="257"/>
        </w:trPr>
        <w:tc>
          <w:tcPr>
            <w:tcW w:w="2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89"/>
              </w:rPr>
              <w:t>Total Strategic Program loans</w:t>
            </w: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3500" w:type="dxa"/>
            <w:vAlign w:val="bottom"/>
            <w:gridSpan w:val="6"/>
          </w:tcPr>
          <w:p>
            <w:pPr>
              <w:spacing w:after="0"/>
              <w:rPr>
                <w:sz w:val="20"/>
                <w:szCs w:val="20"/>
                <w:color w:val="auto"/>
              </w:rPr>
            </w:pPr>
            <w:r>
              <w:rPr>
                <w:rFonts w:ascii="Arial" w:cs="Arial" w:eastAsia="Arial" w:hAnsi="Arial"/>
                <w:sz w:val="18"/>
                <w:szCs w:val="18"/>
                <w:color w:val="auto"/>
                <w:w w:val="91"/>
              </w:rPr>
              <w:t>Changes in the ALL are summarized as follows: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320" w:type="dxa"/>
            <w:vAlign w:val="bottom"/>
            <w:gridSpan w:val="2"/>
          </w:tcPr>
          <w:p>
            <w:pPr>
              <w:ind w:left="640"/>
              <w:spacing w:after="0"/>
              <w:rPr>
                <w:sz w:val="20"/>
                <w:szCs w:val="20"/>
                <w:color w:val="auto"/>
              </w:rPr>
            </w:pPr>
            <w:r>
              <w:rPr>
                <w:rFonts w:ascii="Arial" w:cs="Arial" w:eastAsia="Arial" w:hAnsi="Arial"/>
                <w:sz w:val="18"/>
                <w:szCs w:val="18"/>
                <w:b w:val="1"/>
                <w:bCs w:val="1"/>
                <w:color w:val="auto"/>
                <w:w w:val="93"/>
              </w:rPr>
              <w:t>Three Months Ended</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20" w:type="dxa"/>
            <w:vAlign w:val="bottom"/>
            <w:gridSpan w:val="2"/>
          </w:tcPr>
          <w:p>
            <w:pPr>
              <w:ind w:left="940"/>
              <w:spacing w:after="0"/>
              <w:rPr>
                <w:sz w:val="20"/>
                <w:szCs w:val="20"/>
                <w:color w:val="auto"/>
              </w:rPr>
            </w:pPr>
            <w:r>
              <w:rPr>
                <w:rFonts w:ascii="Arial" w:cs="Arial" w:eastAsia="Arial" w:hAnsi="Arial"/>
                <w:sz w:val="18"/>
                <w:szCs w:val="18"/>
                <w:b w:val="1"/>
                <w:bCs w:val="1"/>
                <w:color w:val="auto"/>
              </w:rPr>
              <w:t>June 30, 2022</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2"/>
              </w:rPr>
              <w:t>Commercial,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Residential</w:t>
            </w:r>
          </w:p>
        </w:tc>
        <w:tc>
          <w:tcPr>
            <w:tcW w:w="140" w:type="dxa"/>
            <w:vAlign w:val="bottom"/>
          </w:tcPr>
          <w:p>
            <w:pPr>
              <w:spacing w:after="0"/>
              <w:rPr>
                <w:sz w:val="20"/>
                <w:szCs w:val="2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Strategic</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Non-Real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Real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Program</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Commercial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Pr>
          <w:p>
            <w:pPr>
              <w:spacing w:after="0"/>
              <w:rPr>
                <w:sz w:val="20"/>
                <w:szCs w:val="20"/>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9"/>
              </w:rPr>
              <w:t>SBA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Estate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Estate</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Loans</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Real Estate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Consumer</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6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3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Recoveries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8"/>
                <w:szCs w:val="18"/>
                <w:color w:val="auto"/>
                <w:w w:val="98"/>
              </w:rPr>
              <w:t>Provision for loan losses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end of period</w:t>
            </w:r>
          </w:p>
        </w:tc>
        <w:tc>
          <w:tcPr>
            <w:tcW w:w="36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8"/>
                <w:szCs w:val="18"/>
                <w:color w:val="auto"/>
              </w:rPr>
              <w:t>individually evaluated</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collectively evaluated</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10,602</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60" w:type="dxa"/>
            <w:vAlign w:val="bottom"/>
          </w:tcPr>
          <w:p>
            <w:pPr>
              <w:spacing w:after="0"/>
              <w:rPr>
                <w:sz w:val="20"/>
                <w:szCs w:val="20"/>
                <w:color w:val="auto"/>
              </w:rPr>
            </w:pPr>
            <w:r>
              <w:rPr>
                <w:rFonts w:ascii="Arial" w:cs="Arial" w:eastAsia="Arial" w:hAnsi="Arial"/>
                <w:sz w:val="18"/>
                <w:szCs w:val="18"/>
                <w:color w:val="auto"/>
              </w:rPr>
              <w:t>Loans receivable</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124,477</w:t>
            </w:r>
          </w:p>
        </w:tc>
        <w:tc>
          <w:tcPr>
            <w:tcW w:w="140" w:type="dxa"/>
            <w:vAlign w:val="bottom"/>
          </w:tcPr>
          <w:p>
            <w:pPr>
              <w:spacing w:after="0"/>
              <w:rPr>
                <w:sz w:val="18"/>
                <w:szCs w:val="18"/>
                <w:color w:val="auto"/>
              </w:rPr>
            </w:pPr>
          </w:p>
        </w:tc>
        <w:tc>
          <w:tcPr>
            <w:tcW w:w="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7,847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30,965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27,467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5,062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200,540</w:t>
            </w:r>
          </w:p>
        </w:tc>
        <w:tc>
          <w:tcPr>
            <w:tcW w:w="0" w:type="dxa"/>
            <w:vAlign w:val="bottom"/>
          </w:tcPr>
          <w:p>
            <w:pPr>
              <w:spacing w:after="0"/>
              <w:rPr>
                <w:sz w:val="1"/>
                <w:szCs w:val="1"/>
                <w:color w:val="auto"/>
              </w:rPr>
            </w:pPr>
          </w:p>
        </w:tc>
      </w:tr>
      <w:tr>
        <w:trPr>
          <w:trHeight w:val="202"/>
        </w:trPr>
        <w:tc>
          <w:tcPr>
            <w:tcW w:w="19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individually evaluated</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2"/>
        </w:trPr>
        <w:tc>
          <w:tcPr>
            <w:tcW w:w="196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8"/>
                <w:szCs w:val="18"/>
                <w:color w:val="auto"/>
              </w:rPr>
              <w:t>collectively evaluated</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123,749</w:t>
            </w:r>
          </w:p>
        </w:tc>
        <w:tc>
          <w:tcPr>
            <w:tcW w:w="140" w:type="dxa"/>
            <w:vAlign w:val="bottom"/>
          </w:tcPr>
          <w:p>
            <w:pPr>
              <w:spacing w:after="0"/>
              <w:rPr>
                <w:sz w:val="20"/>
                <w:szCs w:val="20"/>
                <w:color w:val="auto"/>
              </w:rPr>
            </w:pPr>
          </w:p>
        </w:tc>
        <w:tc>
          <w:tcPr>
            <w:tcW w:w="2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7,847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30,965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27,467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4,722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5,062</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199,812</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320" w:type="dxa"/>
            <w:vAlign w:val="bottom"/>
            <w:gridSpan w:val="2"/>
          </w:tcPr>
          <w:p>
            <w:pPr>
              <w:ind w:left="840"/>
              <w:spacing w:after="0"/>
              <w:rPr>
                <w:sz w:val="20"/>
                <w:szCs w:val="20"/>
                <w:color w:val="auto"/>
              </w:rPr>
            </w:pPr>
            <w:r>
              <w:rPr>
                <w:rFonts w:ascii="Arial" w:cs="Arial" w:eastAsia="Arial" w:hAnsi="Arial"/>
                <w:sz w:val="18"/>
                <w:szCs w:val="18"/>
                <w:b w:val="1"/>
                <w:bCs w:val="1"/>
                <w:color w:val="auto"/>
                <w:w w:val="93"/>
              </w:rPr>
              <w:t>Six Months Ended</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20" w:type="dxa"/>
            <w:vAlign w:val="bottom"/>
            <w:gridSpan w:val="2"/>
          </w:tcPr>
          <w:p>
            <w:pPr>
              <w:ind w:left="1020"/>
              <w:spacing w:after="0"/>
              <w:rPr>
                <w:sz w:val="20"/>
                <w:szCs w:val="20"/>
                <w:color w:val="auto"/>
              </w:rPr>
            </w:pPr>
            <w:r>
              <w:rPr>
                <w:rFonts w:ascii="Arial" w:cs="Arial" w:eastAsia="Arial" w:hAnsi="Arial"/>
                <w:sz w:val="18"/>
                <w:szCs w:val="18"/>
                <w:b w:val="1"/>
                <w:bCs w:val="1"/>
                <w:color w:val="auto"/>
              </w:rPr>
              <w:t>June 30, 2022</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2"/>
              </w:rPr>
              <w:t>Commercial,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Residential</w:t>
            </w:r>
          </w:p>
        </w:tc>
        <w:tc>
          <w:tcPr>
            <w:tcW w:w="140" w:type="dxa"/>
            <w:vAlign w:val="bottom"/>
          </w:tcPr>
          <w:p>
            <w:pPr>
              <w:spacing w:after="0"/>
              <w:rPr>
                <w:sz w:val="20"/>
                <w:szCs w:val="2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Strategic</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Non-Real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Real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Program</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Commercial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Pr>
          <w:p>
            <w:pPr>
              <w:spacing w:after="0"/>
              <w:rPr>
                <w:sz w:val="20"/>
                <w:szCs w:val="20"/>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9"/>
              </w:rPr>
              <w:t>SBA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Estate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Estate</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Loans</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Real Estate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Consumer</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6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Charge-offs</w:t>
            </w:r>
          </w:p>
        </w:tc>
        <w:tc>
          <w:tcPr>
            <w:tcW w:w="3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(5,438)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Recoveries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8"/>
                <w:szCs w:val="18"/>
                <w:color w:val="auto"/>
                <w:w w:val="98"/>
              </w:rPr>
              <w:t>Provision for loan losses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4,923</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end of period</w:t>
            </w:r>
          </w:p>
        </w:tc>
        <w:tc>
          <w:tcPr>
            <w:tcW w:w="36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8"/>
                <w:szCs w:val="18"/>
                <w:color w:val="auto"/>
              </w:rPr>
              <w:t>individually evaluated</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collectively evaluated</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10,602</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Loans receivable</w:t>
            </w:r>
          </w:p>
        </w:tc>
        <w:tc>
          <w:tcPr>
            <w:tcW w:w="360" w:type="dxa"/>
            <w:vAlign w:val="bottom"/>
            <w:tcBorders>
              <w:bottom w:val="single" w:sz="8" w:color="CCEEFF"/>
            </w:tcBorders>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124,477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gridSpan w:val="2"/>
          </w:tcPr>
          <w:p>
            <w:pPr>
              <w:jc w:val="right"/>
              <w:ind w:right="2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7,847</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30,965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27,467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4,722</w:t>
            </w: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5,062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200,540</w:t>
            </w:r>
          </w:p>
        </w:tc>
        <w:tc>
          <w:tcPr>
            <w:tcW w:w="0" w:type="dxa"/>
            <w:vAlign w:val="bottom"/>
          </w:tcPr>
          <w:p>
            <w:pPr>
              <w:spacing w:after="0"/>
              <w:rPr>
                <w:sz w:val="1"/>
                <w:szCs w:val="1"/>
                <w:color w:val="auto"/>
              </w:rPr>
            </w:pPr>
          </w:p>
        </w:tc>
      </w:tr>
    </w:tbl>
    <w:p>
      <w:pPr>
        <w:sectPr>
          <w:pgSz w:w="11900" w:h="16900" w:orient="portrait"/>
          <w:cols w:equalWidth="0" w:num="1">
            <w:col w:w="11240"/>
          </w:cols>
          <w:pgMar w:left="320" w:top="122"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w:t>
            </w:r>
          </w:p>
        </w:tc>
      </w:tr>
      <w:tr>
        <w:trPr>
          <w:trHeight w:val="216"/>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individually evaluated</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1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02"/>
        </w:trPr>
        <w:tc>
          <w:tcPr>
            <w:tcW w:w="1860" w:type="dxa"/>
            <w:vAlign w:val="bottom"/>
          </w:tcPr>
          <w:p>
            <w:pPr>
              <w:spacing w:after="0" w:line="201" w:lineRule="exact"/>
              <w:rPr>
                <w:sz w:val="20"/>
                <w:szCs w:val="20"/>
                <w:color w:val="auto"/>
              </w:rPr>
            </w:pPr>
            <w:r>
              <w:rPr>
                <w:rFonts w:ascii="Arial" w:cs="Arial" w:eastAsia="Arial" w:hAnsi="Arial"/>
                <w:sz w:val="18"/>
                <w:szCs w:val="18"/>
                <w:color w:val="auto"/>
              </w:rPr>
              <w:t>Ending balance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60" w:type="dxa"/>
            <w:vAlign w:val="bottom"/>
          </w:tcPr>
          <w:p>
            <w:pPr>
              <w:ind w:left="180"/>
              <w:spacing w:after="0"/>
              <w:rPr>
                <w:sz w:val="20"/>
                <w:szCs w:val="20"/>
                <w:color w:val="auto"/>
              </w:rPr>
            </w:pPr>
            <w:r>
              <w:rPr>
                <w:rFonts w:ascii="Arial" w:cs="Arial" w:eastAsia="Arial" w:hAnsi="Arial"/>
                <w:sz w:val="18"/>
                <w:szCs w:val="18"/>
                <w:color w:val="auto"/>
                <w:w w:val="97"/>
              </w:rPr>
              <w:t>collectively evaluated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860" w:type="dxa"/>
            <w:vAlign w:val="bottom"/>
          </w:tcPr>
          <w:p>
            <w:pPr>
              <w:ind w:left="180"/>
              <w:spacing w:after="0"/>
              <w:rPr>
                <w:sz w:val="20"/>
                <w:szCs w:val="20"/>
                <w:color w:val="auto"/>
              </w:rPr>
            </w:pPr>
            <w:r>
              <w:rPr>
                <w:rFonts w:ascii="Arial" w:cs="Arial" w:eastAsia="Arial" w:hAnsi="Arial"/>
                <w:sz w:val="18"/>
                <w:szCs w:val="18"/>
                <w:color w:val="auto"/>
              </w:rPr>
              <w:t>for impairment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123,749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7,847</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30,965</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27,467</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4,722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5,062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199,812</w:t>
            </w:r>
          </w:p>
        </w:tc>
      </w:tr>
      <w:tr>
        <w:trPr>
          <w:trHeight w:val="21"/>
        </w:trPr>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2"/>
        </w:trPr>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39"/>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34"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290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9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8"/>
              </w:rPr>
              <w:t>June 30, 2021</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2"/>
              </w:rPr>
              <w:t>Commercial,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Residential</w:t>
            </w:r>
          </w:p>
        </w:tc>
        <w:tc>
          <w:tcPr>
            <w:tcW w:w="140" w:type="dxa"/>
            <w:vAlign w:val="bottom"/>
          </w:tcPr>
          <w:p>
            <w:pPr>
              <w:spacing w:after="0"/>
              <w:rPr>
                <w:sz w:val="20"/>
                <w:szCs w:val="2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Strategic</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Non-Real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Real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Program</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Commercial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340" w:type="dxa"/>
            <w:vAlign w:val="bottom"/>
          </w:tcPr>
          <w:p>
            <w:pPr>
              <w:spacing w:after="0"/>
              <w:rPr>
                <w:sz w:val="20"/>
                <w:szCs w:val="20"/>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SBA</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Estate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Estate</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Loans</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Real Estate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Consumer</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Charge-offs</w:t>
            </w:r>
          </w:p>
        </w:tc>
        <w:tc>
          <w:tcPr>
            <w:tcW w:w="3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Recoveries</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1960" w:type="dxa"/>
            <w:vAlign w:val="bottom"/>
            <w:gridSpan w:val="2"/>
          </w:tcPr>
          <w:p>
            <w:pPr>
              <w:spacing w:after="0"/>
              <w:rPr>
                <w:sz w:val="20"/>
                <w:szCs w:val="20"/>
                <w:color w:val="auto"/>
              </w:rPr>
            </w:pPr>
            <w:r>
              <w:rPr>
                <w:rFonts w:ascii="Arial" w:cs="Arial" w:eastAsia="Arial" w:hAnsi="Arial"/>
                <w:sz w:val="18"/>
                <w:szCs w:val="18"/>
                <w:color w:val="auto"/>
                <w:w w:val="98"/>
              </w:rPr>
              <w:t>Provision for loan losses</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Balance at end of period</w:t>
            </w:r>
          </w:p>
        </w:tc>
        <w:tc>
          <w:tcPr>
            <w:tcW w:w="3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rPr>
              <w:t>Ending balance</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individually evaluated</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for impairment</w:t>
            </w:r>
          </w:p>
        </w:tc>
        <w:tc>
          <w:tcPr>
            <w:tcW w:w="3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6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collectively evaluated</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7,239</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960" w:type="dxa"/>
            <w:vAlign w:val="bottom"/>
            <w:gridSpan w:val="2"/>
          </w:tcPr>
          <w:p>
            <w:pPr>
              <w:spacing w:after="0"/>
              <w:rPr>
                <w:sz w:val="20"/>
                <w:szCs w:val="20"/>
                <w:color w:val="auto"/>
              </w:rPr>
            </w:pPr>
            <w:r>
              <w:rPr>
                <w:rFonts w:ascii="Arial" w:cs="Arial" w:eastAsia="Arial" w:hAnsi="Arial"/>
                <w:sz w:val="18"/>
                <w:szCs w:val="18"/>
                <w:color w:val="auto"/>
              </w:rPr>
              <w:t>Loans receivable</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128,841</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22,410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12,459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174,277</w:t>
            </w:r>
          </w:p>
        </w:tc>
        <w:tc>
          <w:tcPr>
            <w:tcW w:w="0" w:type="dxa"/>
            <w:vAlign w:val="bottom"/>
          </w:tcPr>
          <w:p>
            <w:pPr>
              <w:spacing w:after="0"/>
              <w:rPr>
                <w:sz w:val="1"/>
                <w:szCs w:val="1"/>
                <w:color w:val="auto"/>
              </w:rPr>
            </w:pPr>
          </w:p>
        </w:tc>
      </w:tr>
      <w:tr>
        <w:trPr>
          <w:trHeight w:val="202"/>
        </w:trPr>
        <w:tc>
          <w:tcPr>
            <w:tcW w:w="196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individually evaluated</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2"/>
        </w:trPr>
        <w:tc>
          <w:tcPr>
            <w:tcW w:w="196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collectively evaluated</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for impairment</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127,954</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22,410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12,459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173,390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320" w:type="dxa"/>
            <w:vAlign w:val="bottom"/>
          </w:tcPr>
          <w:p>
            <w:pPr>
              <w:spacing w:after="0"/>
              <w:rPr>
                <w:sz w:val="24"/>
                <w:szCs w:val="24"/>
                <w:color w:val="auto"/>
              </w:rPr>
            </w:pPr>
          </w:p>
        </w:tc>
        <w:tc>
          <w:tcPr>
            <w:tcW w:w="198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0"/>
              </w:rPr>
              <w:t>Six Months Ended</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9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8"/>
              </w:rPr>
              <w:t>June 30, 2021</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2"/>
              </w:rPr>
              <w:t>Commercial,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Residential</w:t>
            </w:r>
          </w:p>
        </w:tc>
        <w:tc>
          <w:tcPr>
            <w:tcW w:w="140" w:type="dxa"/>
            <w:vAlign w:val="bottom"/>
          </w:tcPr>
          <w:p>
            <w:pPr>
              <w:spacing w:after="0"/>
              <w:rPr>
                <w:sz w:val="20"/>
                <w:szCs w:val="2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Strategic</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Non-Real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Real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Program</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Commercial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340" w:type="dxa"/>
            <w:vAlign w:val="bottom"/>
          </w:tcPr>
          <w:p>
            <w:pPr>
              <w:spacing w:after="0"/>
              <w:rPr>
                <w:sz w:val="20"/>
                <w:szCs w:val="20"/>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SBA</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Estate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Estate</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Loans</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Real Estate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Consumer</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Charge-offs</w:t>
            </w:r>
          </w:p>
        </w:tc>
        <w:tc>
          <w:tcPr>
            <w:tcW w:w="3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Recoveries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1960" w:type="dxa"/>
            <w:vAlign w:val="bottom"/>
            <w:gridSpan w:val="2"/>
          </w:tcPr>
          <w:p>
            <w:pPr>
              <w:spacing w:after="0"/>
              <w:rPr>
                <w:sz w:val="20"/>
                <w:szCs w:val="20"/>
                <w:color w:val="auto"/>
              </w:rPr>
            </w:pPr>
            <w:r>
              <w:rPr>
                <w:rFonts w:ascii="Arial" w:cs="Arial" w:eastAsia="Arial" w:hAnsi="Arial"/>
                <w:sz w:val="18"/>
                <w:szCs w:val="18"/>
                <w:color w:val="auto"/>
                <w:w w:val="98"/>
              </w:rPr>
              <w:t>Provision for loan losses</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Balance at end of period</w:t>
            </w:r>
          </w:p>
        </w:tc>
        <w:tc>
          <w:tcPr>
            <w:tcW w:w="3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60" w:type="dxa"/>
            <w:vAlign w:val="bottom"/>
            <w:gridSpan w:val="2"/>
          </w:tcPr>
          <w:p>
            <w:pPr>
              <w:spacing w:after="0" w:line="201" w:lineRule="exact"/>
              <w:rPr>
                <w:sz w:val="20"/>
                <w:szCs w:val="20"/>
                <w:color w:val="auto"/>
              </w:rPr>
            </w:pPr>
            <w:r>
              <w:rPr>
                <w:rFonts w:ascii="Arial" w:cs="Arial" w:eastAsia="Arial" w:hAnsi="Arial"/>
                <w:sz w:val="18"/>
                <w:szCs w:val="18"/>
                <w:color w:val="auto"/>
              </w:rPr>
              <w:t>Ending balance</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individually evaluated</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for impairment</w:t>
            </w:r>
          </w:p>
        </w:tc>
        <w:tc>
          <w:tcPr>
            <w:tcW w:w="3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6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collectively evaluated</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7,239</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gridSpan w:val="2"/>
          </w:tcPr>
          <w:p>
            <w:pPr>
              <w:spacing w:after="0"/>
              <w:rPr>
                <w:sz w:val="20"/>
                <w:szCs w:val="20"/>
                <w:color w:val="auto"/>
              </w:rPr>
            </w:pPr>
            <w:r>
              <w:rPr>
                <w:rFonts w:ascii="Arial" w:cs="Arial" w:eastAsia="Arial" w:hAnsi="Arial"/>
                <w:sz w:val="18"/>
                <w:szCs w:val="18"/>
                <w:color w:val="auto"/>
              </w:rPr>
              <w:t>Loans receivable</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128,841</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22,410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12,459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174,277</w:t>
            </w:r>
          </w:p>
        </w:tc>
        <w:tc>
          <w:tcPr>
            <w:tcW w:w="0" w:type="dxa"/>
            <w:vAlign w:val="bottom"/>
          </w:tcPr>
          <w:p>
            <w:pPr>
              <w:spacing w:after="0"/>
              <w:rPr>
                <w:sz w:val="1"/>
                <w:szCs w:val="1"/>
                <w:color w:val="auto"/>
              </w:rPr>
            </w:pPr>
          </w:p>
        </w:tc>
      </w:tr>
      <w:tr>
        <w:trPr>
          <w:trHeight w:val="202"/>
        </w:trPr>
        <w:tc>
          <w:tcPr>
            <w:tcW w:w="196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individually evaluated</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2"/>
        </w:trPr>
        <w:tc>
          <w:tcPr>
            <w:tcW w:w="196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collectively evaluated</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for impairment</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127,954</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22,410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12,459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173,390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impaired loans as of June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Unpaid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20"/>
                <w:szCs w:val="20"/>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Related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Recognized</w:t>
            </w:r>
          </w:p>
        </w:tc>
        <w:tc>
          <w:tcPr>
            <w:tcW w:w="0" w:type="dxa"/>
            <w:vAlign w:val="bottom"/>
          </w:tcPr>
          <w:p>
            <w:pPr>
              <w:spacing w:after="0"/>
              <w:rPr>
                <w:sz w:val="1"/>
                <w:szCs w:val="1"/>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i w:val="1"/>
                <w:iCs w:val="1"/>
                <w:color w:val="auto"/>
              </w:rPr>
              <w:t>($ in thousands)</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Strategic Program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138"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138"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Unpaid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24"/>
                <w:szCs w:val="2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Related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Recognized</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 in thousands)</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Commercial, non-real estate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Strategic Program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Nonaccrual and past due loans are summarized below as of June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r>
              <w:rPr>
                <w:rFonts w:ascii="Arial" w:cs="Arial" w:eastAsia="Arial" w:hAnsi="Arial"/>
                <w:sz w:val="18"/>
                <w:szCs w:val="18"/>
                <w:b w:val="1"/>
                <w:bCs w:val="1"/>
                <w:color w:val="auto"/>
              </w:rPr>
              <w:t>June 30, 2022</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90+ Days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60-89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Past Due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Days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Days</w:t>
            </w:r>
          </w:p>
        </w:tc>
        <w:tc>
          <w:tcPr>
            <w:tcW w:w="14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rPr>
              <w:t>&amp;</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Past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Past</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Still</w:t>
            </w: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Past</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Due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8"/>
              </w:rPr>
              <w:t>Due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Accruing</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Due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Accrual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123,844</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124,477</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3"/>
              </w:rPr>
              <w:t>Commercial, non-real estate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7,847</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30,965</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57,133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1,933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59,066</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5,059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5,062</w:t>
            </w:r>
          </w:p>
        </w:tc>
        <w:tc>
          <w:tcPr>
            <w:tcW w:w="0" w:type="dxa"/>
            <w:vAlign w:val="bottom"/>
          </w:tcPr>
          <w:p>
            <w:pPr>
              <w:spacing w:after="0"/>
              <w:rPr>
                <w:sz w:val="1"/>
                <w:szCs w:val="1"/>
                <w:color w:val="auto"/>
              </w:rPr>
            </w:pPr>
          </w:p>
        </w:tc>
      </w:tr>
      <w:tr>
        <w:trPr>
          <w:trHeight w:val="256"/>
        </w:trPr>
        <w:tc>
          <w:tcPr>
            <w:tcW w:w="2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229,570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214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90+ Days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30-59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60-89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Past Due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Days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Days</w:t>
            </w:r>
          </w:p>
        </w:tc>
        <w:tc>
          <w:tcPr>
            <w:tcW w:w="14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rPr>
              <w:t>&amp;</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Past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Past</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Still</w:t>
            </w: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Past</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Current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Due</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Accruing</w:t>
            </w:r>
          </w:p>
        </w:tc>
        <w:tc>
          <w:tcPr>
            <w:tcW w:w="22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Due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Accrual</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141,488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3"/>
              </w:rPr>
              <w:t>Commercial, non-real estate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84,065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1,785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85,850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57"/>
        </w:trPr>
        <w:tc>
          <w:tcPr>
            <w:tcW w:w="2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263,079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2"/>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amount of interest income for the three and six months ended June 30, 2022 and 2021, that was not recorded on nonaccrual loans was </w:t>
      </w:r>
      <w:r>
        <w:rPr>
          <w:rFonts w:ascii="Arial" w:cs="Arial" w:eastAsia="Arial" w:hAnsi="Arial"/>
          <w:sz w:val="16"/>
          <w:szCs w:val="16"/>
          <w:i w:val="1"/>
          <w:iCs w:val="1"/>
          <w:color w:val="auto"/>
        </w:rPr>
        <w:t>de minimis</w:t>
      </w:r>
      <w:r>
        <w:rPr>
          <w:rFonts w:ascii="Arial" w:cs="Arial" w:eastAsia="Arial" w:hAnsi="Arial"/>
          <w:sz w:val="16"/>
          <w:szCs w:val="16"/>
          <w:color w:val="auto"/>
        </w:rPr>
        <w:t>.</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Pass (Loan Grades 1-4) </w:t>
      </w:r>
      <w:r>
        <w:rPr>
          <w:rFonts w:ascii="Arial" w:cs="Arial" w:eastAsia="Arial" w:hAnsi="Arial"/>
          <w:sz w:val="18"/>
          <w:szCs w:val="18"/>
          <w:color w:val="auto"/>
        </w:rPr>
        <w:t>– A Pass asset is higher quality and does not fit any of the other categories described below. The likelihood of loss is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remote.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Special Mention </w:t>
      </w:r>
      <w:r>
        <w:rPr>
          <w:rFonts w:ascii="Arial" w:cs="Arial" w:eastAsia="Arial" w:hAnsi="Arial"/>
          <w:sz w:val="16"/>
          <w:szCs w:val="16"/>
          <w:color w:val="auto"/>
        </w:rPr>
        <w:t>(Loan Grade 5) – A Special Mention asset has potential weaknesses that may be temporary or, if left uncorrected, may result in a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While concerns exist, the Company is currently protected and loss is considered unlikely and not imminent.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Classified Substandard </w:t>
      </w:r>
      <w:r>
        <w:rPr>
          <w:rFonts w:ascii="Arial" w:cs="Arial" w:eastAsia="Arial" w:hAnsi="Arial"/>
          <w:sz w:val="18"/>
          <w:szCs w:val="18"/>
          <w:color w:val="auto"/>
        </w:rPr>
        <w:t>(Loan Grade 6) – A Substandard asset is inadequately protected by the current sound worth and paying capacity of the obligor or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collateral pledged, if any. Assets so classified have well defined weaknesses and are characterized by the distinct possibility that the Company may sustain some loss if deficiencies are not corrected.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Classified Doubtful </w:t>
      </w:r>
      <w:r>
        <w:rPr>
          <w:rFonts w:ascii="Arial" w:cs="Arial" w:eastAsia="Arial" w:hAnsi="Arial"/>
          <w:sz w:val="18"/>
          <w:szCs w:val="18"/>
          <w:color w:val="auto"/>
        </w:rPr>
        <w:t>(Loan Grade 7) – A Doubtful asset has all the weaknesses inherent in a Substandard asset with the added characteristics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make collection or liquidation in full highly questionable.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Classified Loss (Loan Grade 8) – </w:t>
      </w:r>
      <w:r>
        <w:rPr>
          <w:rFonts w:ascii="Arial" w:cs="Arial" w:eastAsia="Arial" w:hAnsi="Arial"/>
          <w:sz w:val="18"/>
          <w:szCs w:val="18"/>
          <w:color w:val="auto"/>
        </w:rPr>
        <w:t>A loss loan has an existing weakness or weaknesses that render the loan uncollectible and of such little value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to carry as an asset on the Bank’s book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does not currently grade retained Strategic Program loans due to their small balances and homogenous nature. Credit quality for Strategic Program loans is highly correlated with delinquency levels. The Strategic Program loans are evaluated collectively for impairment.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Outstanding loan balances categorized by these credit quality indicators are summarized as follows at June 30, 2022 and December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June 30, 2022</w:t>
            </w: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8"/>
              </w:rPr>
              <w:t>Special</w:t>
            </w:r>
          </w:p>
        </w:tc>
        <w:tc>
          <w:tcPr>
            <w:tcW w:w="120" w:type="dxa"/>
            <w:vAlign w:val="bottom"/>
          </w:tcPr>
          <w:p>
            <w:pPr>
              <w:spacing w:after="0"/>
              <w:rPr>
                <w:sz w:val="20"/>
                <w:szCs w:val="20"/>
                <w:color w:val="auto"/>
              </w:rPr>
            </w:pP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1"/>
              </w:rPr>
              <w:t>Classified/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Mention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Doubtful/Loss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8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Grade 1-4</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Grade 5</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Grade 6-8</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2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122,338</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Commercial, non-real estate</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7,847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7,847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30,965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30,965</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4,722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2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5,062</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5,062</w:t>
            </w:r>
          </w:p>
        </w:tc>
        <w:tc>
          <w:tcPr>
            <w:tcW w:w="0" w:type="dxa"/>
            <w:vAlign w:val="bottom"/>
          </w:tcPr>
          <w:p>
            <w:pPr>
              <w:spacing w:after="0"/>
              <w:rPr>
                <w:sz w:val="1"/>
                <w:szCs w:val="1"/>
                <w:color w:val="auto"/>
              </w:rPr>
            </w:pPr>
          </w:p>
        </w:tc>
      </w:tr>
      <w:tr>
        <w:trPr>
          <w:trHeight w:val="216"/>
        </w:trPr>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Not Risk Graded</w:t>
            </w:r>
          </w:p>
        </w:tc>
        <w:tc>
          <w:tcPr>
            <w:tcW w:w="2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2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170,934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232,139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100" w:type="dxa"/>
            <w:vAlign w:val="bottom"/>
            <w:vMerge w:val="restart"/>
          </w:tcPr>
          <w:p>
            <w:pPr>
              <w:jc w:val="right"/>
              <w:ind w:right="199"/>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38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88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88"/>
              </w:rPr>
              <w:t>Special</w:t>
            </w:r>
          </w:p>
        </w:tc>
        <w:tc>
          <w:tcPr>
            <w:tcW w:w="120" w:type="dxa"/>
            <w:vAlign w:val="bottom"/>
          </w:tcPr>
          <w:p>
            <w:pPr>
              <w:spacing w:after="0"/>
              <w:rPr>
                <w:sz w:val="24"/>
                <w:szCs w:val="24"/>
                <w:color w:val="auto"/>
              </w:rPr>
            </w:pPr>
          </w:p>
        </w:tc>
        <w:tc>
          <w:tcPr>
            <w:tcW w:w="120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1"/>
              </w:rPr>
              <w:t>Classified/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Pass</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Mention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Doubtful/Loss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Grade 1-4</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Grade 5</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Grade 6-8</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139,985</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Commercial, non-real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real estate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27,108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Not Risk Graded</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Strategic Program loans</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177,485</w:t>
            </w:r>
          </w:p>
        </w:tc>
        <w:tc>
          <w:tcPr>
            <w:tcW w:w="2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265,788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Loans modified and recorded as TDR’s at June 30, 2022 and December 31, 2021,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Post-</w:t>
            </w:r>
          </w:p>
        </w:tc>
      </w:tr>
      <w:tr>
        <w:trPr>
          <w:trHeight w:val="216"/>
        </w:trPr>
        <w:tc>
          <w:tcPr>
            <w:tcW w:w="7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Modification</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Modification</w:t>
            </w:r>
          </w:p>
        </w:tc>
      </w:tr>
      <w:tr>
        <w:trPr>
          <w:trHeight w:val="216"/>
        </w:trPr>
        <w:tc>
          <w:tcPr>
            <w:tcW w:w="7320" w:type="dxa"/>
            <w:vAlign w:val="bottom"/>
          </w:tcPr>
          <w:p>
            <w:pPr>
              <w:spacing w:after="0"/>
              <w:rPr>
                <w:sz w:val="18"/>
                <w:szCs w:val="18"/>
                <w:color w:val="auto"/>
              </w:rPr>
            </w:pPr>
          </w:p>
        </w:tc>
        <w:tc>
          <w:tcPr>
            <w:tcW w:w="100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732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b w:val="1"/>
                <w:bCs w:val="1"/>
                <w:color w:val="auto"/>
                <w:w w:val="82"/>
              </w:rPr>
              <w:t>of</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Recorded</w:t>
            </w:r>
          </w:p>
        </w:tc>
      </w:tr>
      <w:tr>
        <w:trPr>
          <w:trHeight w:val="241"/>
        </w:trPr>
        <w:tc>
          <w:tcPr>
            <w:tcW w:w="73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00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Contracts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June 30, 2022</w:t>
            </w: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7"/>
        </w:trPr>
        <w:tc>
          <w:tcPr>
            <w:tcW w:w="73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Total at June 30, 2022</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7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7"/>
        </w:trPr>
        <w:tc>
          <w:tcPr>
            <w:tcW w:w="73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Total at December 31, 2021</w:t>
            </w:r>
          </w:p>
        </w:tc>
        <w:tc>
          <w:tcPr>
            <w:tcW w:w="1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7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Non-Accrual</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w:t>
            </w:r>
          </w:p>
        </w:tc>
        <w:tc>
          <w:tcPr>
            <w:tcW w:w="10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2022 and December 31, 2021, there were no commitments to lend additional funds to debtors whose loan terms have been modified in a TDR. Loans modified and recorded as TDR’s included modifications to rate and term. There was one principal charge-off recorded related to TDRs during the six months ended June 30, 2022 for $0.01 million. There were no principal charge-offs recorded related to TDRs during the six months ended June 30, 2021. There was no principal charge-off recorded related to TDRs during the three months ended June 30, 2022. There were no principal charge-offs recorded related to TDRs during the three months ended June 30, 2021.</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June 30, 2022 and 2021, there were no loan modifications to TDRs. Separately, one restructured loan incurred a default within 12 months of the restructure date during the six months ended June 30, 2022. This same loan was paid in full with interest on June 2, 2022. One restructured loan incurred a default within 12 months of the restructure date during the six months ended June 30, 2021. This same loan was paid in full with interest on May 28,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4 – Premises and Equipment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Premises and equipment at June 30, 2022 and December 31, 2021, consist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 in thousands)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2,219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premises and equipment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7,416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4,632</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(1,347)</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Premises and equipment, net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approximately $0.2 million and $0.1 million for the six months ended June 30, 2022 and 2021,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Liabilities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leases its facilities under noncancelable operating leases. Rent expense for six months ended June 30, 2022 and 2021 was $0.6 million and $0.3 million, respectively. Future minimum annual rental payments for these operating leases are as follows ($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December 31, 2022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Year Ended December 31, 2023</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2024</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Year Ended December 31, 2025</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2026</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entered into one lease during the six months ended June 30, 2022 to provide additional space while the Murray office construction is completed. ASC 842 does not apply due to the short-term period of this lease and immateriality. The tables below present information regarding the Company’s lease assets and liabilities. Comparative periods and disclosures are not presented here due to adoption of ASC 842 on January 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8"/>
          </w:tcPr>
          <w:p>
            <w:pPr>
              <w:jc w:val="center"/>
              <w:ind w:left="590"/>
              <w:spacing w:after="0"/>
              <w:rPr>
                <w:sz w:val="20"/>
                <w:szCs w:val="20"/>
                <w:color w:val="auto"/>
              </w:rPr>
            </w:pPr>
            <w:r>
              <w:rPr>
                <w:rFonts w:ascii="Arial" w:cs="Arial" w:eastAsia="Arial" w:hAnsi="Arial"/>
                <w:sz w:val="18"/>
                <w:szCs w:val="18"/>
                <w:b w:val="1"/>
                <w:bCs w:val="1"/>
                <w:color w:val="auto"/>
                <w:w w:val="90"/>
              </w:rPr>
              <w:t>Six Months Ended</w:t>
            </w:r>
          </w:p>
        </w:tc>
      </w:tr>
      <w:tr>
        <w:trPr>
          <w:trHeight w:val="223"/>
        </w:trPr>
        <w:tc>
          <w:tcPr>
            <w:tcW w:w="8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0"/>
              </w:rPr>
              <w:t>June 30, 2022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Weighted-average remaining lease term – operating leases </w:t>
            </w:r>
            <w:r>
              <w:rPr>
                <w:rFonts w:ascii="Arial" w:cs="Arial" w:eastAsia="Arial" w:hAnsi="Arial"/>
                <w:sz w:val="18"/>
                <w:szCs w:val="18"/>
                <w:i w:val="1"/>
                <w:iCs w:val="1"/>
                <w:color w:val="auto"/>
              </w:rPr>
              <w:t>(in years)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780"/>
              <w:spacing w:after="0"/>
              <w:rPr>
                <w:sz w:val="20"/>
                <w:szCs w:val="20"/>
                <w:color w:val="auto"/>
              </w:rPr>
            </w:pPr>
            <w:r>
              <w:rPr>
                <w:rFonts w:ascii="Arial" w:cs="Arial" w:eastAsia="Arial" w:hAnsi="Arial"/>
                <w:sz w:val="18"/>
                <w:szCs w:val="18"/>
                <w:color w:val="auto"/>
                <w:w w:val="87"/>
              </w:rPr>
              <w:t>1.9%</w:t>
            </w:r>
          </w:p>
        </w:tc>
      </w:tr>
      <w:tr>
        <w:trPr>
          <w:trHeight w:val="418"/>
        </w:trPr>
        <w:tc>
          <w:tcPr>
            <w:tcW w:w="856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were as follows (in thousands):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3"/>
              </w:rPr>
              <w:t>Three Months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Six Months</w:t>
            </w:r>
          </w:p>
        </w:tc>
      </w:tr>
      <w:tr>
        <w:trPr>
          <w:trHeight w:val="241"/>
        </w:trPr>
        <w:tc>
          <w:tcPr>
            <w:tcW w:w="8560" w:type="dxa"/>
            <w:vAlign w:val="bottom"/>
          </w:tcPr>
          <w:p>
            <w:pPr>
              <w:spacing w:after="0"/>
              <w:rPr>
                <w:sz w:val="20"/>
                <w:szCs w:val="20"/>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Ended June 30,</w:t>
            </w:r>
          </w:p>
        </w:tc>
        <w:tc>
          <w:tcPr>
            <w:tcW w:w="14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Ended June 30,</w:t>
            </w:r>
          </w:p>
        </w:tc>
      </w:tr>
      <w:tr>
        <w:trPr>
          <w:trHeight w:val="223"/>
        </w:trPr>
        <w:tc>
          <w:tcPr>
            <w:tcW w:w="85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 in thousands)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from operating leases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26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7,380</w:t>
            </w:r>
          </w:p>
        </w:tc>
      </w:tr>
      <w:tr>
        <w:trPr>
          <w:trHeight w:val="554"/>
        </w:trPr>
        <w:tc>
          <w:tcPr>
            <w:tcW w:w="8560" w:type="dxa"/>
            <w:vAlign w:val="bottom"/>
          </w:tcPr>
          <w:p>
            <w:pPr>
              <w:ind w:left="5560"/>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85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7200" w:type="dxa"/>
            <w:vAlign w:val="bottom"/>
            <w:gridSpan w:val="2"/>
          </w:tcPr>
          <w:p>
            <w:pPr>
              <w:spacing w:after="0"/>
              <w:rPr>
                <w:sz w:val="20"/>
                <w:szCs w:val="20"/>
                <w:color w:val="auto"/>
              </w:rPr>
            </w:pPr>
            <w:r>
              <w:rPr>
                <w:rFonts w:ascii="Arial" w:cs="Arial" w:eastAsia="Arial" w:hAnsi="Arial"/>
                <w:sz w:val="18"/>
                <w:szCs w:val="18"/>
                <w:color w:val="auto"/>
              </w:rPr>
              <w:t>The components of lease expense were as follows (in thousands):</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480" w:type="dxa"/>
            <w:vAlign w:val="bottom"/>
            <w:gridSpan w:val="5"/>
          </w:tcPr>
          <w:p>
            <w:pPr>
              <w:ind w:left="620"/>
              <w:spacing w:after="0"/>
              <w:rPr>
                <w:sz w:val="20"/>
                <w:szCs w:val="20"/>
                <w:color w:val="auto"/>
              </w:rPr>
            </w:pPr>
            <w:r>
              <w:rPr>
                <w:rFonts w:ascii="Arial" w:cs="Arial" w:eastAsia="Arial" w:hAnsi="Arial"/>
                <w:sz w:val="18"/>
                <w:szCs w:val="18"/>
                <w:b w:val="1"/>
                <w:bCs w:val="1"/>
                <w:color w:val="auto"/>
              </w:rPr>
              <w:t>Three Months Ended</w:t>
            </w:r>
          </w:p>
        </w:tc>
        <w:tc>
          <w:tcPr>
            <w:tcW w:w="1560" w:type="dxa"/>
            <w:vAlign w:val="bottom"/>
            <w:gridSpan w:val="6"/>
          </w:tcPr>
          <w:p>
            <w:pPr>
              <w:ind w:left="40"/>
              <w:spacing w:after="0"/>
              <w:rPr>
                <w:sz w:val="20"/>
                <w:szCs w:val="20"/>
                <w:color w:val="auto"/>
              </w:rPr>
            </w:pPr>
            <w:r>
              <w:rPr>
                <w:rFonts w:ascii="Arial" w:cs="Arial" w:eastAsia="Arial" w:hAnsi="Arial"/>
                <w:sz w:val="18"/>
                <w:szCs w:val="18"/>
                <w:b w:val="1"/>
                <w:bCs w:val="1"/>
                <w:color w:val="auto"/>
                <w:w w:val="96"/>
              </w:rPr>
              <w:t>Six Months Ended</w:t>
            </w:r>
          </w:p>
        </w:tc>
      </w:tr>
      <w:tr>
        <w:trPr>
          <w:trHeight w:val="241"/>
        </w:trPr>
        <w:tc>
          <w:tcPr>
            <w:tcW w:w="3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60" w:type="dxa"/>
            <w:vAlign w:val="bottom"/>
            <w:gridSpan w:val="4"/>
          </w:tcPr>
          <w:p>
            <w:pPr>
              <w:ind w:left="300"/>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rPr>
              <w:t>June 30, 2022</w:t>
            </w:r>
          </w:p>
        </w:tc>
      </w:tr>
      <w:tr>
        <w:trPr>
          <w:trHeight w:val="202"/>
        </w:trPr>
        <w:tc>
          <w:tcPr>
            <w:tcW w:w="720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(in thousands)</w:t>
            </w:r>
          </w:p>
        </w:tc>
        <w:tc>
          <w:tcPr>
            <w:tcW w:w="6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14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r>
      <w:tr>
        <w:trPr>
          <w:trHeight w:val="223"/>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Variable lease cost</w:t>
            </w:r>
          </w:p>
        </w:tc>
        <w:tc>
          <w:tcPr>
            <w:tcW w:w="6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Short-term lease rent expense</w:t>
            </w:r>
          </w:p>
        </w:tc>
        <w:tc>
          <w:tcPr>
            <w:tcW w:w="6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57"/>
        </w:trPr>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rent expense</w:t>
            </w:r>
          </w:p>
        </w:tc>
        <w:tc>
          <w:tcPr>
            <w:tcW w:w="6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Note 5 – Deposits</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200" w:type="dxa"/>
            <w:vAlign w:val="bottom"/>
            <w:gridSpan w:val="2"/>
          </w:tcPr>
          <w:p>
            <w:pPr>
              <w:spacing w:after="0"/>
              <w:rPr>
                <w:sz w:val="20"/>
                <w:szCs w:val="20"/>
                <w:color w:val="auto"/>
              </w:rPr>
            </w:pPr>
            <w:r>
              <w:rPr>
                <w:rFonts w:ascii="Arial" w:cs="Arial" w:eastAsia="Arial" w:hAnsi="Arial"/>
                <w:sz w:val="18"/>
                <w:szCs w:val="18"/>
                <w:color w:val="auto"/>
              </w:rPr>
              <w:t>Major classes of deposits at June 30, 2022 and December 31, 2021, are as follows:</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3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Demand</w:t>
            </w:r>
          </w:p>
        </w:tc>
        <w:tc>
          <w:tcPr>
            <w:tcW w:w="164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94,850</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115,947</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Savings</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7,462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markets</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48,273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31,076</w:t>
            </w:r>
          </w:p>
        </w:tc>
        <w:tc>
          <w:tcPr>
            <w:tcW w:w="100" w:type="dxa"/>
            <w:vAlign w:val="bottom"/>
            <w:shd w:val="clear" w:color="auto" w:fill="CCEEFF"/>
          </w:tcPr>
          <w:p>
            <w:pPr>
              <w:spacing w:after="0"/>
              <w:rPr>
                <w:sz w:val="18"/>
                <w:szCs w:val="18"/>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Time certificates of deposit</w:t>
            </w: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68,774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98,184</w:t>
            </w:r>
          </w:p>
        </w:tc>
        <w:tc>
          <w:tcPr>
            <w:tcW w:w="100" w:type="dxa"/>
            <w:vAlign w:val="bottom"/>
          </w:tcPr>
          <w:p>
            <w:pPr>
              <w:spacing w:after="0"/>
              <w:rPr>
                <w:sz w:val="19"/>
                <w:szCs w:val="19"/>
                <w:color w:val="auto"/>
              </w:rPr>
            </w:pPr>
          </w:p>
        </w:tc>
      </w:tr>
      <w:tr>
        <w:trPr>
          <w:trHeight w:val="257"/>
        </w:trPr>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148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219,359</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7200" w:type="dxa"/>
            <w:vAlign w:val="bottom"/>
            <w:gridSpan w:val="2"/>
          </w:tcPr>
          <w:p>
            <w:pPr>
              <w:spacing w:after="0"/>
              <w:rPr>
                <w:sz w:val="20"/>
                <w:szCs w:val="20"/>
                <w:color w:val="auto"/>
              </w:rPr>
            </w:pPr>
            <w:r>
              <w:rPr>
                <w:rFonts w:ascii="Arial" w:cs="Arial" w:eastAsia="Arial" w:hAnsi="Arial"/>
                <w:sz w:val="18"/>
                <w:szCs w:val="18"/>
                <w:color w:val="auto"/>
                <w:w w:val="98"/>
              </w:rPr>
              <w:t>At June 30, 2022, the scheduled maturities of time deposits are as follows ($ in thousands):</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2022</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Year Ended December 31, 2023</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21,269</w:t>
            </w:r>
          </w:p>
        </w:tc>
        <w:tc>
          <w:tcPr>
            <w:tcW w:w="10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2024</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16,374</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Year Ended December 31, 2025</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2026</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w:t>
            </w:r>
          </w:p>
        </w:tc>
        <w:tc>
          <w:tcPr>
            <w:tcW w:w="100" w:type="dxa"/>
            <w:vAlign w:val="bottom"/>
            <w:shd w:val="clear" w:color="auto" w:fill="CCEEFF"/>
          </w:tcPr>
          <w:p>
            <w:pPr>
              <w:spacing w:after="0"/>
              <w:rPr>
                <w:sz w:val="18"/>
                <w:szCs w:val="18"/>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r>
      <w:tr>
        <w:trPr>
          <w:trHeight w:val="256"/>
        </w:trPr>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Time deposits with balances equal or greater than $250,000 totaled $3.5 million and $3.7 million at June 30, 2022 and December 31, 2021,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SBA Servicing Asset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sells portions of SBA loans and retains rights to service the loans. Loans serviced for others are not included in the accompanying balance sheet. The unpaid principal balances of SBA loans serviced for others was $273.9 million and $210.2 million at June 30, 2022 and December 31, 2021,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following table summarizes SBA servicing asset activity for the periods indicated: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For the Six Months</w:t>
            </w: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Additions to servicing asset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1,760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SBA servicing asset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Amortization of servicing asset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market value of the SBA servicing asset as of June 30, 2022 and December 31, 2021, was $4.6 million and $3.9 million, respectively. Fair value adjustments to servicing rights are mainly due to market-based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sectPr>
          <w:pgSz w:w="11900" w:h="16838" w:orient="portrait"/>
          <w:cols w:equalWidth="0" w:num="1">
            <w:col w:w="11240"/>
          </w:cols>
          <w:pgMar w:left="320" w:top="114"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assumed a weighted average prepayment rate of 14.12%, weighted average term of 4.30 years, and a weighted average discount rate of 15.78% at June 30,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assumed a weighted average prepayment rate of 14.37%, weighted average term of 4.02 years, and a weighted average discount rate of 11.38% at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Capital Requirements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June 30, 2022 and December 31, 2021, that the Bank meets all capital adequacy requirements to which it is subject.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2022 and December 31, 2021,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ratio and amount of capital required to be categorized as well-capitalized and adequately capitalized as of the dates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Bank’s actual capital amounts and ratios are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Well-Capitalized</w:t>
            </w:r>
          </w:p>
        </w:tc>
      </w:t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Requirement</w:t>
            </w:r>
          </w:p>
        </w:tc>
      </w:tr>
      <w:tr>
        <w:trPr>
          <w:trHeight w:val="223"/>
        </w:trPr>
        <w:tc>
          <w:tcPr>
            <w:tcW w:w="5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June 30, 2022</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Leverage ratio (CBLR election)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Leverage ratio (CBLR election)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65,503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31,442*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bl>
    <w:p>
      <w:pPr>
        <w:ind w:firstLine="8"/>
        <w:spacing w:after="0" w:line="260" w:lineRule="auto"/>
        <w:tabs>
          <w:tab w:leader="none" w:pos="142"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March 27, 2020 the CARES Act became law. Section 4012 of the CARES Act directs the agencies to issue an interim final rule reducing the CBLR ratio requirement from 9% to 8% for the last two quarters of the year 2020, 8.5% for the calendar year 2021, and 9% thereafter.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Federal Reserve Board Regulations require maintenance of certain minimum reserve balances based on certain average deposits. The Bank had no reserve requirements as of June 30, 2022 and December 31, 2021.</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since FinWise Bancorp is a legal entity separate and distinct from the Bank and does not conduct stand-alone operations, an ability to pay dividends depends on the ability of the Bank to pay dividends to FinWise Bancorp and the FDIC and the Utah Department of Financial Institutions (“UDFI”) may, under certain circumstances, prohibit the payment of dividends to FinWise Bancorp from the Bank. Utah corporate law also requires that dividends can only be paid out of funds legally available.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paid any cash dividends on its common stock since inception and it currently has no plans to pay cash dividends in the foreseeable future. However, the Company’s Board of Directors may declare a cash or stock dividend out of retained earnings provided the regulatory minimum capital ratios are met. The Company plans to maintain capital ratios that meet the well-capitalized standards per the regulations and, therefore, would limit dividends to amounts that are appropriate to maintain those well-capitalized regulatory capital ratios.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Home Loan Bank Secured Line of Credit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2022 and December 31, 2021, the Bank’s available line of credit with the FHLB to borrow in overnight funds was $3.2 million and $4.1 million, respectively. All borrowings are short-term and the interest rate is equal to the correspondent bank’s daily federal funds purchase rate. As of June 30, 2022 and December 31, 2021, no amounts were outstanding under the line of credit. Loans totaling $5.0 million and $5.4 million were pledged to secure the FHLB line of credit as of June 30, 2022 and December 31,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June 30, 2022 and December 31, 2021, we had the ability to access $10.0 million and $10.9 million from the Federal Reserve Bank’s Discount Window on a collateralized basis. Through Zions Bank, the Bank had an available unsecured line available of $1.0 million at June 30, 2022 and December 31, 2021. The Bank had an available line of credit with Bankers’ Bank of the West to borrow up to $1.05 million in overnight funds at June 30, 2022 and December 31, 2021. We had no outstanding balances on such unsecured or secured lines of credit as of June 30, 2022 and December 31,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Liquidity Facility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20, 2020, the Bank was approved by the Federal Reserve to access its SBA Paycheck Protection Program Liquidity Facility (“PPPLF”) through the discount window. The PPPLF enables the Company to fund PPP loans without taking on additional liquidity or funding risks because the Company is able to pledge PPP loans as collateral to secure extensions of credit under the PPPLF on a non-recourse basis. Borrowings under the PPPLF have a fixed-rate of 0.35%, with a term that matches the underlying loans. The Bank pledged $0.4 million of PPP loans as eligible collateral under the PPPLF borrowing arrangement at June 30, 2022. The Bank pledged $1.0 million of PPP loans as eligible collateral under the PPPLF borrowing arrangement at December 31, 2021. The average outstanding borrowings were $0.8 million during the six months ended June 30, 2022 and $67.8 million during the six months ended June 30,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to Extend Credit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At June 30, 2022 and December 31, 2021, financial instruments with off-balance-sheet risk were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Revolving, open-end lines of credit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15,402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unused commitments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25,764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17,038</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Investment in Business Funding Group, LLC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31, 2019, the Company purchased from certain members of BFG a 10% membership interest in exchange for an aggregate of 950,784 shares of par value $0.001 Common Stock of the Company. The exchange was accounted for at fair value based on the fair value of the Company’s shares of approximately $3.5 million.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10% membership interests of BFG are comprised of Class A Voting Units representing 4.96% of the aggregate membership interests of BFG and Class B Non-Voting Units representing 5.04% of the aggregate membership interests of BFG. The other existing members of BFG jointly own the remaining 90% of the outstanding membership interests, on a fully-diluted basis – all of which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 The Company received distributions from BFG in the amounts of $0.3 million and $0.4 million for the six months ended June 30, 2022 and 2021, respectively. These distributions were recorded in the Consolidated Balance Sheets as decreases in the investment in BFG.</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31, 2020, the Company entered into an agreement with BFG whereby the Company has the right of first refusal to purchase additional interests in BFG from any selling members. Additionally, the Company was granted an option to purchase all, but not less than all, of the interests in BFG from the remaining members for an earnings multiple between 10 times and 15 times net profit based on the fiscal year ended immediately prior to the exercise of the option. The option period begins on January 1, 2021 and expires on January 1, 2028. In consideration of granting the first right of refusal and the option, BFG members received 270,000 warrants in the aggregate. The warrants have an exercise price of $6.67 per share and the warrants expire on March 31, 2028. The warrants are free-standing equity instruments and, as a result, are classified within equity at the fair value on the issuance date. The fair value of the warrants was determined by our board of directors with input from management, relying in part upon valuation reports prepared by a third-party valuation firm using a Black-Scholes option pricing model adjusted for a lack of marketability since the Company’s stock is not publicly traded. The resulting fair value of the warrants was $0.19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on the Company’s investment in BFG, see Note 13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2019 Stock Option Plan (“2019 Plan”) was adopted on June 20, 2019 following approval by the Company’s Board of Directors and shareholders. The 2019 Plan provides for the issuance of non-statutory stock options and restricted stock to employees, directors and consultants. The 2019 Plan also provides for the issuance of incentive stock options only to employees.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19, 2022, the Company’s Board of Directors approved an amendment of the 2019 Plan to change its name from the All West Bancorporation 2019 Stock Option Plan to the FinWise Bancorp 2019 Stock Option Plan and to increase the number of shares of the Company’s common stock available for awards under the 2019 Plan by 500,000 shares to 1,280,000 shares, subject to shareholder approval. The Company’s shareholders approved the name change and increase in the number of shares at the Company’s 2022 Annual Meeting of Shareholders on June 9, 2022.</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2019 Plan will terminate as to future awards 10 years from the later of the effective date or the earlier of the most recent Board or stockholder approval of an increase in the number of shares reserved for issuance under the 2019 Plan. At June 30, 2022, 645,178 shares are available for future issuance.</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2016 Stock Option Plan (“2016 Plan”) was adopted on April 20, 2017 following approval by the Company’s Board of Directors and shareholders. The 2016 Plan provides for the issuance of non-statutory stock options and restricted stock to employees, directors and consultants. The 2016 Plan also provides for the issuance of incentive stock options only to employees.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At June 30, 2022, 54 shares under 2016 Plan are available for future issuance.</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stock-based incentive awards for both the 2019 Plan and the 2016 Plan (collectively, the “Plans”) are granted at an exercise price not less than the fair market value of the shares on the date of grant, which is based on a Black-Scholes valuation model, in the case of options, or based on the fair value of the stock at the grant date, in the case of restricted stock. Vesting of the options vary by employee or director and can have a term no more than 10 years, with the options generally having vesting periods ranging from 1 to 5 years. No shares had been granted under the 2016 Plan prior to 2018.</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both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9, 2022, the Board approved a restricted stock discretionary grant of 96,011 shares with an aggregate fair value of $1.3 million from the 2019 Plan to certain executives. Granted shares vest ratably over three years based on achievement of specific levels of the Company’s return on average assets (ROAA) and, subject to the terms and conditions of the grant agreements, will be fully vested on June 9, 2025.</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24, 2019, the Board approved a restricted stock discretionary grant of 1,072,746 shares to certain employees. Pursuant to the awards agreement, 351,852 shares vested on the grant date and were repurchased by the Company on December 31, 2019 to pay for employee withholding taxes. Pursuant to the awards agreement, 73,770 shares subsequently vested and were repurchased by the Company on April 6, 2020 to pay for employee income taxes. Granted shares vest based on the accelerated attribution method on a schedule where all shares would be fully vested on December 1, 2023. On November 18, 2021, pursuant to the awards agreement, the 424,458 remaining unvested shares became vested because the Company’s registration statement was declared 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is determined using the Black-Scholes option valuation model.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assumptions for expected life reflected management’s judgment and include consideration of historical experience. Expected volatility is based on data from comparable public companies for the expected option term. The risk-free interest rate is based on the U.S. Treasury yield curve in effect at the time of grant for periods corresponding with the expected life of the option. Expected forfeitures are estimated based on the Company’s historical forfeiture experience. Management believes that the assumptions used in the option-pricing model are highly subjective and represent only one estimate of possible value, as there is no active market for the options granted. The table below summarizes the assumptions used: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8"/>
          </w:tcPr>
          <w:p>
            <w:pPr>
              <w:jc w:val="right"/>
              <w:ind w:right="180"/>
              <w:spacing w:after="0"/>
              <w:rPr>
                <w:sz w:val="20"/>
                <w:szCs w:val="20"/>
                <w:color w:val="auto"/>
              </w:rPr>
            </w:pPr>
            <w:r>
              <w:rPr>
                <w:rFonts w:ascii="Arial" w:cs="Arial" w:eastAsia="Arial" w:hAnsi="Arial"/>
                <w:sz w:val="18"/>
                <w:szCs w:val="18"/>
                <w:b w:val="1"/>
                <w:bCs w:val="1"/>
                <w:color w:val="auto"/>
                <w:w w:val="90"/>
              </w:rPr>
              <w:t>For the Six Months Ended June</w:t>
            </w:r>
          </w:p>
        </w:tc>
      </w:tr>
      <w:tr>
        <w:trPr>
          <w:trHeight w:val="241"/>
        </w:trPr>
        <w:tc>
          <w:tcPr>
            <w:tcW w:w="5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30,</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 0.7%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5.5 – 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 – 7.5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45.8% – 46.7%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45.7% – 47.6%</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18"/>
        </w:trPr>
        <w:tc>
          <w:tcPr>
            <w:tcW w:w="8600" w:type="dxa"/>
            <w:vAlign w:val="bottom"/>
            <w:gridSpan w:val="6"/>
          </w:tcPr>
          <w:p>
            <w:pPr>
              <w:spacing w:after="0"/>
              <w:rPr>
                <w:sz w:val="20"/>
                <w:szCs w:val="20"/>
                <w:color w:val="auto"/>
              </w:rPr>
            </w:pPr>
            <w:r>
              <w:rPr>
                <w:rFonts w:ascii="Arial" w:cs="Arial" w:eastAsia="Arial" w:hAnsi="Arial"/>
                <w:sz w:val="18"/>
                <w:szCs w:val="18"/>
                <w:color w:val="auto"/>
              </w:rPr>
              <w:t>The following summarizes stock option activity for the three months and six months ended June 30, 2022:</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Contractual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Life (in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years)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2022</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839,028</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w w:val="79"/>
              </w:rPr>
              <w:t>8.0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10,645,951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Options 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89,415</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13.04</w:t>
            </w:r>
          </w:p>
        </w:tc>
        <w:tc>
          <w:tcPr>
            <w:tcW w:w="1380" w:type="dxa"/>
            <w:vAlign w:val="bottom"/>
            <w:gridSpan w:val="4"/>
          </w:tcPr>
          <w:p>
            <w:pPr>
              <w:ind w:left="98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16,158</w:t>
            </w:r>
          </w:p>
        </w:tc>
      </w:tr>
      <w:tr>
        <w:trPr>
          <w:trHeight w:val="27"/>
        </w:trPr>
        <w:tc>
          <w:tcPr>
            <w:tcW w:w="59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Outstanding at June 30, 2022</w:t>
            </w:r>
          </w:p>
        </w:tc>
        <w:tc>
          <w:tcPr>
            <w:tcW w:w="1140" w:type="dxa"/>
            <w:vAlign w:val="bottom"/>
          </w:tcPr>
          <w:p>
            <w:pPr>
              <w:jc w:val="right"/>
              <w:spacing w:after="0"/>
              <w:rPr>
                <w:sz w:val="20"/>
                <w:szCs w:val="20"/>
                <w:color w:val="auto"/>
              </w:rPr>
            </w:pPr>
            <w:r>
              <w:rPr>
                <w:rFonts w:ascii="Arial" w:cs="Arial" w:eastAsia="Arial" w:hAnsi="Arial"/>
                <w:sz w:val="18"/>
                <w:szCs w:val="18"/>
                <w:color w:val="auto"/>
              </w:rPr>
              <w:t>925,283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1380" w:type="dxa"/>
            <w:vAlign w:val="bottom"/>
            <w:gridSpan w:val="4"/>
          </w:tcPr>
          <w:p>
            <w:pPr>
              <w:ind w:left="980"/>
              <w:spacing w:after="0"/>
              <w:rPr>
                <w:sz w:val="20"/>
                <w:szCs w:val="20"/>
                <w:color w:val="auto"/>
              </w:rPr>
            </w:pPr>
            <w:r>
              <w:rPr>
                <w:rFonts w:ascii="Arial" w:cs="Arial" w:eastAsia="Arial" w:hAnsi="Arial"/>
                <w:sz w:val="18"/>
                <w:szCs w:val="18"/>
                <w:color w:val="auto"/>
              </w:rPr>
              <w:t>8.0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4,091,633</w:t>
            </w: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1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exercisable at June 30, 2022</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607,608</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w w:val="79"/>
              </w:rPr>
              <w:t>7.8</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2,898,340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14"/>
        </w:trPr>
        <w:tc>
          <w:tcPr>
            <w:tcW w:w="5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Contractual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Life (in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years)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862,488</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w w:val="79"/>
              </w:rPr>
              <w:t>8.2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8,088,660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89,415</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13.04</w:t>
            </w:r>
          </w:p>
        </w:tc>
        <w:tc>
          <w:tcPr>
            <w:tcW w:w="1380" w:type="dxa"/>
            <w:vAlign w:val="bottom"/>
            <w:gridSpan w:val="4"/>
          </w:tcPr>
          <w:p>
            <w:pPr>
              <w:ind w:left="98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248,312</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(9,820)</w:t>
            </w: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28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108,515</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2022</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925,283</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w w:val="79"/>
              </w:rPr>
              <w:t>8.0</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4,091,633</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Options vested and exercisable at June 30, 2022</w:t>
            </w:r>
          </w:p>
        </w:tc>
        <w:tc>
          <w:tcPr>
            <w:tcW w:w="1140" w:type="dxa"/>
            <w:vAlign w:val="bottom"/>
          </w:tcPr>
          <w:p>
            <w:pPr>
              <w:jc w:val="right"/>
              <w:spacing w:after="0"/>
              <w:rPr>
                <w:sz w:val="20"/>
                <w:szCs w:val="20"/>
                <w:color w:val="auto"/>
              </w:rPr>
            </w:pPr>
            <w:r>
              <w:rPr>
                <w:rFonts w:ascii="Arial" w:cs="Arial" w:eastAsia="Arial" w:hAnsi="Arial"/>
                <w:sz w:val="18"/>
                <w:szCs w:val="18"/>
                <w:color w:val="auto"/>
              </w:rPr>
              <w:t>607,608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1380" w:type="dxa"/>
            <w:vAlign w:val="bottom"/>
            <w:gridSpan w:val="4"/>
          </w:tcPr>
          <w:p>
            <w:pPr>
              <w:ind w:left="980"/>
              <w:spacing w:after="0"/>
              <w:rPr>
                <w:sz w:val="20"/>
                <w:szCs w:val="20"/>
                <w:color w:val="auto"/>
              </w:rPr>
            </w:pPr>
            <w:r>
              <w:rPr>
                <w:rFonts w:ascii="Arial" w:cs="Arial" w:eastAsia="Arial" w:hAnsi="Arial"/>
                <w:sz w:val="18"/>
                <w:szCs w:val="18"/>
                <w:color w:val="auto"/>
              </w:rPr>
              <w:t>7.8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2,898,340</w:t>
            </w:r>
          </w:p>
        </w:tc>
      </w:tr>
      <w:tr>
        <w:trPr>
          <w:trHeight w:val="27"/>
        </w:trPr>
        <w:tc>
          <w:tcPr>
            <w:tcW w:w="598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weighted average grant-date fair value of options per share granted during the six months ended June 30, 2022 was $6.26 . The aggregate intrinsic value of options exercised during the six months ended June 30, 2022 was $0.2 million. During the six months ended June 30, 2022, the Company received </w:t>
      </w:r>
      <w:r>
        <w:rPr>
          <w:rFonts w:ascii="Arial" w:cs="Arial" w:eastAsia="Arial" w:hAnsi="Arial"/>
          <w:sz w:val="18"/>
          <w:szCs w:val="18"/>
          <w:i w:val="1"/>
          <w:iCs w:val="1"/>
          <w:color w:val="auto"/>
        </w:rPr>
        <w:t xml:space="preserve">de minimis </w:t>
      </w:r>
      <w:r>
        <w:rPr>
          <w:rFonts w:ascii="Arial" w:cs="Arial" w:eastAsia="Arial" w:hAnsi="Arial"/>
          <w:sz w:val="18"/>
          <w:szCs w:val="18"/>
          <w:color w:val="auto"/>
        </w:rPr>
        <w:t>proceeds from the exercise of stock options and recognized a</w:t>
      </w:r>
      <w:r>
        <w:rPr>
          <w:rFonts w:ascii="Arial" w:cs="Arial" w:eastAsia="Arial" w:hAnsi="Arial"/>
          <w:sz w:val="18"/>
          <w:szCs w:val="18"/>
          <w:i w:val="1"/>
          <w:iCs w:val="1"/>
          <w:color w:val="auto"/>
        </w:rPr>
        <w:t xml:space="preserve"> de minimis </w:t>
      </w:r>
      <w:r>
        <w:rPr>
          <w:rFonts w:ascii="Arial" w:cs="Arial" w:eastAsia="Arial" w:hAnsi="Arial"/>
          <w:sz w:val="18"/>
          <w:szCs w:val="18"/>
          <w:color w:val="auto"/>
        </w:rPr>
        <w:t>tax benefit from the exercise of stock options. Upon exercise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the Company will issue new authorized shares.</w:t>
      </w:r>
    </w:p>
    <w:p>
      <w:pPr>
        <w:spacing w:after="0" w:line="18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 xml:space="preserve">The weighted average grant-date fair value of options per share granted during the six months ended June 30, 2021 was $1.48. The aggregate intrinsic value of options exercised during the six months ended June 30, 2021 was $0.3 million. During the six months ended June 30, 2021, the Company received $0.2 million in proceeds from the exercise of stock options and recognized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tax benefit from the exercise of stock options.</w:t>
      </w:r>
    </w:p>
    <w:p>
      <w:pPr>
        <w:sectPr>
          <w:pgSz w:w="11900" w:h="16838" w:orient="portrait"/>
          <w:cols w:equalWidth="0" w:num="1">
            <w:col w:w="11240"/>
          </w:cols>
          <w:pgMar w:left="320" w:top="121" w:right="339" w:bottom="706"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06"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pre-tax and after-tax stock-based compensation expense recognized: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For the 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For the Six Months</w:t>
            </w:r>
          </w:p>
        </w:tc>
      </w:t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Ended June 30,</w:t>
            </w:r>
          </w:p>
        </w:tc>
      </w:tr>
      <w:tr>
        <w:trPr>
          <w:trHeight w:val="223"/>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Pre-tax</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Restricted shares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After-tax</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Restricted shares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2022, the Company had unrecognized stock-based compensation expense related to stock options and restricted stock of approximately $0.7 million and $1.2 million, respectively, which is expected to be recognized over the remaining weighted average recognition period of 2.0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of Financial Instruments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instruments. An active market is a market in which transactions occur with sufficient frequency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volume to provide pricing information on an ongoing basis. A quoted price in an active market provides the most reliable evidence of fair value and shall be used to measure fair value whenever available.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Observable inputs other than Level 1 including quoted prices in active markets for similar instruments, quoted prices in less active markets for</w:t>
      </w:r>
      <w:r>
        <w:rPr>
          <w:rFonts w:ascii="Arial" w:cs="Arial" w:eastAsia="Arial" w:hAnsi="Arial"/>
          <w:sz w:val="18"/>
          <w:szCs w:val="18"/>
          <w:b w:val="1"/>
          <w:bCs w:val="1"/>
          <w:color w:val="auto"/>
        </w:rPr>
        <w:t xml:space="preserve"> </w:t>
      </w:r>
      <w:r>
        <w:rPr>
          <w:rFonts w:ascii="Arial" w:cs="Arial" w:eastAsia="Arial" w:hAnsi="Arial"/>
          <w:sz w:val="18"/>
          <w:szCs w:val="18"/>
          <w:color w:val="auto"/>
        </w:rPr>
        <w:t>identical or similar instruments, or other observable inputs that can be corroborated by observable market data.</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supported by little or no market activity for financial instruments whose value is determined using pricing models,</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 of each class of financial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 The carrying amount of these items is a reasonable estimate of their fair value.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Investment securities held-to-maturity</w:t>
      </w:r>
      <w:r>
        <w:rPr>
          <w:rFonts w:ascii="Arial" w:cs="Arial" w:eastAsia="Arial" w:hAnsi="Arial"/>
          <w:sz w:val="18"/>
          <w:szCs w:val="18"/>
          <w:color w:val="auto"/>
        </w:rPr>
        <w:t>: The estimated fair values of investment securities are priced using current active market quotes, if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considered Level 1 measurements. For most of the portfolio, matrix pricing based on the securities’ relationship to other benchmark quoted prices is used to establish the fair value. These measurements are considered Level 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in Federal Home Loan Bank stock</w:t>
      </w:r>
      <w:r>
        <w:rPr>
          <w:rFonts w:ascii="Arial" w:cs="Arial" w:eastAsia="Arial" w:hAnsi="Arial"/>
          <w:sz w:val="16"/>
          <w:szCs w:val="16"/>
          <w:color w:val="auto"/>
        </w:rPr>
        <w:t>: The fair value is based upon the redemption value of the stock, which equates to the carrying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Program loans held-for-sale</w:t>
      </w:r>
      <w:r>
        <w:rPr>
          <w:rFonts w:ascii="Arial" w:cs="Arial" w:eastAsia="Arial" w:hAnsi="Arial"/>
          <w:sz w:val="18"/>
          <w:szCs w:val="18"/>
          <w:color w:val="auto"/>
        </w:rPr>
        <w:t>: The carrying amount of these items is a reasonable estimate of their fair value.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Loans held for investment</w:t>
      </w:r>
      <w:r>
        <w:rPr>
          <w:rFonts w:ascii="Arial" w:cs="Arial" w:eastAsia="Arial" w:hAnsi="Arial"/>
          <w:sz w:val="18"/>
          <w:szCs w:val="18"/>
          <w:color w:val="auto"/>
        </w:rPr>
        <w:t>: The fair value is estimated by discounting the future cash flows and estimated prepayments using the current rates at which</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loans would be made to borrowers with similar credit ratings and for the same remaining term. Some loan types’ fair value approximated carrying value because of their floating rate or expected maturity characteristics.</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SBA servicing asset</w:t>
      </w:r>
      <w:r>
        <w:rPr>
          <w:rFonts w:ascii="Arial" w:cs="Arial" w:eastAsia="Arial" w:hAnsi="Arial"/>
          <w:sz w:val="16"/>
          <w:szCs w:val="16"/>
          <w:color w:val="auto"/>
        </w:rPr>
        <w:t>: The fair value of servicing assets is based on, in part, third -party valuations that project estimated future cash inflows that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servicing fees and outflows that include market rates for costs of servicing. The present value of the future cash flows are calculated utilizing market-based discount rates. The market-based discount rates represent risk spreads based on secondary market transactions utilizing calculated prepayment curves. Due to the fact that observable loan transactions are used to determine the risk spreads, the Company considers the measurement to be Level 2.</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Investment in BFG</w:t>
      </w:r>
      <w:r>
        <w:rPr>
          <w:rFonts w:ascii="Arial" w:cs="Arial" w:eastAsia="Arial" w:hAnsi="Arial"/>
          <w:sz w:val="18"/>
          <w:szCs w:val="18"/>
          <w:color w:val="auto"/>
        </w:rPr>
        <w:t>: The Company purchased its ownership interest in BFG on December 31, 2019. The Company’s valuation technique utilized the</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of the discounted cash flow method and the Guideline Public Company method. A 20% lack of marketability discount was applied to the valuation as well as a 4.50% discount to non-voting shares to arrive at fair value as of June 30, 2022 and December 31, 2021. The calculation of fair value utilized significant unobservable inputs, including projected cash flows, growth rates, and discount rates. The fair value of the investment in BFG was $4.6 million and $5.9 million as of June 30, 2022 and December 31, 2021, respectively. The following table summarizes investment in BFG activity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For the Six Months</w:t>
            </w: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Distributions from BFG</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BFG</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Deposits</w:t>
      </w:r>
      <w:r>
        <w:rPr>
          <w:rFonts w:ascii="Arial" w:cs="Arial" w:eastAsia="Arial" w:hAnsi="Arial"/>
          <w:sz w:val="18"/>
          <w:szCs w:val="18"/>
          <w:color w:val="auto"/>
        </w:rPr>
        <w:t>: The carrying amount of deposits with no stated maturity, such as savings and checking accounts, is a reasonable estimate of their fair value. The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value of certificates of deposit is based upon the discounted value of contractual cash flows. The discount rate is determined using the rates currently offered on comparable instruments.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interest receivable and payable</w:t>
      </w:r>
      <w:r>
        <w:rPr>
          <w:rFonts w:ascii="Arial" w:cs="Arial" w:eastAsia="Arial" w:hAnsi="Arial"/>
          <w:sz w:val="18"/>
          <w:szCs w:val="18"/>
          <w:color w:val="auto"/>
        </w:rPr>
        <w:t>: The fair value of accrued interest receivable and payable approximates their carrying amount.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ind w:firstLine="8"/>
        <w:spacing w:after="0" w:line="282" w:lineRule="auto"/>
        <w:tabs>
          <w:tab w:leader="none" w:pos="37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Facility</w:t>
      </w:r>
      <w:r>
        <w:rPr>
          <w:rFonts w:ascii="Arial" w:cs="Arial" w:eastAsia="Arial" w:hAnsi="Arial"/>
          <w:sz w:val="18"/>
          <w:szCs w:val="18"/>
          <w:color w:val="auto"/>
        </w:rPr>
        <w:t>: The fair value of PPPLF is estimated using a discounted cash flow based on the remaining contractual term and current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rates for similar terms.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June 30, 2022</w:t>
            </w:r>
          </w:p>
        </w:tc>
        <w:tc>
          <w:tcPr>
            <w:tcW w:w="140" w:type="dxa"/>
            <w:vAlign w:val="bottom"/>
          </w:tcPr>
          <w:p>
            <w:pPr>
              <w:spacing w:after="0"/>
              <w:rPr>
                <w:sz w:val="20"/>
                <w:szCs w:val="20"/>
                <w:color w:val="auto"/>
              </w:rPr>
            </w:pPr>
          </w:p>
        </w:tc>
        <w:tc>
          <w:tcPr>
            <w:tcW w:w="2400" w:type="dxa"/>
            <w:vAlign w:val="bottom"/>
            <w:gridSpan w:val="5"/>
          </w:tcPr>
          <w:p>
            <w:pPr>
              <w:ind w:left="360"/>
              <w:spacing w:after="0"/>
              <w:rPr>
                <w:sz w:val="20"/>
                <w:szCs w:val="20"/>
                <w:color w:val="auto"/>
              </w:rPr>
            </w:pPr>
            <w:r>
              <w:rPr>
                <w:rFonts w:ascii="Arial" w:cs="Arial" w:eastAsia="Arial" w:hAnsi="Arial"/>
                <w:sz w:val="18"/>
                <w:szCs w:val="18"/>
                <w:b w:val="1"/>
                <w:bCs w:val="1"/>
                <w:color w:val="auto"/>
              </w:rPr>
              <w:t>December 31, 2021</w:t>
            </w:r>
          </w:p>
        </w:tc>
      </w:tr>
      <w:tr>
        <w:trPr>
          <w:trHeight w:val="198"/>
        </w:trPr>
        <w:tc>
          <w:tcPr>
            <w:tcW w:w="4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2"/>
              </w:rPr>
              <w:t>Estimated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Estimated</w:t>
            </w:r>
          </w:p>
        </w:tc>
        <w:tc>
          <w:tcPr>
            <w:tcW w:w="10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Level</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Financial assets:</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96,528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85,754</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Investment securities held-to-maturity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12,463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11,070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11,423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11,332</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FHLB stock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Loans held for investment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189,670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196,654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198,102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197,412</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held-for-sale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60,743</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1,422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SBA servicing asset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Investment in BFG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Total deposits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219,359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204,221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251,892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249,488</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PPP Liquidity Facility</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Fair Value Measurements Using</w:t>
            </w:r>
          </w:p>
        </w:tc>
      </w:tr>
      <w:tr>
        <w:trPr>
          <w:trHeight w:val="223"/>
        </w:trPr>
        <w:tc>
          <w:tcPr>
            <w:tcW w:w="5860" w:type="dxa"/>
            <w:vAlign w:val="bottom"/>
          </w:tcPr>
          <w:p>
            <w:pPr>
              <w:spacing w:after="0"/>
              <w:rPr>
                <w:sz w:val="20"/>
                <w:szCs w:val="20"/>
                <w:color w:val="auto"/>
              </w:rPr>
            </w:pPr>
            <w:r>
              <w:rPr>
                <w:rFonts w:ascii="Arial" w:cs="Arial" w:eastAsia="Arial" w:hAnsi="Arial"/>
                <w:sz w:val="18"/>
                <w:szCs w:val="18"/>
                <w:b w:val="1"/>
                <w:bCs w:val="1"/>
                <w:color w:val="auto"/>
              </w:rPr>
              <w:t>Description of Financial Instrument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June 30, 2022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Nonrecurring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w:t>
            </w:r>
          </w:p>
        </w:tc>
      </w:tr>
      <w:tr>
        <w:trPr>
          <w:trHeight w:val="216"/>
        </w:trPr>
        <w:tc>
          <w:tcPr>
            <w:tcW w:w="5860" w:type="dxa"/>
            <w:vAlign w:val="bottom"/>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Nonrecurring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Impaired loans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972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r>
    </w:tbl>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Impaired loans </w:t>
      </w:r>
      <w:r>
        <w:rPr>
          <w:rFonts w:ascii="Arial" w:cs="Arial" w:eastAsia="Arial" w:hAnsi="Arial"/>
          <w:sz w:val="17"/>
          <w:szCs w:val="17"/>
          <w:color w:val="auto"/>
        </w:rPr>
        <w:t>– The loan amount above represents loans impaired as of year-end that have been adjusted to fair value. When collateral dependent loans</w:t>
      </w:r>
      <w:r>
        <w:rPr>
          <w:rFonts w:ascii="Arial" w:cs="Arial" w:eastAsia="Arial" w:hAnsi="Arial"/>
          <w:sz w:val="17"/>
          <w:szCs w:val="17"/>
          <w:b w:val="1"/>
          <w:bCs w:val="1"/>
          <w:color w:val="auto"/>
        </w:rPr>
        <w:t xml:space="preserve"> </w:t>
      </w:r>
      <w:r>
        <w:rPr>
          <w:rFonts w:ascii="Arial" w:cs="Arial" w:eastAsia="Arial" w:hAnsi="Arial"/>
          <w:sz w:val="17"/>
          <w:szCs w:val="17"/>
          <w:color w:val="auto"/>
        </w:rPr>
        <w:t>are identified as impaired, the impairment is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represents charge-offs or impairments on loans for adjustments made based on the fair value of the collateral.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Quantitative information for Level 3 fair value measurements </w:t>
      </w:r>
      <w:r>
        <w:rPr>
          <w:rFonts w:ascii="Arial" w:cs="Arial" w:eastAsia="Arial" w:hAnsi="Arial"/>
          <w:sz w:val="18"/>
          <w:szCs w:val="18"/>
          <w:color w:val="auto"/>
        </w:rPr>
        <w:t>– The range and weighted average of the significant unobservable inputs used to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Level 3 nonrecurring assets as of June 30, 2022 and as of December 31, 2021, along with the valuation techniques used, are shown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Range</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r>
      <w:tr>
        <w:trPr>
          <w:trHeight w:val="241"/>
        </w:trPr>
        <w:tc>
          <w:tcPr>
            <w:tcW w:w="2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6"/>
              </w:rPr>
              <w:t>Technique</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95"/>
              </w:rPr>
              <w:t>Input</w:t>
            </w:r>
          </w:p>
        </w:tc>
        <w:tc>
          <w:tcPr>
            <w:tcW w:w="12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2980" w:type="dxa"/>
            <w:vAlign w:val="bottom"/>
          </w:tcPr>
          <w:p>
            <w:pPr>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Market</w:t>
            </w:r>
          </w:p>
        </w:tc>
        <w:tc>
          <w:tcPr>
            <w:tcW w:w="2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Adjustment to</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w:t>
            </w: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comparable</w:t>
            </w: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appraisal value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Pr>
          <w:p>
            <w:pPr>
              <w:jc w:val="center"/>
              <w:spacing w:after="0" w:line="201" w:lineRule="exact"/>
              <w:rPr>
                <w:sz w:val="20"/>
                <w:szCs w:val="20"/>
                <w:color w:val="auto"/>
              </w:rPr>
            </w:pPr>
            <w:r>
              <w:rPr>
                <w:rFonts w:ascii="Arial" w:cs="Arial" w:eastAsia="Arial" w:hAnsi="Arial"/>
                <w:sz w:val="18"/>
                <w:szCs w:val="18"/>
                <w:color w:val="auto"/>
                <w:w w:val="94"/>
              </w:rPr>
              <w:t>Market</w:t>
            </w:r>
          </w:p>
        </w:tc>
        <w:tc>
          <w:tcPr>
            <w:tcW w:w="2900" w:type="dxa"/>
            <w:vAlign w:val="bottom"/>
          </w:tcPr>
          <w:p>
            <w:pPr>
              <w:jc w:val="center"/>
              <w:spacing w:after="0" w:line="201" w:lineRule="exact"/>
              <w:rPr>
                <w:sz w:val="20"/>
                <w:szCs w:val="20"/>
                <w:color w:val="auto"/>
              </w:rPr>
            </w:pPr>
            <w:r>
              <w:rPr>
                <w:rFonts w:ascii="Arial" w:cs="Arial" w:eastAsia="Arial" w:hAnsi="Arial"/>
                <w:sz w:val="18"/>
                <w:szCs w:val="18"/>
                <w:color w:val="auto"/>
                <w:w w:val="92"/>
              </w:rPr>
              <w:t>Adjustment to</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Impaired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972</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comparable</w:t>
            </w:r>
          </w:p>
        </w:tc>
        <w:tc>
          <w:tcPr>
            <w:tcW w:w="2900" w:type="dxa"/>
            <w:vAlign w:val="bottom"/>
          </w:tcPr>
          <w:p>
            <w:pPr>
              <w:jc w:val="center"/>
              <w:spacing w:after="0"/>
              <w:rPr>
                <w:sz w:val="20"/>
                <w:szCs w:val="20"/>
                <w:color w:val="auto"/>
              </w:rPr>
            </w:pPr>
            <w:r>
              <w:rPr>
                <w:rFonts w:ascii="Arial" w:cs="Arial" w:eastAsia="Arial" w:hAnsi="Arial"/>
                <w:sz w:val="18"/>
                <w:szCs w:val="18"/>
                <w:color w:val="auto"/>
                <w:w w:val="89"/>
              </w:rPr>
              <w:t>appraisal value</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0.50%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range and weighted average of the significant unobservable inputs used to fair value the investment in BFG Level 3 recurring asset as of June 30, 2022 and as of December 31, 2021 are shown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2022</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 2021</w:t>
            </w:r>
          </w:p>
        </w:tc>
      </w:tr>
      <w:tr>
        <w:trPr>
          <w:trHeight w:val="216"/>
        </w:trPr>
        <w:tc>
          <w:tcPr>
            <w:tcW w:w="778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Range</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Range</w:t>
            </w:r>
          </w:p>
        </w:tc>
      </w:tr>
      <w:tr>
        <w:trPr>
          <w:trHeight w:val="241"/>
        </w:trPr>
        <w:tc>
          <w:tcPr>
            <w:tcW w:w="77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 Average)</w:t>
            </w: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Discounted Cash Flows</w:t>
            </w:r>
          </w:p>
        </w:tc>
        <w:tc>
          <w:tcPr>
            <w:tcW w:w="1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Revenue growth rate</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r>
      <w:tr>
        <w:trPr>
          <w:trHeight w:val="216"/>
        </w:trPr>
        <w:tc>
          <w:tcPr>
            <w:tcW w:w="7780" w:type="dxa"/>
            <w:vAlign w:val="bottom"/>
          </w:tcPr>
          <w:p>
            <w:pPr>
              <w:ind w:left="660"/>
              <w:spacing w:after="0"/>
              <w:rPr>
                <w:sz w:val="20"/>
                <w:szCs w:val="20"/>
                <w:color w:val="auto"/>
              </w:rPr>
            </w:pPr>
            <w:r>
              <w:rPr>
                <w:rFonts w:ascii="Arial" w:cs="Arial" w:eastAsia="Arial" w:hAnsi="Arial"/>
                <w:sz w:val="18"/>
                <w:szCs w:val="18"/>
                <w:color w:val="auto"/>
              </w:rPr>
              <w:t>Expense growth rate</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r>
      <w:tr>
        <w:trPr>
          <w:trHeight w:val="216"/>
        </w:trPr>
        <w:tc>
          <w:tcPr>
            <w:tcW w:w="7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Discount rate</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7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Guideline Public Company</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7780" w:type="dxa"/>
            <w:vAlign w:val="bottom"/>
          </w:tcPr>
          <w:p>
            <w:pPr>
              <w:ind w:left="660"/>
              <w:spacing w:after="0"/>
              <w:rPr>
                <w:sz w:val="20"/>
                <w:szCs w:val="20"/>
                <w:color w:val="auto"/>
              </w:rPr>
            </w:pPr>
            <w:r>
              <w:rPr>
                <w:rFonts w:ascii="Arial" w:cs="Arial" w:eastAsia="Arial" w:hAnsi="Arial"/>
                <w:sz w:val="18"/>
                <w:szCs w:val="18"/>
                <w:color w:val="auto"/>
              </w:rPr>
              <w:t>Multiples of enterprise value</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3.0x to 5.0x</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4.0x to 6.0x</w:t>
            </w:r>
          </w:p>
        </w:tc>
      </w:tr>
      <w:tr>
        <w:trPr>
          <w:trHeight w:val="418"/>
        </w:trPr>
        <w:tc>
          <w:tcPr>
            <w:tcW w:w="7780" w:type="dxa"/>
            <w:vAlign w:val="bottom"/>
          </w:tcPr>
          <w:p>
            <w:pPr>
              <w:spacing w:after="0"/>
              <w:rPr>
                <w:sz w:val="20"/>
                <w:szCs w:val="20"/>
                <w:color w:val="auto"/>
              </w:rPr>
            </w:pPr>
            <w:r>
              <w:rPr>
                <w:rFonts w:ascii="Arial" w:cs="Arial" w:eastAsia="Arial" w:hAnsi="Arial"/>
                <w:sz w:val="18"/>
                <w:szCs w:val="18"/>
                <w:b w:val="1"/>
                <w:bCs w:val="1"/>
                <w:color w:val="auto"/>
              </w:rPr>
              <w:t>Note 12 – Income Taxes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income taxes by recognizing deferred tax assets and liabilities based upon temporary differences between the amounts for financial reporting purposes and tax basis of its assets and liabilities. Deferred tax assets increased $0.2 million during the six months ended June 30, 2022 as a result of changes to temporary timing differences associated with accounting for bad debts. Deferred tax assets are reduced by a valuation allowance when, in the opinion of management, it is more-likely-than-not that some portion, or all, of the deferred tax asset will not be realized. In assessing the realization of deferred tax assets, management evaluates both positive and negative evidence, including the forecasts of future income, applicable tax planning strategies, and assessments of current and future economic and business conditions. This analysis is updated quarterly and adjusted as necessary. Based on this analysis, management has determined that a valuation allowance for deferred tax assets was not required at June 30, 2022.</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2022 and 2021, income tax expense was $5.0 million and $4.5 million, respectively, resulting in an effective income tax rate of 25.1% and 25.8%, respectively. The effective tax rate differs from the statutory rate of 24.9% during the six months ended June 30, 2022 and 2021 due primarily to state taxes and the tax effect of stock-based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unrecognized tax benefits at June 30, 2022.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grant loans to certain executive officers and directors and the companies with which they are associated. The Company had loans outstanding to related parties of $0.0 million as of June 30, 2022 and December 31, 2021. Total deposits from certain executive officers and directors and the companies with which they are associated were $0.8 million and $0.5 million as of June 30, 2022 and December 31, 2021, respectively.</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BFG is a small business loan broker, primarily under the SBA’s 7(a) loan program. As noted in Note 9 Investments above, the Company has a 10%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the components used to derive basic and diluted EPS for the three and six months ended June 30, 2022 and 2021 ($ in thousands, except share and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For the Three Months</w:t>
            </w:r>
          </w:p>
        </w:tc>
        <w:tc>
          <w:tcPr>
            <w:tcW w:w="200" w:type="dxa"/>
            <w:vAlign w:val="bottom"/>
          </w:tcPr>
          <w:p>
            <w:pPr>
              <w:spacing w:after="0"/>
              <w:rPr>
                <w:sz w:val="18"/>
                <w:szCs w:val="18"/>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For the Six Months</w:t>
            </w: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Ended June 30,</w:t>
            </w:r>
          </w:p>
        </w:tc>
        <w:tc>
          <w:tcPr>
            <w:tcW w:w="200" w:type="dxa"/>
            <w:vAlign w:val="bottom"/>
          </w:tcPr>
          <w:p>
            <w:pPr>
              <w:spacing w:after="0"/>
              <w:rPr>
                <w:sz w:val="20"/>
                <w:szCs w:val="20"/>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13,030</w:t>
            </w:r>
          </w:p>
        </w:tc>
      </w:tr>
      <w:tr>
        <w:trPr>
          <w:trHeight w:val="223"/>
        </w:trPr>
        <w:tc>
          <w:tcPr>
            <w:tcW w:w="5980" w:type="dxa"/>
            <w:vAlign w:val="bottom"/>
          </w:tcPr>
          <w:p>
            <w:pPr>
              <w:ind w:left="180"/>
              <w:spacing w:after="0" w:line="216" w:lineRule="exact"/>
              <w:rPr>
                <w:sz w:val="20"/>
                <w:szCs w:val="20"/>
                <w:color w:val="auto"/>
              </w:rPr>
            </w:pPr>
            <w:r>
              <w:rPr>
                <w:rFonts w:ascii="Arial" w:cs="Arial" w:eastAsia="Arial" w:hAnsi="Arial"/>
                <w:sz w:val="16"/>
                <w:szCs w:val="16"/>
                <w:color w:val="auto"/>
              </w:rPr>
              <w:t>Amount allocated to participating common shareholders</w:t>
            </w:r>
            <w:r>
              <w:rPr>
                <w:rFonts w:ascii="Arial" w:cs="Arial" w:eastAsia="Arial" w:hAnsi="Arial"/>
                <w:sz w:val="25"/>
                <w:szCs w:val="25"/>
                <w:color w:val="auto"/>
                <w:vertAlign w:val="superscript"/>
              </w:rPr>
              <w:t>(1)</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(838)</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 to common shareholders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12,716,010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8,183,774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12,698,714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8,137,736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558,855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408,841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589,091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245,280</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142,525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58,341</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156,542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29,171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13,417,390</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8,650,956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13,444,347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8,412,187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Earnings per share, 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0.43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diluted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40"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earnings attributable to holders of unvested restricted stock issued outside of the 2016 Plan and 2019 Plan to the Company’s employees for the three or six months ended June 30, 2021.</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336,192 and 684,648 anti-dilutive options for the six months ended June 30, 2022 and 2021, respectively, reported in the table above. There were 113,458 shares and 240,829 anti-dilutive warrants for the six months ended June 30, 2022 and 2021, respectively, reported in the table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Company’s revenue disaggregated by contracts with customers and revenue outside the scope of ASC 606: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Three Months</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For the Six Months</w:t>
            </w:r>
          </w:p>
        </w:tc>
        <w:tc>
          <w:tcPr>
            <w:tcW w:w="0" w:type="dxa"/>
            <w:vAlign w:val="bottom"/>
          </w:tcPr>
          <w:p>
            <w:pPr>
              <w:spacing w:after="0"/>
              <w:rPr>
                <w:sz w:val="1"/>
                <w:szCs w:val="1"/>
                <w:color w:val="auto"/>
              </w:rPr>
            </w:pPr>
          </w:p>
        </w:tc>
      </w:tr>
      <w:tr>
        <w:trPr>
          <w:trHeight w:val="241"/>
        </w:trPr>
        <w:tc>
          <w:tcPr>
            <w:tcW w:w="4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Ended June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Ended June 30,</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5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b w:val="1"/>
                <w:bCs w:val="1"/>
                <w:color w:val="auto"/>
              </w:rPr>
              <w:t>Interest income</w:t>
            </w: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Interest income, not-in-scope</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fees on loans</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12,864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19,909</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Interest on securities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 income</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interest income</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13,013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26,236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19,941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 in-scope</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Service charges on deposit accounts</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set up fees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 not in-scope</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Strategic Program fees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5,878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12,044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loans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SBA loan servicing fees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on investment in BFG</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Other miscellaneous income</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Strategic Program service charges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8,431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20,113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14,240</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560" w:type="dxa"/>
            <w:vAlign w:val="bottom"/>
            <w:vMerge w:val="restart"/>
          </w:tcPr>
          <w:p>
            <w:pPr>
              <w:jc w:val="right"/>
              <w:ind w:right="194"/>
              <w:spacing w:after="0"/>
              <w:rPr>
                <w:sz w:val="20"/>
                <w:szCs w:val="20"/>
                <w:color w:val="auto"/>
              </w:rPr>
            </w:pPr>
            <w:r>
              <w:rPr>
                <w:rFonts w:ascii="Arial" w:cs="Arial" w:eastAsia="Arial" w:hAnsi="Arial"/>
                <w:sz w:val="14"/>
                <w:szCs w:val="14"/>
                <w:color w:val="auto"/>
              </w:rPr>
              <w:t>30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4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Subsequent events are events or transactions that occur after the date of the most recent balance sheet but before the financial statements are available to be issued. The Company recognizes in the financial statements the effects of all subsequent events that provide additional evidence about conditions that existed at the date of the balance sheet, including the estimates inherent in the process of preparing of the financial statements. The Company’s financial statements do not recognize subsequent events that provide evidence about conditions that did not exist at the date of the balance sheet but arose after the date of the balance sheet and before the financial statements are available to be issued. The Company has evaluated subsequent events through August 15, 2022, which is the date the unaudited consolidated financial statements are available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consolidated financial statements and related notes thereto and other financial information included elsewhere in this Report.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of this Report and our most recently filed Annual Report on Form 10-K entitled “Risk Factors,” “Cautionary Note Regarding Forward-Looking Statements” and elsewhere in this Report. We assume no obligation to update any of these forward-looking statements except to the extent required by law.</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The following discussion pertains to our historical results, on a consolidated basis. However, because we conduct all our material business operations through our wholly owned subsidiary, FinWise Bank, the discussion and analysis relates to activities primarily conducted at the subsidiary level.</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All dollar amounts in the tables in this section are in thousands of dollars, except per share data or where otherwise specifically noted. Unless otherwise stated, all information in this Report gives effect to a six-for-one stock split of our common stock completed effective July 26, 2021. The effect of the stock split on outstanding shares and per share figures has been retroactively applied to all periods presented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a Utah corporation and the parent company of FinWise Bank. The Company’s assets consist primarily of its investment in the Bank and all of its material business activities are conducted through the Bank. The Company is a registered bank holding company that is subject to supervision by the UDFI and the Federal Reserve. As a Utah state-chartered bank that is not a member of the Federal Reserve System, the Bank is separately subject to regulations and supervision by both the UDFI and the FDIC. The Bank’s deposits are federally insured up to the maximum legal limits. See “Supervision and Regulation.”</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banking business is our only business line. Our banking business offers a diverse range of commercial and retail banking products and services, and consists primarily of originating loans in a variety of sectors. Attracting nationwide deposits from the general public, businesses and other financial institutions, and investing those deposits, together with borrowings and other sources of funds, is also critical to our banking business.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significant growth and superior profitability. Our analytics platform, FinView™, enhances our ability to gather and interpret performance data for our originations and provides management with an ability to identify attractive, risk-adjusted sectors for growth. These insights coupled with the billions of dollars in originations funded annually and our ability to sell loans or retain for investment enhance our unique position. Our track record has demonstrated that these qualities deliver superior growth and profitability and that the flexibility inherent in our model enhances our ability to manage credit risk.</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condition and results of operations depend primarily on our ability to (i) originate loans using our strategic relationships with third-party loan origination platforms to earn interest and noninterest income, (ii) utilize FinView™ to identify attractive risk-adjusted lending opportunities and inform the selection of loans for investment while limiting credit losses, (iii) attract and retain low cost, stable deposits, and (iv) efficiently operate in compliance with applicable regulations.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lending focuses on four main lending areas: (i) SBA 7(a) loans, (ii) Strategic Programs, (iii) residential and commercial real estate and (iv) consumer lending. For a description and analysis of the Company’s loan categories, see “—Financial Condition”.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 19 Pandemic</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Since March 2020, our nation has experienced a massive health and economic crisis as a result of the Covid-19 pandemic, which continues to negatively impact the health and finances of millions of people and businesses and have a pronounced impact on the global and national economy. To control the spread of the Covid-19 virus, governments around the world instituted widespread shutdowns of the economy which resulted in record unemployment in a matter of weeks. The economic turbulence spawned by the Covid-19 pandemic left many banks with potential credit quality and income issues. These issues are further compounded by uncertainties regarding the length, depth and possible resurgence of the pandemic and its ultimate long-term effects on the economy. In an effort to reduce the impact of economic shutdowns, the United States Congress has passed the CARES Act, the Economic Aid to Hard-Hit Small Businesses, Nonprofits, and Venues Act, the Consolidated Appropriations Act, 2021, and recently the American Rescue Plan Act of 2021. These relief measures have provided stimulus payments to individuals, expanded unemployment benefits, and created programs that provided critical financing to small businesses through products such as the EIDL and the PPP, both of which are being administered by the SBA. Additionally, the United States government agreed to make six months of payments on SBA loans and increase the SBA guaranty on SBA 7(a) loans to 90% for loans originated from February 1, 2020 through September 30, 2021. The SBA has made the full monthly P&amp;I payments with respect to our qualifying SBA 7(a) customers in “regular servicing” status for six months. For most of our SBA portfolio (the legacy loans), the SBA made borrowers’ principal and interest payments from April 2020 through September 2020. These were officially referred to as First Round Section 1112 Payments, as they derived from Section 1112 of the CARES Act. To be eligible for the full six months of First Round Section 1112 Payments, the SBA loans were required to be: (i) in “regular servicing” status; (ii) approved by the SBA before March 27, 2020; and (iii) fully disbursed by September 27, 2020. Under the Economic Aid Act, the SBA will make an additional two payments for eligible SBA customers, capped at $9,000 per month per loan. Borrowers with loan payments above $9,000 per month are responsible for paying the difference. For our legacy portfolio, the SBA made payment on the lesser of a borrower’s monthly principal and interest payment or $9,000 per month from February 2021 through March 2021. These are referred to as Second Round Section 1112 Payments.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SBA released a list of NAICS codes deemed to have been particularly affected by the Covid-19 pandemic. SBA customers who met all other Section 1112 qualifying criteria and operated within certain NAICS codes, are entitled to an additional three months of payments which were completed in 2021. As of December 31, 2021, the Bank had 30 qualifying SBA loans totaling approximately $4.5 million in SBA 7(a) unguaranteed balance that received an additional three months of Second Round Section 1112 Payments, which were capped at $9,000 per month and per loan. As of June 30, 2022, 4 of the 30 qualifying SBA loans have been paid in full. The remaining 26 loans are performing and total approximately $4.0 million in SBA 7(a) unguaranteed balance. As of June 30, 2022, none of the remaining 26 loans are entitled to additional Section 1112 payments. We ceased originating PPP loans after 2020.</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the Bank’s diversified loan portfolio and associated revenue streams have enabled the Bank to withstand the adverse conditions relating to the Covid-19 pandemic. For the three months ended June 30, 2022 the provision for loan losses amounted to $2.9 million. For the three months ended June 30, 2021, the provision for loan losses amounted to $1.5 million. For the six months ended June 30, 2022 the provision for loan losses amounted to $5.9 million. For the six months ended June 30, 2021, the provision for loan losses amounted to $2.2 million. While some of the adverse conditions relating to the Covid-19 pandemic began to reverse in 2021, sustained improvements are highly dependent upon strengthening economic conditions. The Covid-19 pandemic continues to cause economic uncertainties which may again result in these and other adverse impacts to our financial condition and results of operations. We believe our SBA 7(a) underwriting program has remained strong throughout the Covid-19 pandemic and our SBA 7(a) loans are well collateralized when compared to the SBA industry in general.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374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Net Income Overview</w:t>
            </w: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360" w:type="dxa"/>
            <w:vAlign w:val="bottom"/>
            <w:gridSpan w:val="6"/>
          </w:tcPr>
          <w:p>
            <w:pPr>
              <w:spacing w:after="0"/>
              <w:rPr>
                <w:sz w:val="20"/>
                <w:szCs w:val="20"/>
                <w:color w:val="auto"/>
              </w:rPr>
            </w:pPr>
            <w:r>
              <w:rPr>
                <w:rFonts w:ascii="Arial" w:cs="Arial" w:eastAsia="Arial" w:hAnsi="Arial"/>
                <w:sz w:val="18"/>
                <w:szCs w:val="18"/>
                <w:color w:val="auto"/>
                <w:w w:val="97"/>
              </w:rPr>
              <w:t>The following table sets forth the principal components of net income for the periods indicated.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For the Three Months</w:t>
            </w:r>
          </w:p>
        </w:tc>
        <w:tc>
          <w:tcPr>
            <w:tcW w:w="240" w:type="dxa"/>
            <w:vAlign w:val="bottom"/>
          </w:tcPr>
          <w:p>
            <w:pPr>
              <w:spacing w:after="0"/>
              <w:rPr>
                <w:sz w:val="18"/>
                <w:szCs w:val="18"/>
                <w:color w:val="auto"/>
              </w:rPr>
            </w:pPr>
          </w:p>
        </w:tc>
        <w:tc>
          <w:tcPr>
            <w:tcW w:w="23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For the Six Months</w:t>
            </w:r>
          </w:p>
        </w:tc>
      </w:tr>
      <w:tr>
        <w:trPr>
          <w:trHeight w:val="241"/>
        </w:trPr>
        <w:tc>
          <w:tcPr>
            <w:tcW w:w="3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Ended June 30,</w:t>
            </w:r>
          </w:p>
        </w:tc>
        <w:tc>
          <w:tcPr>
            <w:tcW w:w="240" w:type="dxa"/>
            <w:vAlign w:val="bottom"/>
          </w:tcPr>
          <w:p>
            <w:pPr>
              <w:spacing w:after="0"/>
              <w:rPr>
                <w:sz w:val="20"/>
                <w:szCs w:val="20"/>
                <w:color w:val="auto"/>
              </w:rPr>
            </w:pPr>
          </w:p>
        </w:tc>
        <w:tc>
          <w:tcPr>
            <w:tcW w:w="2300" w:type="dxa"/>
            <w:vAlign w:val="bottom"/>
            <w:gridSpan w:val="5"/>
          </w:tcPr>
          <w:p>
            <w:pPr>
              <w:ind w:left="380"/>
              <w:spacing w:after="0"/>
              <w:rPr>
                <w:sz w:val="20"/>
                <w:szCs w:val="20"/>
                <w:color w:val="auto"/>
              </w:rPr>
            </w:pPr>
            <w:r>
              <w:rPr>
                <w:rFonts w:ascii="Arial" w:cs="Arial" w:eastAsia="Arial" w:hAnsi="Arial"/>
                <w:sz w:val="18"/>
                <w:szCs w:val="18"/>
                <w:b w:val="1"/>
                <w:bCs w:val="1"/>
                <w:color w:val="auto"/>
              </w:rPr>
              <w:t>Ended June 30,</w:t>
            </w: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2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3"/>
              </w:rPr>
              <w:t>26,236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19,941</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(705)</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(2,169)</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Non-interest income</w:t>
            </w: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20,113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14,240</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(11,019)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(13,742)</w:t>
            </w: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(1,786)</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(2,609)</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(4,535)</w:t>
            </w:r>
          </w:p>
        </w:tc>
      </w:tr>
      <w:tr>
        <w:trPr>
          <w:trHeight w:val="256"/>
        </w:trPr>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3"/>
              </w:rPr>
              <w:t>14,916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3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40" w:type="dxa"/>
            <w:vAlign w:val="bottom"/>
          </w:tcPr>
          <w:p>
            <w:pPr>
              <w:jc w:val="right"/>
              <w:ind w:right="208"/>
              <w:spacing w:after="0"/>
              <w:rPr>
                <w:sz w:val="20"/>
                <w:szCs w:val="20"/>
                <w:color w:val="auto"/>
              </w:rPr>
            </w:pPr>
            <w:r>
              <w:rPr>
                <w:rFonts w:ascii="Arial" w:cs="Arial" w:eastAsia="Arial" w:hAnsi="Arial"/>
                <w:sz w:val="14"/>
                <w:szCs w:val="14"/>
                <w:color w:val="auto"/>
              </w:rPr>
              <w:t>33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2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3"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three months ended June 30, 2022 was $5.5 million, a decrease of $2.2 million or 29.2% from net income of $7.7 million for the three months ended June 30, 2021. The decrease was primarily due to an increase of $3.9 million or 55.7% in non-interest expense and an increase of $1.4 million or 89.6% in provision for loan losses, partially offset by an increase of $1.9 million or 16.9% in interest income and a decrease of $0.8 million or 31.5% in provision for income taxes, as described below.</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six months ended June 30, 2022 was $14.9 million, an increase of $1.9 million or 14.5% from net income of $13.0 million for the six months ended June 30, 2021. The increase was primarily due to an increase of $6.3 million or 31.6% in interest income and an increase of $5.9 million or 41.2% in non-interest income, partially offset by an increase of $6.3 million or 46.0% in non-interest expense and an increase of $3.7 million or 170.2% in provision for loan losses,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Interest Margin Analysis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was the primary contributor to our earnings in 2022 and 2021.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the three months ended June 30, 2022, our net interest income increased $2.0 million, or 18.2%, to $12.8 million compared to the three months ended June 30, 2021. This increase was primarily due to growth in average interest earning assets and a decrease in our cost of funds. Average interest earning assets increased by $72.1 million, or 24.0%, to $373.2 million for the three months ended June 30, 2022 compared to the three months ended June 30, 2021, while the related yield on average interest earning assets decreased by 84 basis points to 13.95%, resulting in interest income for the three months ended June 30, 2022 of $13.0 million. A substantial increase in the average balances of comparatively low yielding interest-bearing deposits, and a loan mix shift towards loans carrying lower yields within the Strategic Program held for sale portfolio during the three months ended June 30, 2022 contributed to the decrease in yield on average interest earning assets for the period. The corresponding cost of funds on interest bearing liabilities for the three months ended June 30, 2022 declined by 20 basis points to 0.76%, and the average balance in interest bearing liabilities decreased by $11.0 million to $127.8 million, or 7.9%, compared to the prior year period. Our ability to renew time deposits at lower rates is the primary cause for the decline in the cost of funds. As indicated in the rate/volume table set forth below, the decline in the cost of funds and the effect of decreased volumes of interest-bearing liabilities resulted in decreased interest expense for the three months ended June 30, 2022 to $0.2 million compared to $0.3 million for the prior year period. We gather deposits in the Salt Lake City, Utah MSA through our one branch and nationwide from our Strategic Program service providers, SBA 7(a) borrowers, Institutional Deposit exchanges, and brokered deposit arrangements. For the three months ended June 30, 2022, average outstanding balances under our PPPLF decreased compared to the three months ended June 30, 2021. The decrease in funding from our PPPLF was partially offset by increases in deposits sourced through our brokered deposit arrangements, Strategic Programs, national Institutional Deposit exchanges, branch, and SBA 7(a) borrowers compared to the three months ended June 30, 2021. Our net interest margin decreased to 13.69% from 14.35% for the three months ended June 30, 2022 and 2021, respectively.</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the six months ended June 30, 2022, our net interest income increased $6.5 million, or 33.8%, to $25.7 million compared to the six months ended June 30, 2021. This increase was primarily due to growth in average interest earning assets, an increase in asset yields, and a decrease in our cost of funds. Average interest earning assets increased by $76.1 million, or 25.0%, to $380.4 million for the six months ended June 30, 2022 compared to the six months ended June 30, 2021, while the related yield on average interest earning assets increased by 69 basis points to 13.79%, resulting in interest income for the six months ended June 30, 2022 of $26.2 million. A substantial decrease in the average balances of comparatively low yielding PPP loans and increase in average balances of Strategic Program held for sale loans during the six months ended June 30, 2022 contributed to the increase in yield on average interest earning assets for the period. The corresponding cost of funds on interest bearing liabilities for the six months ended June 30, 2022 declined by 15 basis points to 0.77%, and the average balance in interest bearing liabilities decreased by $23.2 million to $130.6 million, or 15.1%, compared to the prior year period. Our ability to renew time deposits at lower rates is the primary cause for the decline in the cost of funds. As indicated in the rate/volume table set forth below, the decline in the cost of funds and the effect of decreased volumes of interest-bearing liabilities resulted in decreased interest expense for the six months ended June 30, 2022 to $0.5 million compared to $0.7 million for the prior year period. For the six months ended June 30, 2022, average outstanding balances under our PPPLF decreased compared to the six months ended June 30, 2021. The decrease in funding from our PPPLF was partially offset by increases in deposits sourced through our Strategic Programs, brokered deposit arrangements, national Institutional Deposit exchanges, branch, and SBA 7(a) borrowers compared to the six months ended June 30, 2021. Our net interest margin increased to 13.53% from 12.64% for the six months ended June 30, 2022 and 2021, respectively.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Average Balances and Yields</w:t>
      </w:r>
      <w:r>
        <w:rPr>
          <w:rFonts w:ascii="Arial" w:cs="Arial" w:eastAsia="Arial" w:hAnsi="Arial"/>
          <w:sz w:val="17"/>
          <w:szCs w:val="17"/>
          <w:color w:val="auto"/>
        </w:rPr>
        <w:t>. The following table presents average balances for assets and liabilities, the total dollar amounts of interest income from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average interest-earning assets, the total dollar amounts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Loan fees are included in interest income on loans and represent net fees of approximately $0.1 million (including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SBA fees related to PPP loans) and $1.2 million (including approximately $0.7 million in SBA fees related to PPP loans) included in interest income on loans for the three months ended June 30, 2022 and 2021, respectively. Loan fees are included in interest income on loans and represent a net cost of approximately $0.3 million (including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SBA fees related to PPP loans) for the six months ended June 30, 2022, and $2.5 million (including approximately $1.6 million in SBA fees related to PPP loans) of net loan fees are included in interest income on loans for the six months ended June 30, 2021. Average balances have been calculated using daily averages.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w w:val="93"/>
              </w:rPr>
              <w:t>Three Months Ended June 30,</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Average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Yield/Rate</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Interest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Yield/Rate</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Interest earning assets: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8"/>
              </w:rPr>
              <w:t>Interest-bearing deposits with the Federal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Reserve, non-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U.S. central banks and other banks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1,622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49,684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40.65%</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Loans held for investment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204,501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6,915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13.53%</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200,062</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6,070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12.14%</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373,184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13,013</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13.95%</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301,050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11,135</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14.79%</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Less: ALL</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(10,425)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(6,334)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 earning assets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32,558</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13,214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395,317</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307,930</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Demand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7,587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5,533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0.94%</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Savings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8,328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Money market accounts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29,318</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18,872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0.38%</w:t>
            </w:r>
          </w:p>
        </w:tc>
      </w:tr>
      <w:tr>
        <w:trPr>
          <w:trHeight w:val="22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82,870</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0.94%</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57,468</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r>
      <w:tr>
        <w:trPr>
          <w:trHeight w:val="223"/>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deposits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127,205</w:t>
            </w:r>
          </w:p>
        </w:tc>
        <w:tc>
          <w:tcPr>
            <w:tcW w:w="2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0.77%</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90,201</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1.29%</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48,621</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127,806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0.76%</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138,822</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0.96%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120,359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105,459</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19,429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9,464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127,723</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54,185</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395,317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307,930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interest income and interest rate spread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13.19%</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13.83%</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Net interest margin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13.69%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14.35%</w:t>
            </w: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Ratio of average interest-earning assets to</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51"/>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interest- bearing liabilities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291.99%</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216.86%</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96"/>
              </w:rPr>
              <w:t>Six Months Ended June 30,</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Average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6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Yield/Rate</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Interest</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Yield/Rate</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Interest earning assets: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8"/>
              </w:rPr>
              <w:t>Interest-bearing deposits with the Federal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Reserve, non-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U.S. central banks and other banks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1,685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84,650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12,714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42,556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40.49%</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Loans held for investment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203,282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13,306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13.09%</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211,830</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11,294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10.66%</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earning assets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380,446</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26,236</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13.79%</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304,362</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19,941</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Less: ALL</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(10,391)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(6,311)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 earning assets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28,874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12,302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398,929</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310,353</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Demand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6,969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5,908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0.91%</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Savings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Money market accounts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30,596</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18,303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r>
      <w:tr>
        <w:trPr>
          <w:trHeight w:val="22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85,235</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0.98%</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54,196</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r>
      <w:tr>
        <w:trPr>
          <w:trHeight w:val="223"/>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deposits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129,856</w:t>
            </w:r>
          </w:p>
        </w:tc>
        <w:tc>
          <w:tcPr>
            <w:tcW w:w="2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0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0.78%</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86,001</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1.37%</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130,648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506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0.77%</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153,838</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705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0.92%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129,014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97,330</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Non-interest bearing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15,630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8,032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123,637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51,153</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398,929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310,353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tabs>
          <w:tab w:leader="none" w:pos="4600" w:val="left"/>
          <w:tab w:leader="none" w:pos="5220" w:val="left"/>
          <w:tab w:leader="none" w:pos="6640" w:val="left"/>
          <w:tab w:leader="none" w:pos="8620" w:val="left"/>
          <w:tab w:leader="none" w:pos="9240" w:val="left"/>
          <w:tab w:leader="none" w:pos="10660" w:val="left"/>
        </w:tabs>
        <w:rPr>
          <w:sz w:val="20"/>
          <w:szCs w:val="20"/>
          <w:color w:val="auto"/>
        </w:rPr>
      </w:pPr>
      <w:r>
        <w:rPr>
          <w:rFonts w:ascii="Arial" w:cs="Arial" w:eastAsia="Arial" w:hAnsi="Arial"/>
          <w:sz w:val="18"/>
          <w:szCs w:val="18"/>
          <w:color w:val="auto"/>
        </w:rPr>
        <w:t>Net interest income and interest rate spread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25,730</w:t>
      </w:r>
      <w:r>
        <w:rPr>
          <w:sz w:val="20"/>
          <w:szCs w:val="20"/>
          <w:color w:val="auto"/>
        </w:rPr>
        <w:tab/>
      </w:r>
      <w:r>
        <w:rPr>
          <w:rFonts w:ascii="Arial" w:cs="Arial" w:eastAsia="Arial" w:hAnsi="Arial"/>
          <w:sz w:val="18"/>
          <w:szCs w:val="18"/>
          <w:color w:val="auto"/>
        </w:rPr>
        <w:t>13.02%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19,236</w:t>
      </w:r>
      <w:r>
        <w:rPr>
          <w:sz w:val="20"/>
          <w:szCs w:val="20"/>
          <w:color w:val="auto"/>
        </w:rPr>
        <w:tab/>
      </w:r>
      <w:r>
        <w:rPr>
          <w:rFonts w:ascii="Arial" w:cs="Arial" w:eastAsia="Arial" w:hAnsi="Arial"/>
          <w:sz w:val="15"/>
          <w:szCs w:val="15"/>
          <w:color w:val="auto"/>
        </w:rPr>
        <w:t>12.18%</w:t>
      </w:r>
    </w:p>
    <w:p>
      <w:pPr>
        <w:sectPr>
          <w:pgSz w:w="11900" w:h="16838" w:orient="portrait"/>
          <w:cols w:equalWidth="0" w:num="1">
            <w:col w:w="11240"/>
          </w:cols>
          <w:pgMar w:left="320" w:top="121" w:right="339" w:bottom="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Net interest margin</w:t>
            </w:r>
          </w:p>
        </w:tc>
        <w:tc>
          <w:tcPr>
            <w:tcW w:w="5700" w:type="dxa"/>
            <w:vAlign w:val="bottom"/>
            <w:gridSpan w:val="3"/>
          </w:tcPr>
          <w:p>
            <w:pPr>
              <w:jc w:val="right"/>
              <w:ind w:right="2780"/>
              <w:spacing w:after="0"/>
              <w:rPr>
                <w:sz w:val="20"/>
                <w:szCs w:val="20"/>
                <w:color w:val="auto"/>
              </w:rPr>
            </w:pPr>
            <w:r>
              <w:rPr>
                <w:rFonts w:ascii="Arial" w:cs="Arial" w:eastAsia="Arial" w:hAnsi="Arial"/>
                <w:sz w:val="18"/>
                <w:szCs w:val="18"/>
                <w:color w:val="auto"/>
              </w:rPr>
              <w:t>13.53%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12.64%</w:t>
            </w:r>
          </w:p>
        </w:tc>
      </w:tr>
      <w:tr>
        <w:trPr>
          <w:trHeight w:val="21"/>
        </w:trPr>
        <w:tc>
          <w:tcPr>
            <w:tcW w:w="4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5"/>
        </w:trPr>
        <w:tc>
          <w:tcPr>
            <w:tcW w:w="4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Ratio of average interest-earning assets to</w:t>
            </w:r>
          </w:p>
        </w:tc>
        <w:tc>
          <w:tcPr>
            <w:tcW w:w="16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71"/>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interest- bearing liabilities</w:t>
            </w:r>
          </w:p>
        </w:tc>
        <w:tc>
          <w:tcPr>
            <w:tcW w:w="5700" w:type="dxa"/>
            <w:vAlign w:val="bottom"/>
            <w:gridSpan w:val="3"/>
            <w:shd w:val="clear" w:color="auto" w:fill="CCEEFF"/>
          </w:tcPr>
          <w:p>
            <w:pPr>
              <w:jc w:val="right"/>
              <w:ind w:right="2780"/>
              <w:spacing w:after="0"/>
              <w:rPr>
                <w:sz w:val="20"/>
                <w:szCs w:val="20"/>
                <w:color w:val="auto"/>
              </w:rPr>
            </w:pPr>
            <w:r>
              <w:rPr>
                <w:rFonts w:ascii="Arial" w:cs="Arial" w:eastAsia="Arial" w:hAnsi="Arial"/>
                <w:sz w:val="18"/>
                <w:szCs w:val="18"/>
                <w:color w:val="auto"/>
              </w:rPr>
              <w:t>291.20%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197.85%</w:t>
            </w:r>
          </w:p>
        </w:tc>
      </w:tr>
      <w:tr>
        <w:trPr>
          <w:trHeight w:val="562"/>
        </w:trPr>
        <w:tc>
          <w:tcPr>
            <w:tcW w:w="428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jc w:val="right"/>
              <w:ind w:right="156"/>
              <w:spacing w:after="0"/>
              <w:rPr>
                <w:sz w:val="20"/>
                <w:szCs w:val="20"/>
                <w:color w:val="auto"/>
              </w:rPr>
            </w:pPr>
            <w:r>
              <w:rPr>
                <w:rFonts w:ascii="Arial" w:cs="Arial" w:eastAsia="Arial" w:hAnsi="Arial"/>
                <w:sz w:val="14"/>
                <w:szCs w:val="14"/>
                <w:color w:val="auto"/>
              </w:rPr>
              <w:t>35</w:t>
            </w:r>
          </w:p>
        </w:tc>
        <w:tc>
          <w:tcPr>
            <w:tcW w:w="1120" w:type="dxa"/>
            <w:vAlign w:val="bottom"/>
            <w:tcBorders>
              <w:top w:val="single" w:sz="8" w:color="auto"/>
            </w:tcBorders>
          </w:tcPr>
          <w:p>
            <w:pPr>
              <w:spacing w:after="0"/>
              <w:rPr>
                <w:sz w:val="24"/>
                <w:szCs w:val="24"/>
                <w:color w:val="auto"/>
              </w:rPr>
            </w:pPr>
          </w:p>
        </w:tc>
        <w:tc>
          <w:tcPr>
            <w:tcW w:w="29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6"/>
        </w:trPr>
        <w:tc>
          <w:tcPr>
            <w:tcW w:w="42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Rate/Volume Analysis. </w:t>
      </w:r>
      <w:r>
        <w:rPr>
          <w:rFonts w:ascii="Arial" w:cs="Arial" w:eastAsia="Arial" w:hAnsi="Arial"/>
          <w:sz w:val="18"/>
          <w:szCs w:val="18"/>
          <w:color w:val="auto"/>
        </w:rPr>
        <w:t>The following table sets forth the effects of changing rates and volumes on our net interest income based on average balances. The</w:t>
      </w:r>
      <w:r>
        <w:rPr>
          <w:rFonts w:ascii="Arial" w:cs="Arial" w:eastAsia="Arial" w:hAnsi="Arial"/>
          <w:sz w:val="18"/>
          <w:szCs w:val="18"/>
          <w:i w:val="1"/>
          <w:iCs w:val="1"/>
          <w:color w:val="auto"/>
        </w:rPr>
        <w:t xml:space="preserve"> </w:t>
      </w:r>
      <w:r>
        <w:rPr>
          <w:rFonts w:ascii="Arial" w:cs="Arial" w:eastAsia="Arial" w:hAnsi="Arial"/>
          <w:sz w:val="18"/>
          <w:szCs w:val="18"/>
          <w:color w:val="auto"/>
        </w:rPr>
        <w:t>rate column shows the effects attributable to changes in average rate. The volume column 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90"/>
              </w:rPr>
              <w:t>Three Months Ended June 30,</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8"/>
                <w:szCs w:val="18"/>
                <w:b w:val="1"/>
                <w:bCs w:val="1"/>
                <w:color w:val="auto"/>
                <w:w w:val="90"/>
              </w:rPr>
              <w:t>Six Months Ended 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7"/>
              </w:rPr>
              <w:t>2022 vs 2021</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7"/>
              </w:rPr>
              <w:t>2022 vs 2021</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6"/>
          </w:tcPr>
          <w:p>
            <w:pPr>
              <w:jc w:val="center"/>
              <w:ind w:left="450"/>
              <w:spacing w:after="0" w:line="198" w:lineRule="exact"/>
              <w:rPr>
                <w:sz w:val="20"/>
                <w:szCs w:val="20"/>
                <w:color w:val="auto"/>
              </w:rPr>
            </w:pPr>
            <w:r>
              <w:rPr>
                <w:rFonts w:ascii="Arial" w:cs="Arial" w:eastAsia="Arial" w:hAnsi="Arial"/>
                <w:sz w:val="18"/>
                <w:szCs w:val="18"/>
                <w:b w:val="1"/>
                <w:bCs w:val="1"/>
                <w:color w:val="auto"/>
                <w:w w:val="88"/>
              </w:rPr>
              <w:t>Increase (Decrease) Due to</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6"/>
          </w:tcPr>
          <w:p>
            <w:pPr>
              <w:jc w:val="center"/>
              <w:ind w:left="470"/>
              <w:spacing w:after="0" w:line="198" w:lineRule="exact"/>
              <w:rPr>
                <w:sz w:val="20"/>
                <w:szCs w:val="20"/>
                <w:color w:val="auto"/>
              </w:rPr>
            </w:pPr>
            <w:r>
              <w:rPr>
                <w:rFonts w:ascii="Arial" w:cs="Arial" w:eastAsia="Arial" w:hAnsi="Arial"/>
                <w:sz w:val="18"/>
                <w:szCs w:val="18"/>
                <w:b w:val="1"/>
                <w:bCs w:val="1"/>
                <w:color w:val="auto"/>
                <w:w w:val="88"/>
              </w:rPr>
              <w:t>Increase (Decrease) Due to</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0"/>
              </w:rPr>
              <w:t>Change in:</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0"/>
              </w:rPr>
              <w:t>Change in:</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17"/>
                <w:szCs w:val="17"/>
                <w:color w:val="auto"/>
              </w:rPr>
            </w:pPr>
          </w:p>
        </w:tc>
        <w:tc>
          <w:tcPr>
            <w:tcW w:w="1140" w:type="dxa"/>
            <w:vAlign w:val="bottom"/>
            <w:gridSpan w:val="2"/>
          </w:tcPr>
          <w:p>
            <w:pPr>
              <w:jc w:val="right"/>
              <w:ind w:right="640"/>
              <w:spacing w:after="0" w:line="201" w:lineRule="exact"/>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17"/>
                <w:szCs w:val="17"/>
                <w:color w:val="auto"/>
              </w:rPr>
            </w:pPr>
          </w:p>
        </w:tc>
        <w:tc>
          <w:tcPr>
            <w:tcW w:w="1260" w:type="dxa"/>
            <w:vAlign w:val="bottom"/>
            <w:gridSpan w:val="2"/>
          </w:tcPr>
          <w:p>
            <w:pPr>
              <w:jc w:val="center"/>
              <w:ind w:right="340"/>
              <w:spacing w:after="0" w:line="201" w:lineRule="exact"/>
              <w:rPr>
                <w:sz w:val="20"/>
                <w:szCs w:val="20"/>
                <w:color w:val="auto"/>
              </w:rPr>
            </w:pPr>
            <w:r>
              <w:rPr>
                <w:rFonts w:ascii="Arial" w:cs="Arial" w:eastAsia="Arial" w:hAnsi="Arial"/>
                <w:sz w:val="18"/>
                <w:szCs w:val="18"/>
                <w:b w:val="1"/>
                <w:bCs w:val="1"/>
                <w:color w:val="auto"/>
                <w:w w:val="92"/>
              </w:rPr>
              <w:t>Volume</w:t>
            </w:r>
          </w:p>
        </w:tc>
        <w:tc>
          <w:tcPr>
            <w:tcW w:w="360" w:type="dxa"/>
            <w:vAlign w:val="bottom"/>
          </w:tcPr>
          <w:p>
            <w:pPr>
              <w:spacing w:after="0"/>
              <w:rPr>
                <w:sz w:val="17"/>
                <w:szCs w:val="17"/>
                <w:color w:val="auto"/>
              </w:rPr>
            </w:pPr>
          </w:p>
        </w:tc>
        <w:tc>
          <w:tcPr>
            <w:tcW w:w="780" w:type="dxa"/>
            <w:vAlign w:val="bottom"/>
          </w:tcPr>
          <w:p>
            <w:pPr>
              <w:jc w:val="right"/>
              <w:ind w:right="270"/>
              <w:spacing w:after="0" w:line="201" w:lineRule="exact"/>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580"/>
              <w:spacing w:after="0" w:line="201" w:lineRule="exact"/>
              <w:rPr>
                <w:sz w:val="20"/>
                <w:szCs w:val="20"/>
                <w:color w:val="auto"/>
              </w:rPr>
            </w:pPr>
            <w:r>
              <w:rPr>
                <w:rFonts w:ascii="Arial" w:cs="Arial" w:eastAsia="Arial" w:hAnsi="Arial"/>
                <w:sz w:val="18"/>
                <w:szCs w:val="18"/>
                <w:b w:val="1"/>
                <w:bCs w:val="1"/>
                <w:color w:val="auto"/>
              </w:rPr>
              <w:t>Rate</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201" w:lineRule="exact"/>
              <w:rPr>
                <w:sz w:val="20"/>
                <w:szCs w:val="20"/>
                <w:color w:val="auto"/>
              </w:rPr>
            </w:pPr>
            <w:r>
              <w:rPr>
                <w:rFonts w:ascii="Arial" w:cs="Arial" w:eastAsia="Arial" w:hAnsi="Arial"/>
                <w:sz w:val="18"/>
                <w:szCs w:val="18"/>
                <w:b w:val="1"/>
                <w:bCs w:val="1"/>
                <w:color w:val="auto"/>
                <w:w w:val="89"/>
              </w:rPr>
              <w:t>Volume</w:t>
            </w:r>
          </w:p>
        </w:tc>
        <w:tc>
          <w:tcPr>
            <w:tcW w:w="320" w:type="dxa"/>
            <w:vAlign w:val="bottom"/>
          </w:tcPr>
          <w:p>
            <w:pPr>
              <w:spacing w:after="0"/>
              <w:rPr>
                <w:sz w:val="17"/>
                <w:szCs w:val="17"/>
                <w:color w:val="auto"/>
              </w:rPr>
            </w:pPr>
          </w:p>
        </w:tc>
        <w:tc>
          <w:tcPr>
            <w:tcW w:w="800" w:type="dxa"/>
            <w:vAlign w:val="bottom"/>
          </w:tcPr>
          <w:p>
            <w:pPr>
              <w:jc w:val="right"/>
              <w:ind w:right="270"/>
              <w:spacing w:after="0" w:line="201" w:lineRule="exact"/>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17"/>
                <w:szCs w:val="17"/>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Interest-bearing deposits with the Federal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non-U.S. central banks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banks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Loans held-for-sale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4,099</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Loans held for investment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845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2,012</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Demand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Savings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862</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(695)</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831</w:t>
            </w:r>
          </w:p>
        </w:tc>
        <w:tc>
          <w:tcPr>
            <w:tcW w:w="3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(792)</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net interest income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provision for loan losses is a charge to income to bring our ALL to a level deemed appropriate by management and approved by of board of directors. We determine the provision for loan losses monthly in connection with our monthly evaluation of the adequacy of our ALL. For a description of the factors we considered in determining the ALL see “—Financial Condition—Allowance for Loan Losses” and “—Critical Accounting Policies and Estimates.”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provision for loan losses was $2.9 million and $1.5 million for the three months ended June 30, 2022 and 2021, respectively. Our provision for loan losses was $5.9 million and $2.2 million for the six months ended June 30, 2022 and 2021, respectively. The increase over both comparative periods was primarily due to substantial growth in unguaranteed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largest portion of our noninterest income is associated with our Strategic Program fees. Other sources of noninterest income include gain on sale of loans, SBA loan servicing fees, change in fair value on investment in BFG and other miscellaneous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For the Three Months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Ended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Strategic Program fees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3,942</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Gain on sale of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2,397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SBA loan servicing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Change in fair value on investment in BFG</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(575)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1,501</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(2,076)</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(138.3%)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r>
      <w:tr>
        <w:trPr>
          <w:trHeight w:val="27"/>
        </w:trPr>
        <w:tc>
          <w:tcPr>
            <w:tcW w:w="5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8,431</w:t>
            </w: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8,161</w:t>
            </w:r>
          </w:p>
        </w:tc>
        <w:tc>
          <w:tcPr>
            <w:tcW w:w="2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1"/>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June 30, 2022, total noninterest income increased $0.3 million, or 3.3%, to $8.4 million compared to the three months ended June 30, 2021. This increase was primarily due to the increase in Strategic Program fees. The increase in Strategic Program fees was mainly due to the increase in loan origination volume in the Strategic Program. These increases were partially offset by a decrease in the fair value of the Company’s investment in BFG due primarily to the softening of comparable company values used in determining BFG fair value.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For the Six Months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Ended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Strategic Program fees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12,844</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6,895</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Gain on sale of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7,464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2,464</w:t>
            </w: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SBA loan servicing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Change in fair value on investment in BFG</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(973)</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1,861</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(2,834)</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(152.3%)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133.5%</w:t>
            </w:r>
          </w:p>
        </w:tc>
      </w:tr>
      <w:tr>
        <w:trPr>
          <w:trHeight w:val="27"/>
        </w:trPr>
        <w:tc>
          <w:tcPr>
            <w:tcW w:w="5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20,113</w:t>
            </w: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14,240</w:t>
            </w:r>
          </w:p>
        </w:tc>
        <w:tc>
          <w:tcPr>
            <w:tcW w:w="2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5,873</w:t>
            </w: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six months ended June 30, 2022, total noninterest income increased $5.9 million, or 41.2%, to $20.1 million compared to the six months ended June 30, 2021. This increase was primarily due to the increase in Strategic Program fees, gain on sale of loans, and SBA loan servicing fees. The increase in Strategic Program fees was primarily due to the increase in loan origination volume in the Strategic Program. The increase in gain on sale of loans was primarily due to the increase in the number of SBA 7(a) loans sold during the six months ended June 30, 2022. The increase in SBA loan servicing fees was primarily due to the increase in SBA 7(a) loans serviced for others during the period. These increases were partially offset by a decrease in the fair value of the Company’s investment in BFG due primarily to the softening of comparable company values used in determining BFG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Noninterest expense has increased as we have become a public company, grown, expanded and modernized our operational infrastructure and implemented our plan to build an efficient, technology-driven banking operation with significant capacity for growth.</w:t>
      </w:r>
    </w:p>
    <w:p>
      <w:pPr>
        <w:sectPr>
          <w:pgSz w:w="11900" w:h="16838" w:orient="portrait"/>
          <w:cols w:equalWidth="0" w:num="1">
            <w:col w:w="11240"/>
          </w:cols>
          <w:pgMar w:left="320" w:top="122"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0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5"/>
        </w:trPr>
        <w:tc>
          <w:tcPr>
            <w:tcW w:w="7320" w:type="dxa"/>
            <w:vAlign w:val="bottom"/>
            <w:gridSpan w:val="5"/>
          </w:tcPr>
          <w:p>
            <w:pPr>
              <w:spacing w:after="0"/>
              <w:rPr>
                <w:sz w:val="20"/>
                <w:szCs w:val="20"/>
                <w:color w:val="auto"/>
              </w:rPr>
            </w:pPr>
            <w:r>
              <w:rPr>
                <w:rFonts w:ascii="Arial" w:cs="Arial" w:eastAsia="Arial" w:hAnsi="Arial"/>
                <w:sz w:val="18"/>
                <w:szCs w:val="18"/>
                <w:color w:val="auto"/>
                <w:w w:val="92"/>
              </w:rPr>
              <w:t>The following table presents, for the periods indicated, the major categories of noninterest expense:</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For the Three Months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Ended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1,694</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Occupancy and equipment expenses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106.4%</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SBA servicing asset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64.5%</w:t>
            </w:r>
          </w:p>
        </w:tc>
      </w:tr>
      <w:tr>
        <w:trPr>
          <w:trHeight w:val="27"/>
        </w:trPr>
        <w:tc>
          <w:tcPr>
            <w:tcW w:w="3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three months ended June 30, 2022, total noninterest expense increased $3.9 million, or 55.7%, to $11.0 million compared to the three months ended June 30, 2021. This increase was primarily due to the increase in salaries and employee benefits, impairment of the Company’s SBA servicing asset, and other operating expenses. For the three months ended June 30, 2022, salaries and employee benefits increased $1.7 million, or 30.9%, to $7.2 million compared to the three months ended June 30, 2021. This increase was primarily due to the increased number of employees as compared to the three months ended June 30, 2021. The increase in employees during this timeframe coincided with an increase in Strategic Program loan volume and the expansion of our information technology and security division to support enhancements in our infrastructure, and an increase in contractual bonuses paid relating to the expansion of the Strategic Programs in 2022. For the three months ended June 30, 2022, an impairment of the Company’s SBA servicing asset was recognized for $1.1 million due primarily to rising market interest rates and market-wide increasing prepayment speeds on SBA loans. For the three months ended June 30, 2022, other operating expense increased $0.9 million, or 64.5%, to $2.3 million compared to the three months ended June 30, 2021. This increase was primarily due to increased legal and professional fees.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For the Six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0"/>
              </w:rPr>
              <w:t>Ended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14,274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3,891</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Occupancy and equipment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721</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81.5%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SBA servicing asset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r>
      <w:tr>
        <w:trPr>
          <w:trHeight w:val="27"/>
        </w:trPr>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20,067</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six months ended June 30, 2022, total noninterest expense increased $6.3 million, or 46.0%, to $20.1 million compared to the six months ended June 30, 2021. This increase was primarily due to the increase in salaries and employee benefits, impairment of the Company’s SBA servicing asset, and other operating expenses. For the six months ended June 30, 2022, salaries and employee benefits increased $3.9 million, or 37.5%, to $14.3 million compared to the six months ended June 30, 2021. This increase was primarily due to the increased number of employees as compared to the six months ended June 30, 2021. The increase in employees during this timeframe coincided with an increase in Strategic Program loan volume and the expansion of our information technology and security division to support enhancements in our infrastructure, and an increase in contractual bonuses paid relating to the expansion of the Strategic Programs in 2022. For the six months ended June 30, 2022, an impairment of the Company’s SBA servicing asset was recognized for $1.1 million due primarily to rising market interest rates and market-wide increasing prepayment speeds on SBA loans. For the six months ended June 30, 2022, other operating expense increased $1.0 million, or 34.9%, to $4.0 million compared to the six months ended June 30, 2021. This increase was primarily due to increased legal and professional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manage our loan portfolio based on factors that include concentrations per loan program and aggregated portfolio, industry selection and geographies. We also monitor the impact of identified and estimated losses on capital as well as the pricing characteristics of each product. The following provides a general description and the risk characteristics relevant to each of the business lines.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SBA 7(a) Loans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originate and service loans partially guaranteed by the SBA under its Section 7(a) loan program. SBA 7(a) loans are made to small businesses and professionals throughout the USA. As of June 30, 2022 and December 31, 2021, we had total SBA 7(a) loans of $123.7 million and $141.3 million, respectively, representing 53.3% and 53.2% of our total loans, respectively. 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temporarily retaining a larger amount of the guaranteed portion of these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SBA Paycheck Protection Program Loans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As of June 30, 2022 and December 31, 2021, we had total PPP loans of $0.7 million and $1.1 million, respectively, representing 0.3% and 0.4% of our total loans, respectively. The PPP loans also resulted in fees paid by the SBA to the originating bank for processing PPP loans, which fees are accreted into interest income over the life of the applicable loans. If a PPP loan is forgiven or paid off before maturity, the remaining unearned fee is recognized into income at that time. For the three months ended June 30, 2021, the Company recognized a total of $0.7 million in PPP-related accreted fees ($0.6 million of which were accelerated due to loan forgiveness).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was recognized during the three months ended June 30, 2022 and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deferred fees remained as of June 30, 2022. For the six months ended June 30, 2021, the Company recognized a total of $1.6 million in PPP-related accreted fees ($1.2 million of which were accelerated due to loan forgiveness).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was recognized during the six months ended June 30, 2022 and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deferred fees remained as of June 30,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Commercial, non-real estate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Commercial non-real estate loans consist of loans and leases made to commercial enterprises that are not secured by real estate. As of June 30, 2022 and December 31, 2021, we had total commercial non-real estate loans of $7.8 million and $3.4 million, respectively, representing 3.4% and 1.3% of our total loans, respectively. Any loan,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Residential real estate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June 30, 2022 and December 31, 2021, we had total residential real estate loans of $31.0 million and $27.1 million, respectively, representing 13.3% and 10.2% of our total loans,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Program loans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through our Strategic Program service providers, issue, on a nationwide basis, unsecured consumer and secured or unsecured business loans to borrowers within certain approved credit profiles. As of June 30, 2022 and December 31, 2021, we had total Strategic Program loans of $59.1 million and $85.9 million, respectively, representing 25.5% and 32.3% of our total loans, respectively. Loans originated through these programs are limited to predetermined Bank underwriting criterion, which has been approved by our board of directors. The primary form of repayment on these loans is from personal or business cash flow. Business loans may be secured by liens on business assets, as applicable. We have generally sold most of these loans, but as our capital grows, we may choose to hold more of the funded loans and/or receivables. We reserve the right to sell any portion of funded loans and/or receivables directly to the Strategic Program service providers or other investors. We retain the legal right to service all these loans, but contract with the Strategic Program service provider or another approved sub-servicer to service these loans on our behalf.</w:t>
      </w:r>
    </w:p>
    <w:p>
      <w:pPr>
        <w:sectPr>
          <w:pgSz w:w="11900" w:h="16838" w:orient="portrait"/>
          <w:cols w:equalWidth="0" w:num="1">
            <w:col w:w="11240"/>
          </w:cols>
          <w:pgMar w:left="320" w:top="122"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Commercial real estate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Commercial real estate loans include loans to individuals, sole proprietorships, partnerships, corporations, or other business enterprises for commercial, industrial, agricultural, or professional purposes, secured by real estate primarily located in the Salt Lake City, Utah MSA, but not for personal expenditure purposes. As of June 30, 2022 and December 31, 2021, we had total commercial real estate loans of $4.7 million and $2.4 million, respectively, representing 2.0% and 0.9% of our total loans,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Consumer</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Consumer lending provides financing for personal, family, or household purposes on a nationwide basis. Most of these loans are originated through our POS platform and come from a variety of sources, including other approved merchant or dealer relationships and lending platforms. As of June 30, 2022 and December 31, 2021, we had total consumer loans of $5.1 million and $4.6 million, respectively, representing 2.2% and 1.7% of our total loans,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financing form. Historically, we have retained these loans on our balance sheet for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 Portfolio Program Summary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our diversification efforts, we have built a portfolio that we believe positions us to withstand economic shifts. For example, we focus on industries and loan types that have historically lower loss rates such as professional, scientific and technical services (including law firms), non-store retailers (e-commerce), and ambulatory healthcare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loan portfolio by loan program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8"/>
              </w:rPr>
              <w:t>As of June 30,</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As of December 31,</w:t>
            </w:r>
          </w:p>
        </w:tc>
      </w:tr>
      <w:tr>
        <w:trPr>
          <w:trHeight w:val="241"/>
        </w:trPr>
        <w:tc>
          <w:tcPr>
            <w:tcW w:w="3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8"/>
        </w:trPr>
        <w:tc>
          <w:tcPr>
            <w:tcW w:w="3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400"/>
              <w:spacing w:after="0" w:line="198" w:lineRule="exact"/>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4"/>
          </w:tcPr>
          <w:p>
            <w:pPr>
              <w:ind w:lef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r>
      <w:tr>
        <w:trPr>
          <w:trHeight w:val="241"/>
        </w:trPr>
        <w:tc>
          <w:tcPr>
            <w:tcW w:w="3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loans</w:t>
            </w:r>
          </w:p>
        </w:tc>
        <w:tc>
          <w:tcPr>
            <w:tcW w:w="180" w:type="dxa"/>
            <w:vAlign w:val="bottom"/>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loans</w:t>
            </w:r>
          </w:p>
        </w:tc>
        <w:tc>
          <w:tcPr>
            <w:tcW w:w="180" w:type="dxa"/>
            <w:vAlign w:val="bottom"/>
          </w:tcPr>
          <w:p>
            <w:pPr>
              <w:spacing w:after="0"/>
              <w:rPr>
                <w:sz w:val="20"/>
                <w:szCs w:val="20"/>
                <w:color w:val="auto"/>
              </w:rPr>
            </w:pPr>
          </w:p>
        </w:tc>
      </w:tr>
      <w:tr>
        <w:trPr>
          <w:trHeight w:val="216"/>
        </w:trPr>
        <w:tc>
          <w:tcPr>
            <w:tcW w:w="3740" w:type="dxa"/>
            <w:vAlign w:val="bottom"/>
            <w:shd w:val="clear" w:color="auto" w:fill="CCEEFF"/>
          </w:tcPr>
          <w:p>
            <w:pPr>
              <w:spacing w:after="0" w:line="216" w:lineRule="exact"/>
              <w:rPr>
                <w:sz w:val="20"/>
                <w:szCs w:val="20"/>
                <w:color w:val="auto"/>
              </w:rPr>
            </w:pPr>
            <w:r>
              <w:rPr>
                <w:rFonts w:ascii="Arial" w:cs="Arial" w:eastAsia="Arial" w:hAnsi="Arial"/>
                <w:sz w:val="25"/>
                <w:szCs w:val="25"/>
                <w:color w:val="auto"/>
                <w:vertAlign w:val="subscript"/>
              </w:rPr>
              <w:t>SBA</w:t>
            </w:r>
            <w:r>
              <w:rPr>
                <w:rFonts w:ascii="Arial" w:cs="Arial" w:eastAsia="Arial" w:hAnsi="Arial"/>
                <w:sz w:val="12"/>
                <w:szCs w:val="12"/>
                <w:color w:val="auto"/>
              </w:rPr>
              <w:t>(1)</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124,477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53.6​%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Commercial, non real estate</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7,847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4"/>
          </w:tcPr>
          <w:p>
            <w:pPr>
              <w:jc w:val="right"/>
              <w:ind w:right="380"/>
              <w:spacing w:after="0"/>
              <w:rPr>
                <w:sz w:val="20"/>
                <w:szCs w:val="20"/>
                <w:color w:val="auto"/>
              </w:rPr>
            </w:pPr>
            <w:r>
              <w:rPr>
                <w:rFonts w:ascii="Arial" w:cs="Arial" w:eastAsia="Arial" w:hAnsi="Arial"/>
                <w:sz w:val="18"/>
                <w:szCs w:val="18"/>
                <w:color w:val="auto"/>
              </w:rPr>
              <w:t>3.4​%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3,428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13.3​%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27,108</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59,066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4"/>
          </w:tcPr>
          <w:p>
            <w:pPr>
              <w:jc w:val="right"/>
              <w:ind w:right="380"/>
              <w:spacing w:after="0"/>
              <w:rPr>
                <w:sz w:val="20"/>
                <w:szCs w:val="20"/>
                <w:color w:val="auto"/>
              </w:rPr>
            </w:pPr>
            <w:r>
              <w:rPr>
                <w:rFonts w:ascii="Arial" w:cs="Arial" w:eastAsia="Arial" w:hAnsi="Arial"/>
                <w:sz w:val="18"/>
                <w:szCs w:val="18"/>
                <w:color w:val="auto"/>
              </w:rPr>
              <w:t>25.5​%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85,850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Consumer</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5,062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4"/>
          </w:tcPr>
          <w:p>
            <w:pPr>
              <w:jc w:val="right"/>
              <w:ind w:right="380"/>
              <w:spacing w:after="0"/>
              <w:rPr>
                <w:sz w:val="20"/>
                <w:szCs w:val="20"/>
                <w:color w:val="auto"/>
              </w:rPr>
            </w:pPr>
            <w:r>
              <w:rPr>
                <w:rFonts w:ascii="Arial" w:cs="Arial" w:eastAsia="Arial" w:hAnsi="Arial"/>
                <w:sz w:val="18"/>
                <w:szCs w:val="18"/>
                <w:color w:val="auto"/>
              </w:rPr>
              <w:t>2.2​%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4,574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7"/>
        </w:trPr>
        <w:tc>
          <w:tcPr>
            <w:tcW w:w="37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232,139</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265,788</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7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63" w:lineRule="auto"/>
        <w:tabs>
          <w:tab w:leader="none" w:pos="26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SBA loans as of June 30, 2022 and December 31, 2021 includes approximately $0.7 million and $1.1 million of PPP loans. SBA loans as of June 30, 2022 and December 31, 2021 include $46.0 million and $75.7 million, respectively, of SBA 7(a) loan balances that are guaranteed by the SBA.</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Maturity and Sensitivity to Changes in Interest Rates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June 30, 2022, including the impact of PPP loans, $113.8 million, or 56.7%, of the total held for investment loan balance matures in less than five years. Loans maturing in greater than five years totaled $86.7 million as of June 30, 2022. The variable rate portion of our total held for investment loan portfolio at June 30, 2022 was $151.2 million, or 75.4%. As of December 31, 2021, including the impact of PPP loans, $103.1 million, or 50.3%, of the total held for investment loan balance matures in less than five years. Loans maturing in greater than five years totaled $101.9 million as of December 31, 2021. The variable rate portion of our total held for investment loan portfolio at December 31, 2021 was $163.8 million, or 79.9%. The variable rate portion of the total held for investment loans reflects our strategy to minimize interest rate risk through the use of variable rate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maturities and sensitivity to interest rate changes for our loan portfolio at June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r>
              <w:rPr>
                <w:rFonts w:ascii="Arial" w:cs="Arial" w:eastAsia="Arial" w:hAnsi="Arial"/>
                <w:sz w:val="18"/>
                <w:szCs w:val="18"/>
                <w:b w:val="1"/>
                <w:bCs w:val="1"/>
                <w:color w:val="auto"/>
              </w:rPr>
              <w:t>At June 30, 2022</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11"/>
          </w:tcPr>
          <w:p>
            <w:pPr>
              <w:jc w:val="right"/>
              <w:ind w:right="180"/>
              <w:spacing w:after="0"/>
              <w:rPr>
                <w:sz w:val="20"/>
                <w:szCs w:val="20"/>
                <w:color w:val="auto"/>
              </w:rPr>
            </w:pPr>
            <w:r>
              <w:rPr>
                <w:rFonts w:ascii="Arial" w:cs="Arial" w:eastAsia="Arial" w:hAnsi="Arial"/>
                <w:sz w:val="18"/>
                <w:szCs w:val="18"/>
                <w:b w:val="1"/>
                <w:bCs w:val="1"/>
                <w:color w:val="auto"/>
              </w:rPr>
              <w:t>Remaining Contractual Maturity Held for Investment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After Five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After One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Years and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Year and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Through</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8"/>
              </w:rPr>
              <w:t>One Year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Through</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Fifteen</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Fifteen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4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w w:val="90"/>
              </w:rPr>
              <w:t>or Less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Five Years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Years</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Fixed rate loans:</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SBA</w:t>
            </w:r>
            <w:r>
              <w:rPr>
                <w:rFonts w:ascii="Arial" w:cs="Arial" w:eastAsia="Arial" w:hAnsi="Arial"/>
                <w:sz w:val="25"/>
                <w:szCs w:val="25"/>
                <w:color w:val="auto"/>
                <w:vertAlign w:val="superscript"/>
              </w:rPr>
              <w:t>(1)</w:t>
            </w:r>
          </w:p>
        </w:tc>
        <w:tc>
          <w:tcPr>
            <w:tcW w:w="3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5,493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7,847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9,636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27,467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3,084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4,749</w:t>
            </w:r>
          </w:p>
        </w:tc>
      </w:tr>
      <w:tr>
        <w:trPr>
          <w:trHeight w:val="216"/>
        </w:trPr>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Variable rate loans: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123,110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57"/>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61,572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8"/>
        <w:spacing w:after="0" w:line="291" w:lineRule="auto"/>
        <w:tabs>
          <w:tab w:leader="none" w:pos="27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 of SBA fixed rate loans includes approximately $0.7 million of PPP loans. PPP loans originated prior to June 5, 2020, have a two year term. PPP loans originated on or after June 5, 2020, have a five year term. For PPP borrowers who submit completed applications for forgiveness, loan payments are automatically deferred until the SBA renders a decision on the forgiveness request. PPP borrowers who fail to submit timely forgiveness applications are required to make monthly payments beginning ten months from the end of the chosen “covered period”. The “covered period” is a maximum of 24 weeks from the origination date. Assuming a 24 week covered period, PPP borrowers are not required to begin making payments until 16 months after the origination date. At the time payments begin, if the borrower and lender of a two year PPP loan mutually agree to extend the term of the loan it can be extended to a five year term. As of June 30, 2022, six PPP loans have been granted maturity date extensions.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r>
              <w:rPr>
                <w:rFonts w:ascii="Arial" w:cs="Arial" w:eastAsia="Arial" w:hAnsi="Arial"/>
                <w:sz w:val="18"/>
                <w:szCs w:val="18"/>
                <w:b w:val="1"/>
                <w:bCs w:val="1"/>
                <w:color w:val="auto"/>
              </w:rPr>
              <w:t>At December 31, 2021</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11"/>
          </w:tcPr>
          <w:p>
            <w:pPr>
              <w:jc w:val="right"/>
              <w:ind w:right="180"/>
              <w:spacing w:after="0"/>
              <w:rPr>
                <w:sz w:val="20"/>
                <w:szCs w:val="20"/>
                <w:color w:val="auto"/>
              </w:rPr>
            </w:pPr>
            <w:r>
              <w:rPr>
                <w:rFonts w:ascii="Arial" w:cs="Arial" w:eastAsia="Arial" w:hAnsi="Arial"/>
                <w:sz w:val="18"/>
                <w:szCs w:val="18"/>
                <w:b w:val="1"/>
                <w:bCs w:val="1"/>
                <w:color w:val="auto"/>
              </w:rPr>
              <w:t>Remaining Contractual Maturity Held for Investment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After Five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After One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Years and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Year and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Through</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98"/>
              </w:rPr>
              <w:t>One Year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Through</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Fifteen</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Fifteen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4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w w:val="90"/>
              </w:rPr>
              <w:t>or Less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Five Years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Years</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Fixed rate loans:</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SBA</w:t>
            </w:r>
            <w:r>
              <w:rPr>
                <w:rFonts w:ascii="Arial" w:cs="Arial" w:eastAsia="Arial" w:hAnsi="Arial"/>
                <w:sz w:val="25"/>
                <w:szCs w:val="25"/>
                <w:color w:val="auto"/>
                <w:vertAlign w:val="superscript"/>
              </w:rPr>
              <w:t>(1)</w:t>
            </w:r>
          </w:p>
        </w:tc>
        <w:tc>
          <w:tcPr>
            <w:tcW w:w="3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6,981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25,102</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2,793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4,359</w:t>
            </w:r>
          </w:p>
        </w:tc>
      </w:tr>
      <w:tr>
        <w:trPr>
          <w:trHeight w:val="216"/>
        </w:trPr>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Variable rate loans: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58,493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42,632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140,643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5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56,314</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46,818</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59,155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ind w:firstLine="8"/>
        <w:spacing w:after="0" w:line="291" w:lineRule="auto"/>
        <w:tabs>
          <w:tab w:leader="none" w:pos="27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 of SBA fixed rate loans includes approximately $1.1 million of PPP loans. PPP loans originated prior to June 5, 2020, have a two year term. PPP loans originated on or after June 5, 2020, have a five year term. For PPP borrowers who submit completed applications for forgiveness, loan payments are automatically deferred until the SBA renders a decision on the forgiveness request. PPP borrowers who fail to submit timely forgiveness applications are required to make monthly payments beginning ten months from the end of the chosen “covered period”. The “covered period” is a maximum of 24 weeks from the origination date. Assuming a 24 week covered period, PPP borrowers are not required to begin making payments until 16 months after the origination date. At the time payments begin, if the borrower and lender of a two year PPP loan mutually agree to extend the term of the loan it can be extended to a five year term. As of December 31, 2021, three PPP loans have been granted maturity date extensions.</w:t>
      </w:r>
    </w:p>
    <w:p>
      <w:pPr>
        <w:sectPr>
          <w:pgSz w:w="11900" w:h="16838" w:orient="portrait"/>
          <w:cols w:equalWidth="0" w:num="1">
            <w:col w:w="11240"/>
          </w:cols>
          <w:pgMar w:left="320" w:top="122" w:right="339" w:bottom="0" w:gutter="0" w:footer="0" w:header="0"/>
        </w:sectPr>
      </w:pPr>
    </w:p>
    <w:bookmarkStart w:id="43" w:name="page44"/>
    <w:bookmarkEnd w:id="43"/>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loan which we deem to be uncollectible, in whole or in part, is charged off to the extent of the anticipated loss. In general, loans that are past due for 90 days or more are charged off unless the loan is both well secured and in the process of collection.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our nonperforming assets and troubled debt restructurings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As of</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760" w:type="dxa"/>
            <w:vAlign w:val="bottom"/>
          </w:tcPr>
          <w:p>
            <w:pPr>
              <w:spacing w:after="0"/>
              <w:rPr>
                <w:sz w:val="19"/>
                <w:szCs w:val="19"/>
                <w:color w:val="auto"/>
              </w:rPr>
            </w:pPr>
          </w:p>
        </w:tc>
        <w:tc>
          <w:tcPr>
            <w:tcW w:w="13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0"/>
              </w:rPr>
              <w:t>June 30, 2022</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87"/>
              </w:rPr>
              <w:t>December 31, 2021</w:t>
            </w:r>
          </w:p>
        </w:tc>
        <w:tc>
          <w:tcPr>
            <w:tcW w:w="160" w:type="dxa"/>
            <w:vAlign w:val="bottom"/>
          </w:tcPr>
          <w:p>
            <w:pPr>
              <w:spacing w:after="0"/>
              <w:rPr>
                <w:sz w:val="19"/>
                <w:szCs w:val="19"/>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Nonaccrual loans:</w:t>
            </w:r>
          </w:p>
        </w:tc>
        <w:tc>
          <w:tcPr>
            <w:tcW w:w="7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2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Commercial, non real estate</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nonperforming loans</w:t>
            </w:r>
          </w:p>
        </w:tc>
        <w:tc>
          <w:tcPr>
            <w:tcW w:w="7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75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37"/>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accruing loans past due 90 days or more</w:t>
            </w:r>
          </w:p>
        </w:tc>
        <w:tc>
          <w:tcPr>
            <w:tcW w:w="122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Borders>
              <w:righ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r>
      <w:tr>
        <w:trPr>
          <w:trHeight w:val="20"/>
        </w:trPr>
        <w:tc>
          <w:tcPr>
            <w:tcW w:w="75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7500" w:type="dxa"/>
            <w:vAlign w:val="bottom"/>
          </w:tcPr>
          <w:p>
            <w:pPr>
              <w:spacing w:after="0"/>
              <w:rPr>
                <w:sz w:val="20"/>
                <w:szCs w:val="20"/>
                <w:color w:val="auto"/>
              </w:rPr>
            </w:pPr>
            <w:r>
              <w:rPr>
                <w:rFonts w:ascii="Arial" w:cs="Arial" w:eastAsia="Arial" w:hAnsi="Arial"/>
                <w:sz w:val="18"/>
                <w:szCs w:val="18"/>
                <w:color w:val="auto"/>
              </w:rPr>
              <w:t>Nonaccrual troubled debt restructuring</w:t>
            </w:r>
          </w:p>
        </w:tc>
        <w:tc>
          <w:tcPr>
            <w:tcW w:w="122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1"/>
        </w:trPr>
        <w:tc>
          <w:tcPr>
            <w:tcW w:w="7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troubled debt restructurings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Less nonaccrual troubled debt restructurings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7"/>
        </w:trPr>
        <w:tc>
          <w:tcPr>
            <w:tcW w:w="7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Total nonperforming assets and troubled debt restructurings</w:t>
            </w:r>
          </w:p>
        </w:tc>
        <w:tc>
          <w:tcPr>
            <w:tcW w:w="122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728</w:t>
            </w:r>
          </w:p>
        </w:tc>
        <w:tc>
          <w:tcPr>
            <w:tcW w:w="2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763</w:t>
            </w:r>
          </w:p>
        </w:tc>
      </w:tr>
      <w:tr>
        <w:trPr>
          <w:trHeight w:val="21"/>
        </w:trPr>
        <w:tc>
          <w:tcPr>
            <w:tcW w:w="7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loans to total loans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Total nonperforming loans to total assets</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7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 and troubled debt restructurings to total loans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Total nonperforming assets and troubled debt restructurings to total assets</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7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75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Total nonperforming assets and troubled debt restructurings to total assets (less PPP loans) </w:t>
            </w:r>
            <w:r>
              <w:rPr>
                <w:rFonts w:ascii="Arial" w:cs="Arial" w:eastAsia="Arial" w:hAnsi="Arial"/>
                <w:sz w:val="25"/>
                <w:szCs w:val="25"/>
                <w:color w:val="auto"/>
                <w:vertAlign w:val="superscript"/>
              </w:rPr>
              <w:t>(1)</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bl>
    <w:p>
      <w:pPr>
        <w:spacing w:after="0" w:line="202" w:lineRule="exact"/>
        <w:rPr>
          <w:sz w:val="20"/>
          <w:szCs w:val="20"/>
          <w:color w:val="auto"/>
        </w:rPr>
      </w:pPr>
    </w:p>
    <w:p>
      <w:pPr>
        <w:ind w:firstLine="8"/>
        <w:spacing w:after="0" w:line="277" w:lineRule="auto"/>
        <w:tabs>
          <w:tab w:leader="none" w:pos="2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“GAAP Reconciliation and Management Explanation of Non-GAAP Financial Measures” for a reconciliation of this measure to its most comparable GAAP measure.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total nonperforming assets and troubled debt restructurings at June 30, 2022 and December 31, 2021 was $0.7 million and $0.8 million. Total nonperforming assets at June 30, 2022 and December 31, 2021 were composed of $0.6 million and $0.7 million in nonaccrual loans and $0.1 million of troubled debt restructurings.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classify loans that experience insignificant payment delays and payment shortfalls as impaired. We consider an “insignificant period of time” from payment delays to be a period of 90 days or less, or 120 days or less in certain Strategic Programs. We will customarily attempt to provide a modification for a customer experiencing what we consider to be a short-term event that has temporarily impacted cash flow. In those cases, we will review the request to determine if the customer is experiencing cash flow strain and how the event has impacted the ability of the customer to repay in the long term. Short-term modifications are not classified as troubled debt restructurings because they do not meet the definition set by the FDIC or our accounting policy for identifying troubled debt restructurings.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Interest income that would have been recorded for the six months ended June 30, 2022 and 2021 had nonaccrual loans been current throughout the period amounted to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amounts for each period.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 Profile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and collectable basis. Loans are made with a primary emphasis on loan profitability, credit risk and concentration exposures.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loan loss allowance we maintain. Specifically, retention of certain Strategic Program loans with higher default rates account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 As an example, at the beginning of the Covid-19 pandemic we analyzed our portfolio to identify loans that were more likely to be vulnerable to the pandemic’s impact. We then proactively opened a dialogue with potentially affected borrowers to assess their needs and provide assistance. Through this process we were able to not only better understand our portfolio risks but were able to intercede with borrowers if needed.</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monthly loan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a grading system to rank the quality of each loan. The grade is periodically evaluated and adjusted as performance dictates. Loan grades 1 through 4 are passing grades, grade 5 is special mention. Collectively, grades 6 (substandard), 7 (doubtful) and 8 (loss) represent classified loans within the portfolio. The following guidelines govern the assignment of these risk grades. We do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Grade 1: Pass - Loans fully secured by deposit accounts. Loans where the borrower has strong sources of repayment, generally 5 years or more of consistent employment (or related field) and income history. Debt of the borrower is modest relative to the borrower’s financial strength and ability to pay with a DTI ratio of less than 25%. Cash flow is very strong as evidenced by significant discretionary income amounts. Borrower will consistently maintain 30% of the outstanding debts in deposit accounts with us, often with the right of offset, holds, etc. Loan to value ratios (LTV) will be 60% or less. Loans in this category require very minimal monitoring.</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Grade 2: Pass - The borrower has good sources of repayment, generally 3 years or more of consistent employment (or related field) and income history. The debt of the borrower is reasonable relative to the borrower’s financial strength with a DTI ratio of less than 35%. Cash flow is strong as evidenced by exceptional discretionary income amounts. Borrowers will consistently maintain 20% of the outstanding debts in deposit accounts with us. LTV ratios will be 70% or less. These loans require minimal monitoring.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Grade 3: Pass - There is a comfortable primary source of repayment, generally 2 years or more of consistent employment (or related field) and income history. Borrowers may exhibit a mix of strengths and weaknesses. For example, they have either adequate cash flow with higher than desired leverage, or marginal cash flow with strong collateral and liquidity. Borrowers will have DTIs less than 45%. Borrowers will generally maintain deposit accounts with us, but the consistency and amount of the deposits are not as strong as Grades 1 and 2. LTV ratios will be within our guidelines. These loans will be monitored on a quarterly basis.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Grade 4: Pass Watch – There is adequate primary source of repayment, generally employment time or time in a related field is less than 2 years. Borrowers’ debt to income ratios may fall outside of our guidelines or there is minimal excess cash flow. There may be heavy reliance on collateral, or the loan is large, relative to the financial strength of the borrower. The loans may be maintenance intensive requiring closer monitoring.</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Grade 5: Special Mention – A loan in this category has a specific weakness or problem but does not currently present a significant risk of loss or default as to any material terms of the loan or financing agreement. A typical problem could include a documentation deficiency. If the deficiency is corrected the account will be re-graded.</w:t>
      </w:r>
    </w:p>
    <w:p>
      <w:pPr>
        <w:sectPr>
          <w:pgSz w:w="11900" w:h="16838" w:orient="portrait"/>
          <w:cols w:equalWidth="0" w:num="1">
            <w:col w:w="11240"/>
          </w:cols>
          <w:pgMar w:left="320" w:top="122"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Grade 6: Classified Substandard – A substandard loan has a developing or current weakness or weaknesses that could result in loss or default if deficiencies are not corrected, or adverse conditions arise.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Grade 7: Classified Doubtful – A doubtful loan has an existing weakness or weaknesses that make collection or liquidation in full, on the basis of currently existing facts and conditions, highly questionable and improbable.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Grade 8: Classified Loss – A loss loan has an existing weakness or weaknesses that render the loan uncollectible and of such little value that continuing to carry as an asset on our book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as of the period presented, the loan balances by loan program as well as risk rating. No loans were classified as ‘Loss’ grade during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As of June 30, 2022</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5"/>
              </w:rPr>
              <w:t>Special</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Classified/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Pass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Mention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Doubtful</w:t>
            </w:r>
          </w:p>
        </w:tc>
        <w:tc>
          <w:tcPr>
            <w:tcW w:w="16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Grade 1-4</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Grade 5</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Grade 6-7</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Grade 8</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122,338</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124,477</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Commercial, non real estate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7,847</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7,847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30,965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30,965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4,722</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4,722</w:t>
            </w: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5,062</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5,062</w:t>
            </w:r>
          </w:p>
        </w:tc>
      </w:tr>
      <w:tr>
        <w:trPr>
          <w:trHeight w:val="216"/>
        </w:trPr>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Not Risk Graded</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62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Strategic Program loans</w:t>
            </w:r>
            <w:r>
              <w:rPr>
                <w:rFonts w:ascii="Arial" w:cs="Arial" w:eastAsia="Arial" w:hAnsi="Arial"/>
                <w:sz w:val="25"/>
                <w:szCs w:val="25"/>
                <w:color w:val="auto"/>
                <w:vertAlign w:val="superscript"/>
              </w:rPr>
              <w:t>(1)</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170,934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232,139</w:t>
            </w:r>
          </w:p>
        </w:tc>
      </w:tr>
      <w:tr>
        <w:trPr>
          <w:trHeight w:val="21"/>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2"/>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As of December 31, 2021</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5"/>
              </w:rPr>
              <w:t>Special</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Classified/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Pass</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Mention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Doubtful</w:t>
            </w:r>
          </w:p>
        </w:tc>
        <w:tc>
          <w:tcPr>
            <w:tcW w:w="18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Grade 1-4</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Grade 5</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Grade 6-7</w:t>
            </w:r>
          </w:p>
        </w:tc>
        <w:tc>
          <w:tcPr>
            <w:tcW w:w="18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Grade 8</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139,985</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non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3,428</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27,108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27,108</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r>
      <w:tr>
        <w:trPr>
          <w:trHeight w:val="223"/>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w:t>
            </w:r>
          </w:p>
        </w:tc>
      </w:tr>
      <w:tr>
        <w:trPr>
          <w:trHeight w:val="216"/>
        </w:trPr>
        <w:tc>
          <w:tcPr>
            <w:tcW w:w="46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Not Risk Graded</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62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6"/>
                <w:szCs w:val="16"/>
                <w:color w:val="auto"/>
              </w:rPr>
              <w:t>Strategic Program loans</w:t>
            </w:r>
            <w:r>
              <w:rPr>
                <w:rFonts w:ascii="Arial" w:cs="Arial" w:eastAsia="Arial" w:hAnsi="Arial"/>
                <w:sz w:val="25"/>
                <w:szCs w:val="25"/>
                <w:color w:val="auto"/>
                <w:vertAlign w:val="superscript"/>
              </w:rPr>
              <w:t>(1)</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177,485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265,788</w:t>
            </w:r>
          </w:p>
        </w:tc>
      </w:tr>
      <w:tr>
        <w:trPr>
          <w:trHeight w:val="21"/>
        </w:trPr>
        <w:tc>
          <w:tcPr>
            <w:tcW w:w="3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Strategic Program loan balance includes $31.6 million and $60.7 million of loans classified as held-for-sale as of June 30, 2022 and December 31,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have not adopted Financial Accounting Standards Board Accounting Standards Update No. 2016–13, </w:t>
      </w:r>
      <w:r>
        <w:rPr>
          <w:rFonts w:ascii="Arial" w:cs="Arial" w:eastAsia="Arial" w:hAnsi="Arial"/>
          <w:sz w:val="18"/>
          <w:szCs w:val="18"/>
          <w:i w:val="1"/>
          <w:iCs w:val="1"/>
          <w:color w:val="auto"/>
        </w:rPr>
        <w:t>Financial Instruments – 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326)</w:t>
      </w:r>
      <w:r>
        <w:rPr>
          <w:rFonts w:ascii="Arial" w:cs="Arial" w:eastAsia="Arial" w:hAnsi="Arial"/>
          <w:sz w:val="18"/>
          <w:szCs w:val="18"/>
          <w:color w:val="auto"/>
        </w:rPr>
        <w:t>, commonly referred to as the “CECL model,” but plan to adopt the CECL model in the 2023 calendar year.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 a material estimate which could change significantly in the near-term in the event of rapidly shifting credit quality, is established through a provision for loan losses charged to earnings to account for losses that are inherent in the loan portfolio and estimated to occur, and is maintained at a level that we consider adequate to absorb potential losses in the loan portfolio. Loan losses are charged against the ALL when we believe that the collectability of the principal loan balance is unlikely. Subsequent recoveries, if any, are credited to the ALL when received.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judgment in determining the adequacy of the allowance is inherently subjective as it requires estimates that are susceptible to significant revision as more information becomes available and as situations and information change.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the ALL on a monthly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ALL is reviewed by regulatory examinations.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ALL consists of the following two elements:</w:t>
      </w:r>
    </w:p>
    <w:p>
      <w:pPr>
        <w:spacing w:after="0" w:line="225" w:lineRule="exact"/>
        <w:rPr>
          <w:sz w:val="20"/>
          <w:szCs w:val="20"/>
          <w:color w:val="auto"/>
        </w:rPr>
      </w:pPr>
    </w:p>
    <w:p>
      <w:pPr>
        <w:jc w:val="both"/>
        <w:ind w:left="500" w:hanging="492"/>
        <w:spacing w:after="0" w:line="263" w:lineRule="auto"/>
        <w:tabs>
          <w:tab w:leader="none" w:pos="5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Specific allowance for identified impaired loans. </w:t>
      </w:r>
      <w:r>
        <w:rPr>
          <w:rFonts w:ascii="Arial" w:cs="Arial" w:eastAsia="Arial" w:hAnsi="Arial"/>
          <w:sz w:val="18"/>
          <w:szCs w:val="18"/>
          <w:color w:val="auto"/>
        </w:rPr>
        <w:t>For such loans that are identified as impaired, an allowance is established when the discounted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(or collateral value if the loan is collateral dependent) or observable market price of the impaired loan are lower than the carrying value of that loan.</w:t>
      </w:r>
    </w:p>
    <w:p>
      <w:pPr>
        <w:spacing w:after="0" w:line="183" w:lineRule="exact"/>
        <w:rPr>
          <w:rFonts w:ascii="Arial" w:cs="Arial" w:eastAsia="Arial" w:hAnsi="Arial"/>
          <w:sz w:val="18"/>
          <w:szCs w:val="18"/>
          <w:i w:val="1"/>
          <w:iCs w:val="1"/>
          <w:color w:val="auto"/>
        </w:rPr>
      </w:pPr>
    </w:p>
    <w:p>
      <w:pPr>
        <w:jc w:val="both"/>
        <w:ind w:left="5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Independent appraisals are obtained for all collateral dependent loans deemed impaired when collateral value is expected to exceed $5 thousand net of actual and/or anticipated liquidation-related expenses. After initially measured for impairment, new appraisals are ordered on at least an annual basis for all real estate secured loans deemed impaired. Non-real estate secured loan appraisal values are reevaluated and assessed throughout the year based upon interim changes in collateral and market conditions.</w:t>
      </w:r>
    </w:p>
    <w:p>
      <w:pPr>
        <w:spacing w:after="0" w:line="186" w:lineRule="exact"/>
        <w:rPr>
          <w:rFonts w:ascii="Arial" w:cs="Arial" w:eastAsia="Arial" w:hAnsi="Arial"/>
          <w:sz w:val="18"/>
          <w:szCs w:val="18"/>
          <w:i w:val="1"/>
          <w:iCs w:val="1"/>
          <w:color w:val="auto"/>
        </w:rPr>
      </w:pPr>
    </w:p>
    <w:p>
      <w:pPr>
        <w:jc w:val="both"/>
        <w:ind w:left="500" w:hanging="492"/>
        <w:spacing w:after="0" w:line="289" w:lineRule="auto"/>
        <w:tabs>
          <w:tab w:leader="none" w:pos="50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General valuation allowance. </w:t>
      </w:r>
      <w:r>
        <w:rPr>
          <w:rFonts w:ascii="Arial" w:cs="Arial" w:eastAsia="Arial" w:hAnsi="Arial"/>
          <w:sz w:val="16"/>
          <w:szCs w:val="16"/>
          <w:color w:val="auto"/>
        </w:rPr>
        <w:t>This component represents a valuation allowance on the remainder of the loan portfolio, after excluding impaired</w:t>
      </w:r>
      <w:r>
        <w:rPr>
          <w:rFonts w:ascii="Arial" w:cs="Arial" w:eastAsia="Arial" w:hAnsi="Arial"/>
          <w:sz w:val="16"/>
          <w:szCs w:val="16"/>
          <w:i w:val="1"/>
          <w:iCs w:val="1"/>
          <w:color w:val="auto"/>
        </w:rPr>
        <w:t xml:space="preserve"> </w:t>
      </w:r>
      <w:r>
        <w:rPr>
          <w:rFonts w:ascii="Arial" w:cs="Arial" w:eastAsia="Arial" w:hAnsi="Arial"/>
          <w:sz w:val="16"/>
          <w:szCs w:val="16"/>
          <w:color w:val="auto"/>
        </w:rPr>
        <w:t>loans. For this portion of the allowance, loans are reviewed based on industry, stage and structure and are assigned allowance percentages based on historical loan loss experience for similar loans with similar characteristics and trends adjusted for qualitative factors. Qualitative factors that, in management’s judgment, affect the collectability of the portfolio as of the evaluation date, may include changes in lending policies and procedures; changes in national and local economic and business conditions, including the condition of various market sectors; changes in the nature and volume of the portfolio; changes in the experience, ability and depth of lending management and staff; changes in the volume and severity of past due and classified loans and in the volume of nonaccruals, troubled debt restructurings, and other loan modifications; the existence and effect of any concentrations of credit and changes in the level of such concentrations; and the effect of external factors, such as competition and legal and regulatory requirements, on the level of estimated and inherent credit losses in our current portfolio.</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ALL was $10.6 million at June 30, 2022 compared to $9.9 million at December 31, 2021, an increase of $0.7 million, or 7.6%. The increase was primarily due to increased unguaranteed loan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changes in the ALL for the periods and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For the Three Months</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For the Six Months</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90"/>
              </w:rPr>
              <w:t>Ended</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0"/>
              </w:rPr>
              <w:t>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ALL: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1,536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5,860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2,169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 offs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SBA</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Commercial, non-real estate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Residential real estate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Strategic Program loans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Recoveries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Commercial, non-real estate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Although we believe that we have established our ALL in accordance with GAAP and that the ALL was adequate to provide for known and inherent losses in the portfolio at all times shown above, future provisions for loan losses will be subject to ongoing evaluations of the risks in our loan portfolio.</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shows the allocation of the ALL among loan categories and certain other information as of the dates indicated. The ALL related to Strategic Programs constitutes 60.8% and 66.5% of the total ALL while comprising 25.5% and 32.3% of total loans as of June 30, 2022 and December 31, 2021, respectively. This reflects the increased credit risks associated with certain retained Strategic Program loans.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8"/>
                <w:szCs w:val="18"/>
                <w:b w:val="1"/>
                <w:bCs w:val="1"/>
                <w:color w:val="auto"/>
              </w:rPr>
              <w:t>June 30, 2022</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7"/>
                <w:szCs w:val="17"/>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Loans in</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Category</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 of</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5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Loans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Allowance</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124,477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Commercial, non real estate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7,847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30,965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59,066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5,062</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232,139</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5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8"/>
                <w:szCs w:val="18"/>
                <w:b w:val="1"/>
                <w:bCs w:val="1"/>
                <w:color w:val="auto"/>
              </w:rPr>
              <w:t>December 31, 2021</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7"/>
                <w:szCs w:val="17"/>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Loans in</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Category</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 of</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59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Total Loans</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Allowance</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SBA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142,392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Commercial, non real estate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3,428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27,108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Strategic Program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85,850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4,574</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265,788</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tables reflect the ratio of the ALL to nonperforming loan balances and net charge-offs to average loans outstanding by loan category, for the periods presented. Due primarily to some normalization of credit losses to pre-pandemic market conditions, the ratio of net charge-offs to average loans outstanding was generally higher for loan categories in the three months ended June 30, 2022 as compared to the three months ended June 30, 2021. The increase in the ratio for Strategic Programs loans, Commercial non-real estate loans, and SBA loans was primarily due to increases in net charge-offs in the three months ended June 30, 2022. Due primarily to some normalization of credit losses to pre-pandemic market conditions, the ratio of net charge-offs to average loans outstanding was generally higher for loan categories in the six months ended June 30, 2022 as compared to the six months ended June 30, 2021. The increase in the ratio for Strategic Programs loans and Commercial non-real estate loans was primarily due to increases in net charge-offs in the six months ended June 30, 2022 while the decrease in Consumer loans was primarily due to lower net charge-off amounts in the six months ended June 30,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16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2"/>
              </w:rPr>
              <w:t>For the Three Months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1"/>
              </w:rPr>
              <w:t>For the Six Months</w:t>
            </w:r>
          </w:p>
        </w:tc>
      </w:tr>
      <w:tr>
        <w:trPr>
          <w:trHeight w:val="216"/>
        </w:trPr>
        <w:tc>
          <w:tcPr>
            <w:tcW w:w="5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Ended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5"/>
          </w:tcPr>
          <w:p>
            <w:pPr>
              <w:jc w:val="center"/>
              <w:ind w:left="750"/>
              <w:spacing w:after="0"/>
              <w:rPr>
                <w:sz w:val="20"/>
                <w:szCs w:val="20"/>
                <w:color w:val="auto"/>
              </w:rPr>
            </w:pPr>
            <w:r>
              <w:rPr>
                <w:rFonts w:ascii="Arial" w:cs="Arial" w:eastAsia="Arial" w:hAnsi="Arial"/>
                <w:sz w:val="18"/>
                <w:szCs w:val="18"/>
                <w:b w:val="1"/>
                <w:bCs w:val="1"/>
                <w:color w:val="auto"/>
                <w:w w:val="90"/>
              </w:rPr>
              <w:t>Ended</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1"/>
        </w:trPr>
        <w:tc>
          <w:tcPr>
            <w:tcW w:w="57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3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charge-offs to average loans outstanding by loan category</w:t>
            </w: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Commercial, non-real estate</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(0.1%)</w:t>
            </w:r>
          </w:p>
        </w:tc>
        <w:tc>
          <w:tcPr>
            <w:tcW w:w="7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(6.0%)</w:t>
            </w:r>
          </w:p>
        </w:tc>
        <w:tc>
          <w:tcPr>
            <w:tcW w:w="1400" w:type="dxa"/>
            <w:vAlign w:val="bottom"/>
            <w:gridSpan w:val="4"/>
          </w:tcPr>
          <w:p>
            <w:pPr>
              <w:jc w:val="right"/>
              <w:ind w:right="12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Strategic Program loans</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7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76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r>
      <w:tr>
        <w:trPr>
          <w:trHeight w:val="425"/>
        </w:trPr>
        <w:tc>
          <w:tcPr>
            <w:tcW w:w="5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7"/>
              </w:rPr>
              <w:t>As of</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8"/>
        </w:trPr>
        <w:tc>
          <w:tcPr>
            <w:tcW w:w="5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December</w:t>
            </w:r>
          </w:p>
        </w:tc>
        <w:tc>
          <w:tcPr>
            <w:tcW w:w="200" w:type="dxa"/>
            <w:vAlign w:val="bottom"/>
          </w:tcPr>
          <w:p>
            <w:pPr>
              <w:spacing w:after="0"/>
              <w:rPr>
                <w:sz w:val="17"/>
                <w:szCs w:val="17"/>
                <w:color w:val="auto"/>
              </w:rPr>
            </w:pPr>
          </w:p>
        </w:tc>
      </w:tr>
      <w:tr>
        <w:trPr>
          <w:trHeight w:val="216"/>
        </w:trPr>
        <w:tc>
          <w:tcPr>
            <w:tcW w:w="5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1"/>
        </w:trPr>
        <w:tc>
          <w:tcPr>
            <w:tcW w:w="57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to nonperforming loans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1,674.9%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1,499.1%</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Interest-Bearing Deposits in Other Banks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interest-bearing deposits in other banks increased to $96.1 million at June 30, 2022 from $85.3 million at December 31, 2021, an increase of $10.8 million, or 12.6%. This increase was primarily due to a decrease in loan balances. Interest-bearing deposits in other banks have generally been the primary repository of the liquidity we use to fund our operations. Aside from minimal balances held with our correspondent banks, the majority of our interest-bearing deposits in other banks was held directly with the Federal Reserve.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classify investment securities as either held-to-maturity or available-for-sale based on our intentions and the Company’s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 For the year presented, all securities were classified as held-to-maturity.</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contractual maturities and weighted average yields of investment securities at June 30, 2022, and the amortized cost of those securities as of the indicated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9"/>
          </w:tcPr>
          <w:p>
            <w:pPr>
              <w:jc w:val="center"/>
              <w:ind w:right="460"/>
              <w:spacing w:after="0"/>
              <w:rPr>
                <w:sz w:val="20"/>
                <w:szCs w:val="20"/>
                <w:color w:val="auto"/>
              </w:rPr>
            </w:pPr>
            <w:r>
              <w:rPr>
                <w:rFonts w:ascii="Arial" w:cs="Arial" w:eastAsia="Arial" w:hAnsi="Arial"/>
                <w:sz w:val="18"/>
                <w:szCs w:val="18"/>
                <w:b w:val="1"/>
                <w:bCs w:val="1"/>
                <w:color w:val="auto"/>
                <w:w w:val="90"/>
              </w:rPr>
              <w:t>At June 30, 2022</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10"/>
          </w:tcPr>
          <w:p>
            <w:pPr>
              <w:jc w:val="right"/>
              <w:ind w:right="830"/>
              <w:spacing w:after="0"/>
              <w:rPr>
                <w:sz w:val="20"/>
                <w:szCs w:val="20"/>
                <w:color w:val="auto"/>
              </w:rPr>
            </w:pPr>
            <w:r>
              <w:rPr>
                <w:rFonts w:ascii="Arial" w:cs="Arial" w:eastAsia="Arial" w:hAnsi="Arial"/>
                <w:sz w:val="18"/>
                <w:szCs w:val="18"/>
                <w:b w:val="1"/>
                <w:bCs w:val="1"/>
                <w:color w:val="auto"/>
              </w:rPr>
              <w:t>One Year or Less</w:t>
            </w:r>
          </w:p>
        </w:tc>
        <w:tc>
          <w:tcPr>
            <w:tcW w:w="232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w w:val="99"/>
              </w:rPr>
              <w:t>After One to Five Years</w:t>
            </w:r>
          </w:p>
        </w:tc>
        <w:tc>
          <w:tcPr>
            <w:tcW w:w="100" w:type="dxa"/>
            <w:vAlign w:val="bottom"/>
          </w:tcPr>
          <w:p>
            <w:pPr>
              <w:spacing w:after="0"/>
              <w:rPr>
                <w:sz w:val="19"/>
                <w:szCs w:val="19"/>
                <w:color w:val="auto"/>
              </w:rPr>
            </w:pPr>
          </w:p>
        </w:tc>
      </w:tr>
      <w:tr>
        <w:trPr>
          <w:trHeight w:val="198"/>
        </w:trPr>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6"/>
        </w:trPr>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380" w:type="dxa"/>
            <w:vAlign w:val="bottom"/>
            <w:gridSpan w:val="5"/>
          </w:tcPr>
          <w:p>
            <w:pPr>
              <w:jc w:val="center"/>
              <w:ind w:right="330"/>
              <w:spacing w:after="0"/>
              <w:rPr>
                <w:sz w:val="20"/>
                <w:szCs w:val="20"/>
                <w:color w:val="auto"/>
              </w:rPr>
            </w:pPr>
            <w:r>
              <w:rPr>
                <w:rFonts w:ascii="Arial" w:cs="Arial" w:eastAsia="Arial" w:hAnsi="Arial"/>
                <w:sz w:val="18"/>
                <w:szCs w:val="18"/>
                <w:b w:val="1"/>
                <w:bCs w:val="1"/>
                <w:color w:val="auto"/>
                <w:w w:val="90"/>
              </w:rPr>
              <w:t>Average</w:t>
            </w:r>
          </w:p>
        </w:tc>
        <w:tc>
          <w:tcPr>
            <w:tcW w:w="13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3"/>
              </w:rPr>
              <w:t>Amortized</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45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Cost</w:t>
            </w:r>
          </w:p>
        </w:tc>
        <w:tc>
          <w:tcPr>
            <w:tcW w:w="1380" w:type="dxa"/>
            <w:vAlign w:val="bottom"/>
            <w:gridSpan w:val="5"/>
          </w:tcPr>
          <w:p>
            <w:pPr>
              <w:jc w:val="center"/>
              <w:ind w:right="330"/>
              <w:spacing w:after="0"/>
              <w:rPr>
                <w:sz w:val="20"/>
                <w:szCs w:val="20"/>
                <w:color w:val="auto"/>
              </w:rPr>
            </w:pPr>
            <w:r>
              <w:rPr>
                <w:rFonts w:ascii="Arial" w:cs="Arial" w:eastAsia="Arial" w:hAnsi="Arial"/>
                <w:sz w:val="18"/>
                <w:szCs w:val="18"/>
                <w:b w:val="1"/>
                <w:bCs w:val="1"/>
                <w:color w:val="auto"/>
                <w:w w:val="92"/>
              </w:rPr>
              <w:t>Yield</w:t>
            </w:r>
          </w:p>
        </w:tc>
        <w:tc>
          <w:tcPr>
            <w:tcW w:w="13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Yield</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439"/>
        </w:trPr>
        <w:tc>
          <w:tcPr>
            <w:tcW w:w="4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jc w:val="right"/>
              <w:ind w:right="950"/>
              <w:spacing w:after="0"/>
              <w:rPr>
                <w:sz w:val="20"/>
                <w:szCs w:val="20"/>
                <w:color w:val="auto"/>
              </w:rPr>
            </w:pPr>
            <w:r>
              <w:rPr>
                <w:rFonts w:ascii="Arial" w:cs="Arial" w:eastAsia="Arial" w:hAnsi="Arial"/>
                <w:sz w:val="18"/>
                <w:szCs w:val="18"/>
                <w:b w:val="1"/>
                <w:bCs w:val="1"/>
                <w:color w:val="auto"/>
              </w:rPr>
              <w:t>At June 30, 2022</w:t>
            </w: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After Ten Years</w:t>
            </w:r>
          </w:p>
        </w:tc>
        <w:tc>
          <w:tcPr>
            <w:tcW w:w="38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540" w:type="dxa"/>
            <w:vAlign w:val="bottom"/>
          </w:tcPr>
          <w:p>
            <w:pPr>
              <w:spacing w:after="0"/>
              <w:rPr>
                <w:sz w:val="20"/>
                <w:szCs w:val="20"/>
                <w:color w:val="auto"/>
              </w:rPr>
            </w:pPr>
          </w:p>
        </w:tc>
        <w:tc>
          <w:tcPr>
            <w:tcW w:w="2900" w:type="dxa"/>
            <w:vAlign w:val="bottom"/>
            <w:gridSpan w:val="10"/>
          </w:tcPr>
          <w:p>
            <w:pPr>
              <w:spacing w:after="0"/>
              <w:rPr>
                <w:sz w:val="20"/>
                <w:szCs w:val="20"/>
                <w:color w:val="auto"/>
              </w:rPr>
            </w:pPr>
            <w:r>
              <w:rPr>
                <w:rFonts w:ascii="Arial" w:cs="Arial" w:eastAsia="Arial" w:hAnsi="Arial"/>
                <w:sz w:val="18"/>
                <w:szCs w:val="18"/>
                <w:b w:val="1"/>
                <w:bCs w:val="1"/>
                <w:color w:val="auto"/>
              </w:rPr>
              <w:t>After Five to Ten Years Weighted</w:t>
            </w:r>
          </w:p>
        </w:tc>
        <w:tc>
          <w:tcPr>
            <w:tcW w:w="2700" w:type="dxa"/>
            <w:vAlign w:val="bottom"/>
            <w:gridSpan w:val="9"/>
          </w:tcPr>
          <w:p>
            <w:pPr>
              <w:jc w:val="center"/>
              <w:ind w:right="500"/>
              <w:spacing w:after="0"/>
              <w:rPr>
                <w:sz w:val="20"/>
                <w:szCs w:val="20"/>
                <w:color w:val="auto"/>
              </w:rPr>
            </w:pPr>
            <w:r>
              <w:rPr>
                <w:rFonts w:ascii="Arial" w:cs="Arial" w:eastAsia="Arial" w:hAnsi="Arial"/>
                <w:sz w:val="18"/>
                <w:szCs w:val="18"/>
                <w:b w:val="1"/>
                <w:bCs w:val="1"/>
                <w:color w:val="auto"/>
                <w:w w:val="88"/>
              </w:rPr>
              <w:t>Weighted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5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88"/>
              </w:rPr>
              <w:t>Weighted</w:t>
            </w:r>
          </w:p>
        </w:tc>
        <w:tc>
          <w:tcPr>
            <w:tcW w:w="260" w:type="dxa"/>
            <w:vAlign w:val="bottom"/>
            <w:gridSpan w:val="2"/>
          </w:tcPr>
          <w:p>
            <w:pPr>
              <w:spacing w:after="0"/>
              <w:rPr>
                <w:sz w:val="17"/>
                <w:szCs w:val="17"/>
                <w:color w:val="auto"/>
              </w:rPr>
            </w:pPr>
          </w:p>
        </w:tc>
        <w:tc>
          <w:tcPr>
            <w:tcW w:w="120" w:type="dxa"/>
            <w:vAlign w:val="bottom"/>
            <w:tcBorders>
              <w:top w:val="single" w:sz="8" w:color="auto"/>
            </w:tcBorders>
            <w:gridSpan w:val="2"/>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Weighted</w:t>
            </w:r>
          </w:p>
        </w:tc>
        <w:tc>
          <w:tcPr>
            <w:tcW w:w="380" w:type="dxa"/>
            <w:vAlign w:val="bottom"/>
            <w:gridSpan w:val="3"/>
          </w:tcPr>
          <w:p>
            <w:pPr>
              <w:spacing w:after="0"/>
              <w:rPr>
                <w:sz w:val="17"/>
                <w:szCs w:val="17"/>
                <w:color w:val="auto"/>
              </w:rPr>
            </w:pPr>
          </w:p>
        </w:tc>
        <w:tc>
          <w:tcPr>
            <w:tcW w:w="11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3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0"/>
              </w:rPr>
              <w:t>Average</w:t>
            </w:r>
          </w:p>
        </w:tc>
        <w:tc>
          <w:tcPr>
            <w:tcW w:w="1380" w:type="dxa"/>
            <w:vAlign w:val="bottom"/>
            <w:gridSpan w:val="5"/>
          </w:tcPr>
          <w:p>
            <w:pPr>
              <w:jc w:val="center"/>
              <w:ind w:right="430"/>
              <w:spacing w:after="0"/>
              <w:rPr>
                <w:sz w:val="20"/>
                <w:szCs w:val="20"/>
                <w:color w:val="auto"/>
              </w:rPr>
            </w:pPr>
            <w:r>
              <w:rPr>
                <w:rFonts w:ascii="Arial" w:cs="Arial" w:eastAsia="Arial" w:hAnsi="Arial"/>
                <w:sz w:val="18"/>
                <w:szCs w:val="18"/>
                <w:b w:val="1"/>
                <w:bCs w:val="1"/>
                <w:color w:val="auto"/>
                <w:w w:val="93"/>
              </w:rPr>
              <w:t>Amortized</w:t>
            </w:r>
          </w:p>
        </w:tc>
        <w:tc>
          <w:tcPr>
            <w:tcW w:w="132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0"/>
              </w:rPr>
              <w:t>Average</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Amortized</w:t>
            </w:r>
          </w:p>
        </w:tc>
      </w:tr>
      <w:tr>
        <w:trPr>
          <w:trHeight w:val="241"/>
        </w:trPr>
        <w:tc>
          <w:tcPr>
            <w:tcW w:w="45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Cost</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Yield</w:t>
            </w:r>
          </w:p>
        </w:tc>
        <w:tc>
          <w:tcPr>
            <w:tcW w:w="260" w:type="dxa"/>
            <w:vAlign w:val="bottom"/>
            <w:gridSpan w:val="2"/>
          </w:tcPr>
          <w:p>
            <w:pPr>
              <w:spacing w:after="0"/>
              <w:rPr>
                <w:sz w:val="20"/>
                <w:szCs w:val="20"/>
                <w:color w:val="auto"/>
              </w:rPr>
            </w:pPr>
          </w:p>
        </w:tc>
        <w:tc>
          <w:tcPr>
            <w:tcW w:w="120" w:type="dxa"/>
            <w:vAlign w:val="bottom"/>
            <w:tcBorders>
              <w:bottom w:val="single" w:sz="8" w:color="auto"/>
            </w:tcBorders>
            <w:gridSpan w:val="2"/>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200" w:type="dxa"/>
            <w:vAlign w:val="bottom"/>
            <w:gridSpan w:val="2"/>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Yield</w:t>
            </w:r>
          </w:p>
        </w:tc>
        <w:tc>
          <w:tcPr>
            <w:tcW w:w="26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Pr>
          <w:p>
            <w:pPr>
              <w:spacing w:after="0"/>
              <w:rPr>
                <w:sz w:val="20"/>
                <w:szCs w:val="20"/>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yield of investment securities is the sum of all interest that the investments generate, divided by the sum of the book value.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calls, sales or maturities of securities during the six months ended June 30, 2022 and June 30, 2021.</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At June 30, 2022, there were 15 securities, consisting of six collateralized mortgage obligations and nine mortgage-backed securities. All of these securities were in an unrealized loss position as of June 30, 2022. There were nine securities in an unrealized loss position as of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Deposits are the major source of funding for the Company, with the exception of the Company’s participation in the PPPLF, which added a significant amount of funding in 2020 (see discussion below in </w:t>
      </w:r>
      <w:r>
        <w:rPr>
          <w:rFonts w:ascii="Arial" w:cs="Arial" w:eastAsia="Arial" w:hAnsi="Arial"/>
          <w:sz w:val="17"/>
          <w:szCs w:val="17"/>
          <w:i w:val="1"/>
          <w:iCs w:val="1"/>
          <w:color w:val="auto"/>
        </w:rPr>
        <w:t>Liquidity and Capital Resources – Liquidity Management</w:t>
      </w:r>
      <w:r>
        <w:rPr>
          <w:rFonts w:ascii="Arial" w:cs="Arial" w:eastAsia="Arial" w:hAnsi="Arial"/>
          <w:sz w:val="17"/>
          <w:szCs w:val="17"/>
          <w:color w:val="auto"/>
        </w:rPr>
        <w:t>). We offer a variety of deposit products including interest and noninterest bearing demand accounts,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or Strategic Program loan portfolio. In addition to the reserve account, some Strategic Program loan originators maintain operating deposit accounts with us.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end of period and average balances and for the periods indicated (average balances have been calculated using daily averages):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rPr>
              <w:t>June 30, 2022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w w:val="97"/>
              </w:rPr>
              <w:t>December 31, 2021</w:t>
            </w:r>
          </w:p>
        </w:tc>
      </w:tr>
      <w:tr>
        <w:trPr>
          <w:trHeight w:val="223"/>
        </w:trPr>
        <w:tc>
          <w:tcPr>
            <w:tcW w:w="20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4"/>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Percent</w:t>
            </w: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4"/>
          </w:tcPr>
          <w:p>
            <w:pPr>
              <w:jc w:val="center"/>
              <w:ind w:right="820"/>
              <w:spacing w:after="0"/>
              <w:rPr>
                <w:sz w:val="20"/>
                <w:szCs w:val="20"/>
                <w:color w:val="auto"/>
              </w:rPr>
            </w:pPr>
            <w:r>
              <w:rPr>
                <w:rFonts w:ascii="Arial" w:cs="Arial" w:eastAsia="Arial" w:hAnsi="Arial"/>
                <w:sz w:val="18"/>
                <w:szCs w:val="18"/>
                <w:b w:val="1"/>
                <w:bCs w:val="1"/>
                <w:color w:val="auto"/>
                <w:w w:val="92"/>
              </w:rPr>
              <w:t>Total</w:t>
            </w: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i w:val="1"/>
                <w:iCs w:val="1"/>
                <w:color w:val="auto"/>
              </w:rPr>
              <w:t>Period end: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Noninterest-bearing demand deposits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83,490</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110,548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8"/>
              </w:rPr>
              <w:t>Interest-bearing deposits: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Demand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11,360</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7"/>
              </w:rPr>
              <w:t>5.1%</w:t>
            </w: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5,399</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Savings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w w:val="87"/>
              </w:rPr>
              <w:t>3.4%</w:t>
            </w:r>
          </w:p>
        </w:tc>
        <w:tc>
          <w:tcPr>
            <w:tcW w:w="36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6,685</w:t>
            </w:r>
          </w:p>
        </w:tc>
        <w:tc>
          <w:tcPr>
            <w:tcW w:w="1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Money markets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0"/>
              </w:rPr>
              <w:t>48,273</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31,076</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3"/>
              </w:rPr>
              <w:t>Time certificates of deposit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68,774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5"/>
          </w:tcPr>
          <w:p>
            <w:pPr>
              <w:jc w:val="right"/>
              <w:ind w:right="30"/>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98,184</w:t>
            </w:r>
          </w:p>
        </w:tc>
        <w:tc>
          <w:tcPr>
            <w:tcW w:w="1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39.0%</w:t>
            </w:r>
          </w:p>
        </w:tc>
      </w:tr>
      <w:tr>
        <w:trPr>
          <w:trHeight w:val="27"/>
        </w:trPr>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gridSpan w:val="2"/>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Borders>
              <w:left w:val="single" w:sz="8" w:color="auto"/>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period end deposits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219,359</w:t>
            </w:r>
          </w:p>
        </w:tc>
        <w:tc>
          <w:tcPr>
            <w:tcW w:w="140" w:type="dxa"/>
            <w:vAlign w:val="bottom"/>
            <w:tcBorders>
              <w:lef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251,892</w:t>
            </w:r>
          </w:p>
        </w:tc>
        <w:tc>
          <w:tcPr>
            <w:tcW w:w="34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left w:val="single" w:sz="8" w:color="auto"/>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7"/>
              </w:rPr>
              <w:t>Three Months Ended</w:t>
            </w: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88"/>
              </w:rPr>
              <w:t>June 30, 2022</w:t>
            </w: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December 31, 2021</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 2021</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97"/>
              </w:rPr>
              <w:t>Total</w:t>
            </w:r>
          </w:p>
        </w:tc>
        <w:tc>
          <w:tcPr>
            <w:tcW w:w="120" w:type="dxa"/>
            <w:vAlign w:val="bottom"/>
          </w:tcPr>
          <w:p>
            <w:pPr>
              <w:spacing w:after="0"/>
              <w:rPr>
                <w:sz w:val="17"/>
                <w:szCs w:val="17"/>
                <w:color w:val="auto"/>
              </w:rPr>
            </w:pPr>
          </w:p>
        </w:tc>
        <w:tc>
          <w:tcPr>
            <w:tcW w:w="1060" w:type="dxa"/>
            <w:vAlign w:val="bottom"/>
            <w:gridSpan w:val="4"/>
          </w:tcPr>
          <w:p>
            <w:pPr>
              <w:jc w:val="center"/>
              <w:ind w:right="240"/>
              <w:spacing w:after="0" w:line="198" w:lineRule="exact"/>
              <w:rPr>
                <w:sz w:val="20"/>
                <w:szCs w:val="20"/>
                <w:color w:val="auto"/>
              </w:rPr>
            </w:pPr>
            <w:r>
              <w:rPr>
                <w:rFonts w:ascii="Arial" w:cs="Arial" w:eastAsia="Arial" w:hAnsi="Arial"/>
                <w:sz w:val="18"/>
                <w:szCs w:val="18"/>
                <w:b w:val="1"/>
                <w:bCs w:val="1"/>
                <w:color w:val="auto"/>
                <w:w w:val="91"/>
              </w:rPr>
              <w:t>Weighted</w:t>
            </w:r>
          </w:p>
        </w:tc>
        <w:tc>
          <w:tcPr>
            <w:tcW w:w="740" w:type="dxa"/>
            <w:vAlign w:val="bottom"/>
            <w:gridSpan w:val="4"/>
          </w:tcPr>
          <w:p>
            <w:pPr>
              <w:jc w:val="right"/>
              <w:spacing w:after="0" w:line="198" w:lineRule="exact"/>
              <w:rPr>
                <w:sz w:val="20"/>
                <w:szCs w:val="20"/>
                <w:color w:val="auto"/>
              </w:rPr>
            </w:pPr>
            <w:r>
              <w:rPr>
                <w:rFonts w:ascii="Arial" w:cs="Arial" w:eastAsia="Arial" w:hAnsi="Arial"/>
                <w:sz w:val="18"/>
                <w:szCs w:val="18"/>
                <w:b w:val="1"/>
                <w:bCs w:val="1"/>
                <w:color w:val="auto"/>
                <w:w w:val="96"/>
              </w:rPr>
              <w:t>Percent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ind w:left="60"/>
              <w:spacing w:after="0" w:line="198"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220" w:type="dxa"/>
            <w:vAlign w:val="bottom"/>
            <w:gridSpan w:val="4"/>
          </w:tcPr>
          <w:p>
            <w:pPr>
              <w:jc w:val="center"/>
              <w:ind w:right="400"/>
              <w:spacing w:after="0" w:line="198" w:lineRule="exact"/>
              <w:rPr>
                <w:sz w:val="20"/>
                <w:szCs w:val="20"/>
                <w:color w:val="auto"/>
              </w:rPr>
            </w:pPr>
            <w:r>
              <w:rPr>
                <w:rFonts w:ascii="Arial" w:cs="Arial" w:eastAsia="Arial" w:hAnsi="Arial"/>
                <w:sz w:val="18"/>
                <w:szCs w:val="18"/>
                <w:b w:val="1"/>
                <w:bCs w:val="1"/>
                <w:color w:val="auto"/>
                <w:w w:val="91"/>
              </w:rPr>
              <w:t>Weighted</w:t>
            </w:r>
          </w:p>
        </w:tc>
        <w:tc>
          <w:tcPr>
            <w:tcW w:w="640" w:type="dxa"/>
            <w:vAlign w:val="bottom"/>
            <w:gridSpan w:val="2"/>
          </w:tcPr>
          <w:p>
            <w:pPr>
              <w:jc w:val="right"/>
              <w:ind w:right="10"/>
              <w:spacing w:after="0" w:line="198" w:lineRule="exact"/>
              <w:rPr>
                <w:sz w:val="20"/>
                <w:szCs w:val="20"/>
                <w:color w:val="auto"/>
              </w:rPr>
            </w:pPr>
            <w:r>
              <w:rPr>
                <w:rFonts w:ascii="Arial" w:cs="Arial" w:eastAsia="Arial" w:hAnsi="Arial"/>
                <w:sz w:val="18"/>
                <w:szCs w:val="18"/>
                <w:b w:val="1"/>
                <w:bCs w:val="1"/>
                <w:color w:val="auto"/>
                <w:w w:val="78"/>
              </w:rPr>
              <w:t>Percent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right"/>
              <w:ind w:right="130"/>
              <w:spacing w:after="0" w:line="198" w:lineRule="exact"/>
              <w:rPr>
                <w:sz w:val="20"/>
                <w:szCs w:val="20"/>
                <w:color w:val="auto"/>
              </w:rPr>
            </w:pPr>
            <w:r>
              <w:rPr>
                <w:rFonts w:ascii="Arial" w:cs="Arial" w:eastAsia="Arial" w:hAnsi="Arial"/>
                <w:sz w:val="18"/>
                <w:szCs w:val="18"/>
                <w:b w:val="1"/>
                <w:bCs w:val="1"/>
                <w:color w:val="auto"/>
                <w:w w:val="88"/>
              </w:rPr>
              <w:t>Total</w:t>
            </w:r>
          </w:p>
        </w:tc>
        <w:tc>
          <w:tcPr>
            <w:tcW w:w="180" w:type="dxa"/>
            <w:vAlign w:val="bottom"/>
          </w:tcPr>
          <w:p>
            <w:pPr>
              <w:spacing w:after="0"/>
              <w:rPr>
                <w:sz w:val="17"/>
                <w:szCs w:val="17"/>
                <w:color w:val="auto"/>
              </w:rPr>
            </w:pPr>
          </w:p>
        </w:tc>
        <w:tc>
          <w:tcPr>
            <w:tcW w:w="1040" w:type="dxa"/>
            <w:vAlign w:val="bottom"/>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7"/>
                <w:szCs w:val="17"/>
                <w:color w:val="auto"/>
              </w:rPr>
            </w:pPr>
          </w:p>
        </w:tc>
        <w:tc>
          <w:tcPr>
            <w:tcW w:w="78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Percent</w:t>
            </w:r>
          </w:p>
        </w:tc>
        <w:tc>
          <w:tcPr>
            <w:tcW w:w="160" w:type="dxa"/>
            <w:vAlign w:val="bottom"/>
          </w:tcPr>
          <w:p>
            <w:pPr>
              <w:spacing w:after="0"/>
              <w:rPr>
                <w:sz w:val="17"/>
                <w:szCs w:val="17"/>
                <w:color w:val="auto"/>
              </w:rPr>
            </w:pPr>
          </w:p>
        </w:tc>
      </w:tr>
      <w:tr>
        <w:trPr>
          <w:trHeight w:val="216"/>
        </w:trPr>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0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of total</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83"/>
              </w:rPr>
              <w:t>of total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of total</w:t>
            </w:r>
          </w:p>
        </w:tc>
      </w:tr>
      <w:tr>
        <w:trPr>
          <w:trHeight w:val="241"/>
        </w:trPr>
        <w:tc>
          <w:tcPr>
            <w:tcW w:w="20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3"/>
              </w:rPr>
              <w:t>rate paid</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3"/>
              </w:rPr>
              <w:t>rate paid</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rate paid</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i w:val="1"/>
                <w:iCs w:val="1"/>
                <w:color w:val="auto"/>
              </w:rPr>
              <w:t>Average:</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Noninterest-bearing</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tcBorders>
              <w:left w:val="single" w:sz="8" w:color="CCEEFF"/>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demand deposits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120,359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8"/>
              </w:rPr>
              <w:t>127,590</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0.00%</w:t>
            </w:r>
          </w:p>
        </w:tc>
        <w:tc>
          <w:tcPr>
            <w:tcW w:w="140" w:type="dxa"/>
            <w:vAlign w:val="bottom"/>
            <w:tcBorders>
              <w:left w:val="single" w:sz="8" w:color="CCEEFF"/>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c>
          <w:tcPr>
            <w:tcW w:w="2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105,459</w:t>
            </w:r>
          </w:p>
        </w:tc>
        <w:tc>
          <w:tcPr>
            <w:tcW w:w="1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8"/>
              </w:rPr>
              <w:t>Interest-bearing deposits: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Demand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1.42%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0.81%</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5,533</w:t>
            </w:r>
          </w:p>
        </w:tc>
        <w:tc>
          <w:tcPr>
            <w:tcW w:w="1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0.94%</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Savings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0.05%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7,573</w:t>
            </w:r>
          </w:p>
        </w:tc>
        <w:tc>
          <w:tcPr>
            <w:tcW w:w="120" w:type="dxa"/>
            <w:vAlign w:val="bottom"/>
          </w:tcPr>
          <w:p>
            <w:pPr>
              <w:spacing w:after="0"/>
              <w:rPr>
                <w:sz w:val="18"/>
                <w:szCs w:val="18"/>
                <w:color w:val="auto"/>
              </w:rPr>
            </w:pPr>
          </w:p>
        </w:tc>
        <w:tc>
          <w:tcPr>
            <w:tcW w:w="94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0.05%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5"/>
              </w:rPr>
              <w:t>8,328</w:t>
            </w: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0.14%</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0.29%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28,859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0.29%</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18,872</w:t>
            </w:r>
          </w:p>
        </w:tc>
        <w:tc>
          <w:tcPr>
            <w:tcW w:w="1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0.38%</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3"/>
              </w:rPr>
              <w:t>Time certificates of deposit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82,870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0.94%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104,134</w:t>
            </w:r>
          </w:p>
        </w:tc>
        <w:tc>
          <w:tcPr>
            <w:tcW w:w="120" w:type="dxa"/>
            <w:vAlign w:val="bottom"/>
          </w:tcPr>
          <w:p>
            <w:pPr>
              <w:spacing w:after="0"/>
              <w:rPr>
                <w:sz w:val="18"/>
                <w:szCs w:val="18"/>
                <w:color w:val="auto"/>
              </w:rPr>
            </w:pPr>
          </w:p>
        </w:tc>
        <w:tc>
          <w:tcPr>
            <w:tcW w:w="940" w:type="dxa"/>
            <w:vAlign w:val="bottom"/>
            <w:gridSpan w:val="2"/>
          </w:tcPr>
          <w:p>
            <w:pPr>
              <w:jc w:val="center"/>
              <w:ind w:left="390"/>
              <w:spacing w:after="0"/>
              <w:rPr>
                <w:sz w:val="20"/>
                <w:szCs w:val="20"/>
                <w:color w:val="auto"/>
              </w:rPr>
            </w:pPr>
            <w:r>
              <w:rPr>
                <w:rFonts w:ascii="Arial" w:cs="Arial" w:eastAsia="Arial" w:hAnsi="Arial"/>
                <w:sz w:val="18"/>
                <w:szCs w:val="18"/>
                <w:color w:val="auto"/>
                <w:w w:val="90"/>
              </w:rPr>
              <w:t>0.93%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57,468</w:t>
            </w:r>
          </w:p>
        </w:tc>
        <w:tc>
          <w:tcPr>
            <w:tcW w:w="1220" w:type="dxa"/>
            <w:vAlign w:val="bottom"/>
            <w:gridSpan w:val="4"/>
          </w:tcPr>
          <w:p>
            <w:pPr>
              <w:jc w:val="right"/>
              <w:ind w:right="40"/>
              <w:spacing w:after="0"/>
              <w:rPr>
                <w:sz w:val="20"/>
                <w:szCs w:val="20"/>
                <w:color w:val="auto"/>
              </w:rPr>
            </w:pPr>
            <w:r>
              <w:rPr>
                <w:rFonts w:ascii="Arial" w:cs="Arial" w:eastAsia="Arial" w:hAnsi="Arial"/>
                <w:sz w:val="18"/>
                <w:szCs w:val="18"/>
                <w:color w:val="auto"/>
              </w:rPr>
              <w:t>1.79%</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29.4%</w:t>
            </w:r>
          </w:p>
        </w:tc>
      </w:tr>
      <w:tr>
        <w:trPr>
          <w:trHeight w:val="27"/>
        </w:trPr>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Borders>
              <w:left w:val="single" w:sz="8" w:color="auto"/>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Total average deposits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247,564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0.39%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6"/>
              </w:rPr>
              <w:t>275,567</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0"/>
              </w:rPr>
              <w:t>0.40%</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195,660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439"/>
        </w:trPr>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Six Months Ended</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8"/>
              </w:rPr>
              <w:t>June 30, 2022</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8"/>
                <w:szCs w:val="18"/>
                <w:b w:val="1"/>
                <w:bCs w:val="1"/>
                <w:color w:val="auto"/>
                <w:w w:val="88"/>
              </w:rPr>
              <w:t>June 30, 2021</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6"/>
          </w:tcPr>
          <w:p>
            <w:pPr>
              <w:jc w:val="center"/>
              <w:ind w:right="320"/>
              <w:spacing w:after="0" w:line="198"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5"/>
          </w:tcPr>
          <w:p>
            <w:pPr>
              <w:jc w:val="center"/>
              <w:ind w:right="560"/>
              <w:spacing w:after="0" w:line="198"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22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w w:val="99"/>
              </w:rPr>
              <w:t>Percent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88"/>
              </w:rPr>
              <w:t>average</w:t>
            </w: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w:t>
            </w:r>
          </w:p>
        </w:tc>
      </w:tr>
      <w:tr>
        <w:trPr>
          <w:trHeight w:val="241"/>
        </w:trPr>
        <w:tc>
          <w:tcPr>
            <w:tcW w:w="20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Total</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3"/>
              </w:rPr>
              <w:t>rate paid</w:t>
            </w:r>
          </w:p>
        </w:tc>
        <w:tc>
          <w:tcPr>
            <w:tcW w:w="120" w:type="dxa"/>
            <w:vAlign w:val="bottom"/>
          </w:tcPr>
          <w:p>
            <w:pPr>
              <w:spacing w:after="0"/>
              <w:rPr>
                <w:sz w:val="20"/>
                <w:szCs w:val="20"/>
                <w:color w:val="auto"/>
              </w:rPr>
            </w:pPr>
          </w:p>
        </w:tc>
        <w:tc>
          <w:tcPr>
            <w:tcW w:w="12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of total</w:t>
            </w:r>
          </w:p>
        </w:tc>
        <w:tc>
          <w:tcPr>
            <w:tcW w:w="1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3"/>
              </w:rPr>
              <w:t>rate paid</w:t>
            </w: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of total</w:t>
            </w:r>
          </w:p>
        </w:tc>
      </w:tr>
      <w:tr>
        <w:trPr>
          <w:trHeight w:val="216"/>
        </w:trPr>
        <w:tc>
          <w:tcPr>
            <w:tcW w:w="2020" w:type="dxa"/>
            <w:vAlign w:val="bottom"/>
          </w:tcPr>
          <w:p>
            <w:pPr>
              <w:spacing w:after="0"/>
              <w:rPr>
                <w:sz w:val="20"/>
                <w:szCs w:val="20"/>
                <w:color w:val="auto"/>
              </w:rPr>
            </w:pPr>
            <w:r>
              <w:rPr>
                <w:rFonts w:ascii="Arial" w:cs="Arial" w:eastAsia="Arial" w:hAnsi="Arial"/>
                <w:sz w:val="18"/>
                <w:szCs w:val="18"/>
                <w:i w:val="1"/>
                <w:iCs w:val="1"/>
                <w:color w:val="auto"/>
              </w:rPr>
              <w:t>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Noninterest-bearing demand deposits</w:t>
            </w:r>
          </w:p>
        </w:tc>
        <w:tc>
          <w:tcPr>
            <w:tcW w:w="52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129,014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0.00%</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97,330</w:t>
            </w: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3"/>
              </w:rPr>
              <w:t>0.00%</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8"/>
              </w:rPr>
              <w:t>Interest-bearing deposits: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Demand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1.18%</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3"/>
              </w:rPr>
              <w:t>0.91%</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Savings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7,056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7,594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0.16%</w:t>
            </w:r>
          </w:p>
        </w:tc>
        <w:tc>
          <w:tcPr>
            <w:tcW w:w="1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30,596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0.28%</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3"/>
              </w:rPr>
              <w:t>0.37%</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3"/>
              </w:rPr>
              <w:t>Time certificates of deposit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85,235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32.9%</w:t>
            </w:r>
          </w:p>
        </w:tc>
        <w:tc>
          <w:tcPr>
            <w:tcW w:w="16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54,196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1.92%</w:t>
            </w:r>
          </w:p>
        </w:tc>
        <w:tc>
          <w:tcPr>
            <w:tcW w:w="1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29.6%</w:t>
            </w:r>
          </w:p>
        </w:tc>
      </w:tr>
      <w:tr>
        <w:trPr>
          <w:trHeight w:val="27"/>
        </w:trPr>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gridSpan w:val="3"/>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gridSpan w:val="4"/>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gridSpan w:val="2"/>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Total average deposits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258,870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0.39%</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183,331</w:t>
            </w: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3"/>
              </w:rPr>
              <w:t>0.64%</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deposits decreased to $219.4 million at June 30, 2022 from $251.9 million at December 31, 2021, a decrease of $32.5 million, or 12.9%. This decrease was primarily due to the decline in our Strategic Program loan program.</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an FDIC-insured institution, our deposits are insured up to applicable limits by the DIF of the FDIC. The Dodd-Frank Act raised the limit for federal deposit insurance to $250,000 for most deposit accounts and increased the cash limit of Securities Investor Protection Corporation protection from $100,000 to $250,000. Our total uninsured deposits were $128.3 million and $163.7 million as of June 30, 2022 and December 31, 2021, respectively. The maturity profile of our uninsured time deposits, those amounts that exceed the FDIC insurance limit, at June 30, 2022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June 30, 2022</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5"/>
              </w:rPr>
              <w:t>More than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three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More than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3"/>
              </w:rPr>
              <w:t>Three</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months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six months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More than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89"/>
              </w:rPr>
              <w:t>months</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to six</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 twelve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twelve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0"/>
                <w:szCs w:val="20"/>
                <w:color w:val="auto"/>
              </w:rPr>
            </w:pPr>
          </w:p>
        </w:tc>
        <w:tc>
          <w:tcPr>
            <w:tcW w:w="130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86"/>
              </w:rPr>
              <w:t>or less</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months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months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months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uninsured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Management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Liquidity management is the ability to meet current and future financial obligations of a short-term nature. Our primary sources of funds consist of deposit inflows, the sale of loans, repayment of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23, 2021, we completed our IPO at a price of $10.50 per share. We raised approximately $36.1 million in net proceeds after deducting underwriting discounts and commissions of approximately $3.0 million and certain estimated offering expenses payable by us of approximately of $3.2 million. The net proceeds less $0.5 million in other related expenses, including legal fees totaled $35.6 million.</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primary source of funds to originate new loans (other than the PPPLF program used to fund PPP loans in 2020) is derived from deposits. Deposits are comprised of core and noncore deposits. We use brokered deposits and a rate listing service to advertise rates to banks, credit unions, and other institutional entities. We designate deposits obtained from this source as Institutional Deposits. To date, depositors of brokered and Institutional Deposits have been willing to place deposits with us at rates near the middle of the market. To attract deposits from local and nationwide consumer and commercial markets, we historically paid rates at the higher end of the market, which we have been able to pay due to our high margin and technology oriented business model. We utilize rate listing services and website advertising to attract deposits from consumer and commercial sources.</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regularly evaluate new, core deposit products and in 2020, we launched a deposit product targeted to the needs of our PPP borrowers. 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the liquidity policy is to reduce the risk to our earnings and capital arising from the inability to meet obligations in a timely manner. This entails ensuring sufficient funds are available at a reasonable cost to meet potential demands from both fund providers and borrowers. Liquid assets, defined as cash and due from banks and interest bearing deposits, were 26.4% of total assets at June 30, 2022.</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primarily utilize short-term and long-term borrowings to supplement deposits to fund our lending and investment activities, each of which is discussed below. At June 30, 2022, we had the ability to access $10.0 million from the Federal Reserve Bank’s Discount Window on a collateralized basis. Through Zions Bank, the Bank had an available unsecured line available of $1.0 million. The Bank had an available unsecured line of credit with Bankers’ Bank of the West to borrow up to $1.05 million in overnight funds. We also maintain a $3.2 million line of credit with Federal Home Loan Bank, secured by specific pledged loans. We had no outstanding balances on such unsecured or secured lines of credit as of June 30, 2022. In long term borrowings, we had $0.4 million outstanding at June 30, 2022 related to the PPPLF. The PPPLF is secured by pledged PPP loans.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liquid assets are cash and cash equivalents. The levels of these assets depend on our operating, financing, lending and investing activities during any given period. At June 30, 2022, liquid assets (defined as cash and due from banks and interest bearing deposits), consisting of cash and due from banks, totaled $96.5 million. We believe that our liquid assets combined with the available lines of credit provide adequate liquidity to meet our current financial obligations for at least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equity increased $15.1 million to $130.5 million at June 30, 2022 compared to $115.4 million at December 31, 2021. The increase in shareholders’ equity was primarily attributable to net income recognized of $14.9 million. Stock options exercised, and stock-based compensation increased additional paid-in capital aggregately by approximately $0.2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several indicators of capital strength. The most commonly used measure is average common equity to average assets, which was 32.3% and 18.2% for the three months ended June 30, 2022 and 2021, respectively. Average common equity to average assets was 33.0% and 17.5% for the six months ended June 30, 2022 and 2021, respectively.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return on average equity was 17.2% and 55.0% for the three months ended June 30, 2022 and 2021, respectively. Our return on average assets was 5.5% and 10.0% for the three months ended June 30, 2022 and 2021, respectively. Our return on average equity was 24.3% and 49.1% for the six months ended June 30, 2022 and 2021, respectively. Our return on average assets was 8.0% and 8.6% for the six months ended June 30, 2022 and 2021, respectively.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finalized a rule intending to simplify the regulatory capital requirements described above for qualifying community banking organizations that opt into the Community Bank Leverage Ratio framework, as required by Section 201 of the Regulatory Relief Act. The Bank has elected to opt into the Community Bank Leverage Ratio framework starting in 2020. Under these new capital requirements, as temporarily amended by Section 4012 of the CARES Act, the Bank must maintain a leverage ratio greater than 8.5% for 2021 and 9.0% for 2022.</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2022 and December 31, 2021, the most recent notification from the FDIC categorized the Bank as well-capitalized under the regulatory framework for prompt corrective action (there are no conditions or events since that notification we believe have changed the Bank’s category). The following table sets forth the actual capital amounts and ratios for the Bank and the amount of capital required to be categorized as well-capitalized as of the dates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regulatory capital ratios for the Bank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104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June 30,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4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400" w:type="dxa"/>
            <w:vAlign w:val="bottom"/>
          </w:tcPr>
          <w:p>
            <w:pPr>
              <w:spacing w:after="0"/>
              <w:rPr>
                <w:sz w:val="20"/>
                <w:szCs w:val="20"/>
                <w:color w:val="auto"/>
              </w:rPr>
            </w:pPr>
          </w:p>
        </w:tc>
      </w:tr>
      <w:tr>
        <w:trPr>
          <w:trHeight w:val="198"/>
        </w:trPr>
        <w:tc>
          <w:tcPr>
            <w:tcW w:w="43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7"/>
              </w:rPr>
              <w:t>Well-</w:t>
            </w:r>
          </w:p>
        </w:tc>
        <w:tc>
          <w:tcPr>
            <w:tcW w:w="400" w:type="dxa"/>
            <w:vAlign w:val="bottom"/>
          </w:tcPr>
          <w:p>
            <w:pPr>
              <w:spacing w:after="0"/>
              <w:rPr>
                <w:sz w:val="17"/>
                <w:szCs w:val="17"/>
                <w:color w:val="auto"/>
              </w:rPr>
            </w:pPr>
          </w:p>
        </w:tc>
        <w:tc>
          <w:tcPr>
            <w:tcW w:w="13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7"/>
              </w:rPr>
              <w:t>Well-</w:t>
            </w:r>
          </w:p>
        </w:tc>
        <w:tc>
          <w:tcPr>
            <w:tcW w:w="400" w:type="dxa"/>
            <w:vAlign w:val="bottom"/>
          </w:tcPr>
          <w:p>
            <w:pPr>
              <w:spacing w:after="0"/>
              <w:rPr>
                <w:sz w:val="17"/>
                <w:szCs w:val="17"/>
                <w:color w:val="auto"/>
              </w:rPr>
            </w:pPr>
          </w:p>
        </w:tc>
      </w:tr>
      <w:tr>
        <w:trPr>
          <w:trHeight w:val="216"/>
        </w:trPr>
        <w:tc>
          <w:tcPr>
            <w:tcW w:w="4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Capitalized</w:t>
            </w:r>
          </w:p>
        </w:tc>
        <w:tc>
          <w:tcPr>
            <w:tcW w:w="1780" w:type="dxa"/>
            <w:vAlign w:val="bottom"/>
            <w:gridSpan w:val="2"/>
          </w:tcPr>
          <w:p>
            <w:pPr>
              <w:jc w:val="center"/>
              <w:ind w:right="358"/>
              <w:spacing w:after="0"/>
              <w:rPr>
                <w:sz w:val="20"/>
                <w:szCs w:val="20"/>
                <w:color w:val="auto"/>
              </w:rPr>
            </w:pPr>
            <w:r>
              <w:rPr>
                <w:rFonts w:ascii="Arial" w:cs="Arial" w:eastAsia="Arial" w:hAnsi="Arial"/>
                <w:sz w:val="18"/>
                <w:szCs w:val="18"/>
                <w:b w:val="1"/>
                <w:bCs w:val="1"/>
                <w:color w:val="auto"/>
                <w:w w:val="92"/>
              </w:rPr>
              <w:t>Capitalized</w:t>
            </w:r>
          </w:p>
        </w:tc>
      </w:tr>
      <w:tr>
        <w:trPr>
          <w:trHeight w:val="241"/>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Capital Ratios</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Requirement</w:t>
            </w:r>
          </w:p>
        </w:tc>
        <w:tc>
          <w:tcPr>
            <w:tcW w:w="4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Requirement</w:t>
            </w:r>
          </w:p>
        </w:tc>
        <w:tc>
          <w:tcPr>
            <w:tcW w:w="400" w:type="dxa"/>
            <w:vAlign w:val="bottom"/>
            <w:tcBorders>
              <w:bottom w:val="single" w:sz="8" w:color="CCEEFF"/>
            </w:tcBorders>
          </w:tcPr>
          <w:p>
            <w:pPr>
              <w:spacing w:after="0"/>
              <w:rPr>
                <w:sz w:val="20"/>
                <w:szCs w:val="20"/>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Leverage Ratio (under CBLR)</w:t>
            </w: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21.4%</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174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6"/>
                <w:szCs w:val="16"/>
                <w:color w:val="auto"/>
              </w:rPr>
              <w:t>9.0%</w:t>
            </w:r>
            <w:r>
              <w:rPr>
                <w:rFonts w:ascii="Arial" w:cs="Arial" w:eastAsia="Arial" w:hAnsi="Arial"/>
                <w:sz w:val="25"/>
                <w:szCs w:val="25"/>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0" w:type="dxa"/>
            <w:vAlign w:val="bottom"/>
            <w:shd w:val="clear" w:color="auto" w:fill="CCEEFF"/>
          </w:tcPr>
          <w:p>
            <w:pPr>
              <w:jc w:val="right"/>
              <w:ind w:right="18"/>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2"/>
                <w:szCs w:val="12"/>
                <w:color w:val="auto"/>
              </w:rPr>
              <w:t>(1)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Well-Capitalized Requirement for years 2022 and 2021 were 9.0% and 8.5%,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June 30,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One to</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More</w:t>
            </w: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2"/>
              </w:rPr>
              <w:t>Less than</w:t>
            </w:r>
          </w:p>
        </w:tc>
        <w:tc>
          <w:tcPr>
            <w:tcW w:w="2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Three</w:t>
            </w: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Three to</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Than Five</w:t>
            </w:r>
          </w:p>
        </w:tc>
      </w:tr>
      <w:tr>
        <w:trPr>
          <w:trHeight w:val="241"/>
        </w:trPr>
        <w:tc>
          <w:tcPr>
            <w:tcW w:w="45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8"/>
              </w:rPr>
              <w:t>One Year</w:t>
            </w:r>
          </w:p>
        </w:tc>
        <w:tc>
          <w:tcPr>
            <w:tcW w:w="20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Five 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Years</w:t>
            </w: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Deposits without stated maturity</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94,850</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94,850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Time deposits</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68,774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12,666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37,643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17,581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884</w:t>
            </w:r>
          </w:p>
        </w:tc>
      </w:tr>
      <w:tr>
        <w:trPr>
          <w:trHeight w:val="216"/>
        </w:trPr>
        <w:tc>
          <w:tcPr>
            <w:tcW w:w="45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Long term borrowings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2,237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2,783</w:t>
            </w:r>
          </w:p>
        </w:tc>
      </w:tr>
      <w:tr>
        <w:trPr>
          <w:trHeight w:val="257"/>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171,954</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108,249</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40,220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Balances in this category pertain to the PPPLF and are fully-collateralized with PPP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normal course of business, we enter into various transactions, which, in accordance with GAAP, are not included in our consolidated statements of financial condition. We enter into these transactions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We are not aware of any accounting loss to be incurred by funding these commitments; if required, we would maintain an allowance for off-balance sheet credit risk which would be recorded in other liabilities on the consolidated balance sheets.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commitments to extend credit as of the dates indicated are summarized below. Since commitments associated with commitments to extend credit may expire unused, the amounts shown do not necessarily reflect the actual future cash funding requirements.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As of June 30,</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4"/>
              </w:rPr>
              <w:t>As of December 31,</w:t>
            </w:r>
          </w:p>
        </w:tc>
      </w:tr>
      <w:tr>
        <w:trPr>
          <w:trHeight w:val="241"/>
        </w:trPr>
        <w:tc>
          <w:tcPr>
            <w:tcW w:w="83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Revolving, open-end lines of credit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23,830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15,402</w:t>
            </w:r>
          </w:p>
        </w:tc>
      </w:tr>
      <w:tr>
        <w:trPr>
          <w:trHeight w:val="223"/>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unused commitments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Total commitments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25,764</w:t>
            </w:r>
          </w:p>
        </w:tc>
        <w:tc>
          <w:tcPr>
            <w:tcW w:w="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17,038</w:t>
            </w:r>
          </w:p>
        </w:tc>
      </w:tr>
      <w:tr>
        <w:trPr>
          <w:trHeight w:val="20"/>
        </w:trPr>
        <w:tc>
          <w:tcPr>
            <w:tcW w:w="8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management’s discussion and analysis of results of operations and financial condition is based upon our unaudited interim consolidated financial statements, which have been prepared in accordance with GAAP. The preparation of these financial statements in accordance with GAAP requires management to make estimates and judgments that affect the reported amounts of assets, liabilities, revenues,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 There have been no significant changes during the six months ended June 30, 2022 to the items that we disclosed as our critical accounting policies and estimates in “Management’s Discussion and Analysis of Financial Condition and Results of Operations” in the 2021 Form 10-K.</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Accounting policies, as described in detail in the notes to our consolidated financial statements, included in the 2021 Form 10-K, are an integral part of our financial statements. A thorough understanding of these accounting policies is essential when reviewing our reported results of operations and our financial position. We believe that those critical accounting policies and estimates require us to make difficult, subjective or complex judgments about matters that are inherently uncertain. Changes in these estimates, which are likely to occur from period to period, or use of different estimates that we could have reasonably used in the current period, would have a material impact on our financial position, results of operations or liquidity.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Management Explanation of Non-GAAP Financial Measures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the financial measures included in this Report are not measures of financial performance recognized by GAAP. This non-GAAP financial measure is “total nonperforming assets and troubled debt restructurings to total assets (less PPP loans).” Our management uses this non-GAAP financial measures in its analysis of our performance.</w:t>
      </w:r>
    </w:p>
    <w:p>
      <w:pPr>
        <w:spacing w:after="0" w:line="184" w:lineRule="exact"/>
        <w:rPr>
          <w:sz w:val="20"/>
          <w:szCs w:val="20"/>
          <w:color w:val="auto"/>
        </w:rPr>
      </w:pPr>
    </w:p>
    <w:p>
      <w:pPr>
        <w:jc w:val="both"/>
        <w:ind w:left="500" w:hanging="492"/>
        <w:spacing w:after="0" w:line="255"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nonperforming assets and troubled debt restructurings to total assets (less PPP loans)” is defined as the sum of nonperforming assets and troubled debt restructurings divided by total assets minus PPP loans. The most directly comparable GAAP financial measure is the sum of nonperforming assets and troubled debt restructurings to total assets. We believe this measure is important because we believe that PPP loans will not be included in nonperforming assets or troubled debt restructurings since PPP loans are 100% guaranteed by the SBA. We believe that the non-GAAP measure more accurately discloses the proportion of nonperforming assets and troubled debt restructurings to total assets consistently with periods prior to the presence of PPP loans.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measures as a substitute for results determined in accordance with GAAP, and they are not necessarily comparable to non-GAAP financial measures that other companies use. The following table provides a reconciliation of these non-GAAP financial measures to the most closely related GAAP measure.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i w:val="1"/>
                <w:iCs w:val="1"/>
                <w:color w:val="auto"/>
              </w:rPr>
              <w:t>Total nonperforming assets and troubled debt restructurings to total assets (less PPP loans)</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9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As of</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820" w:type="dxa"/>
            <w:vAlign w:val="bottom"/>
          </w:tcPr>
          <w:p>
            <w:pPr>
              <w:spacing w:after="0"/>
              <w:rPr>
                <w:sz w:val="19"/>
                <w:szCs w:val="19"/>
                <w:color w:val="auto"/>
              </w:rPr>
            </w:pPr>
          </w:p>
        </w:tc>
        <w:tc>
          <w:tcPr>
            <w:tcW w:w="13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0"/>
              </w:rPr>
              <w:t>June 30, 2022</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87"/>
              </w:rPr>
              <w:t>December 31, 2021</w:t>
            </w:r>
          </w:p>
        </w:tc>
        <w:tc>
          <w:tcPr>
            <w:tcW w:w="160" w:type="dxa"/>
            <w:vAlign w:val="bottom"/>
          </w:tcPr>
          <w:p>
            <w:pPr>
              <w:spacing w:after="0"/>
              <w:rPr>
                <w:sz w:val="19"/>
                <w:szCs w:val="19"/>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nonperforming assets and troubled debt restructuring</w:t>
            </w:r>
          </w:p>
        </w:tc>
        <w:tc>
          <w:tcPr>
            <w:tcW w:w="8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6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0"/>
              </w:rPr>
              <w:t>Total assets</w:t>
            </w:r>
          </w:p>
        </w:tc>
        <w:tc>
          <w:tcPr>
            <w:tcW w:w="6540" w:type="dxa"/>
            <w:vAlign w:val="bottom"/>
          </w:tcPr>
          <w:p>
            <w:pPr>
              <w:spacing w:after="0"/>
              <w:rPr>
                <w:sz w:val="18"/>
                <w:szCs w:val="18"/>
                <w:color w:val="auto"/>
              </w:rPr>
            </w:pPr>
          </w:p>
        </w:tc>
        <w:tc>
          <w:tcPr>
            <w:tcW w:w="112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365,987</w:t>
            </w:r>
          </w:p>
        </w:tc>
        <w:tc>
          <w:tcPr>
            <w:tcW w:w="2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380,214</w:t>
            </w: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6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1,091</w:t>
            </w:r>
          </w:p>
        </w:tc>
      </w:tr>
      <w:tr>
        <w:trPr>
          <w:trHeight w:val="27"/>
        </w:trPr>
        <w:tc>
          <w:tcPr>
            <w:tcW w:w="90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Total assets less PPP loans</w:t>
            </w:r>
          </w:p>
        </w:tc>
        <w:tc>
          <w:tcPr>
            <w:tcW w:w="1120" w:type="dxa"/>
            <w:vAlign w:val="bottom"/>
            <w:gridSpan w:val="2"/>
          </w:tcPr>
          <w:p>
            <w:pPr>
              <w:jc w:val="right"/>
              <w:ind w:right="13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365,253</w:t>
            </w:r>
          </w:p>
        </w:tc>
        <w:tc>
          <w:tcPr>
            <w:tcW w:w="2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379,123</w:t>
            </w:r>
          </w:p>
        </w:tc>
      </w:tr>
      <w:tr>
        <w:trPr>
          <w:trHeight w:val="20"/>
        </w:trPr>
        <w:tc>
          <w:tcPr>
            <w:tcW w:w="7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nonperforming assets and troubled debt restructurings to total assets (less PPP loans)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540" w:type="dxa"/>
            <w:vAlign w:val="bottom"/>
          </w:tcPr>
          <w:p>
            <w:pPr>
              <w:ind w:left="8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filer category of “smaller reporting company,” as defined in Rule 12b-2 of the Exchange Act, the Company is not required to provide information requested by Part I, Item 3 of this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defined in Rule 13a-15(e) under the Exchange Act as of the end of the period covered by this Report. Based on that evaluation, the Company’s Chief Executive Officer and Chief Financial Officer concluded that the Company’s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the Company’s internal controls over financial reporting (as such term is defined in Rules 13a-15(f) and 15d-15(f) under the Exchange Act) during the fiscal quarter to which this Report relates that have materially affected, or are reasonably likely to materially affect, the Company’s internal controls over financial reporting.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pacing w:after="0" w:line="1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section supplements and updates certain of the information found under Part I, Item 1A. “Risk Factors” of the 2021 Form 10-K and Part II, Item 1A. “Risk Factors” of our Quarterly Report on Form 10-Q for the quarter ended March 31, 2022 (the “First Quarter Form 10-Q”) based on information currently known to us and recent developments since the date of the 2021 Form 10-K filing. The information included in the “Risk Factors” section of the First Quarter Form 10-Q is incorporated by reference herein. The risks and uncertainties that we face are not limited to those set forth in the 2021 Form 10-K, as supplemented and updated in the First Quarter Form 10-Q. Additional risks and uncertainties not presently known to us or that we currently believe to be immaterial may also adversely affect our business and the trading price of our securities.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unregistered sales of the Company’s stock during the second quarter of 2022. The Company did not repurchase any of its shares during the second quarter of 2022 and does not have any authorized share repurchase programs.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i w:val="1"/>
                <w:iCs w:val="1"/>
                <w:color w:val="0000EE"/>
                <w:w w:val="93"/>
              </w:rPr>
              <w:t>Index</w:t>
            </w:r>
          </w:p>
        </w:tc>
        <w:tc>
          <w:tcPr>
            <w:tcW w:w="600" w:type="dxa"/>
            <w:vAlign w:val="bottom"/>
            <w:gridSpan w:val="6"/>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160" w:type="dxa"/>
            <w:vAlign w:val="bottom"/>
          </w:tcPr>
          <w:p>
            <w:pPr>
              <w:spacing w:after="0"/>
              <w:rPr>
                <w:sz w:val="14"/>
                <w:szCs w:val="14"/>
                <w:color w:val="auto"/>
              </w:rPr>
            </w:pPr>
          </w:p>
        </w:tc>
      </w:tr>
      <w:tr>
        <w:trPr>
          <w:trHeight w:val="385"/>
        </w:trPr>
        <w:tc>
          <w:tcPr>
            <w:tcW w:w="940" w:type="dxa"/>
            <w:vAlign w:val="bottom"/>
            <w:gridSpan w:val="8"/>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gridSpan w:val="3"/>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940" w:type="dxa"/>
            <w:vAlign w:val="bottom"/>
            <w:gridSpan w:val="8"/>
          </w:tcPr>
          <w:p>
            <w:pPr>
              <w:spacing w:after="0"/>
              <w:rPr>
                <w:sz w:val="20"/>
                <w:szCs w:val="20"/>
                <w:color w:val="auto"/>
              </w:rPr>
            </w:pPr>
            <w:r>
              <w:rPr>
                <w:rFonts w:ascii="Arial" w:cs="Arial" w:eastAsia="Arial" w:hAnsi="Arial"/>
                <w:sz w:val="18"/>
                <w:szCs w:val="18"/>
                <w:color w:val="auto"/>
              </w:rPr>
              <w:t>Exhibits.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439"/>
        </w:trPr>
        <w:tc>
          <w:tcPr>
            <w:tcW w:w="940" w:type="dxa"/>
            <w:vAlign w:val="bottom"/>
            <w:gridSpan w:val="8"/>
          </w:tcPr>
          <w:p>
            <w:pPr>
              <w:jc w:val="center"/>
              <w:ind w:left="11"/>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24"/>
                <w:szCs w:val="24"/>
                <w:color w:val="auto"/>
              </w:rPr>
            </w:pPr>
          </w:p>
        </w:tc>
        <w:tc>
          <w:tcPr>
            <w:tcW w:w="10220" w:type="dxa"/>
            <w:vAlign w:val="bottom"/>
            <w:gridSpan w:val="2"/>
          </w:tcPr>
          <w:p>
            <w:pPr>
              <w:ind w:left="6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Borders>
              <w:top w:val="single" w:sz="8" w:color="auto"/>
            </w:tcBorders>
          </w:tcPr>
          <w:p>
            <w:pPr>
              <w:spacing w:after="0"/>
              <w:rPr>
                <w:sz w:val="18"/>
                <w:szCs w:val="18"/>
                <w:color w:val="auto"/>
              </w:rPr>
            </w:pPr>
          </w:p>
        </w:tc>
      </w:tr>
      <w:tr>
        <w:trPr>
          <w:trHeight w:val="176"/>
        </w:trPr>
        <w:tc>
          <w:tcPr>
            <w:tcW w:w="680" w:type="dxa"/>
            <w:vAlign w:val="bottom"/>
            <w:gridSpan w:val="6"/>
            <w:shd w:val="clear" w:color="auto" w:fill="CCEEFF"/>
          </w:tcPr>
          <w:p>
            <w:pPr>
              <w:jc w:val="center"/>
              <w:ind w:left="251"/>
              <w:spacing w:after="0" w:line="176" w:lineRule="exact"/>
              <w:rPr>
                <w:rFonts w:ascii="Arial" w:cs="Arial" w:eastAsia="Arial" w:hAnsi="Arial"/>
                <w:sz w:val="18"/>
                <w:szCs w:val="18"/>
                <w:color w:val="0000EE"/>
                <w:w w:val="87"/>
              </w:rPr>
            </w:pPr>
            <w:hyperlink r:id="rId6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2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w w:val="91"/>
              </w:rPr>
              <w:t>Fourth Amended and Restated Articles of Incorporation (incorporated by reference to Exhibit 3.1 of the Registrant’s Registration Statement</w:t>
            </w:r>
          </w:p>
        </w:tc>
      </w:tr>
      <w:tr>
        <w:trPr>
          <w:trHeight w:val="236"/>
        </w:trPr>
        <w:tc>
          <w:tcPr>
            <w:tcW w:w="3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on Form S-1 filed with the Securities and Exchange Commission on July 30, 2021 (File No. 333-257929)).</w:t>
            </w:r>
          </w:p>
        </w:tc>
      </w:tr>
      <w:tr>
        <w:trPr>
          <w:trHeight w:val="176"/>
        </w:trPr>
        <w:tc>
          <w:tcPr>
            <w:tcW w:w="680" w:type="dxa"/>
            <w:vAlign w:val="bottom"/>
            <w:gridSpan w:val="6"/>
          </w:tcPr>
          <w:p>
            <w:pPr>
              <w:jc w:val="center"/>
              <w:ind w:left="251"/>
              <w:spacing w:after="0" w:line="176" w:lineRule="exact"/>
              <w:rPr>
                <w:rFonts w:ascii="Arial" w:cs="Arial" w:eastAsia="Arial" w:hAnsi="Arial"/>
                <w:sz w:val="18"/>
                <w:szCs w:val="18"/>
                <w:color w:val="0000EE"/>
                <w:w w:val="87"/>
              </w:rPr>
            </w:pPr>
            <w:hyperlink r:id="rId6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20" w:type="dxa"/>
            <w:vAlign w:val="bottom"/>
            <w:gridSpan w:val="2"/>
          </w:tcPr>
          <w:p>
            <w:pPr>
              <w:ind w:left="60"/>
              <w:spacing w:after="0" w:line="176" w:lineRule="exact"/>
              <w:rPr>
                <w:sz w:val="20"/>
                <w:szCs w:val="20"/>
                <w:color w:val="auto"/>
              </w:rPr>
            </w:pPr>
            <w:r>
              <w:rPr>
                <w:rFonts w:ascii="Arial" w:cs="Arial" w:eastAsia="Arial" w:hAnsi="Arial"/>
                <w:sz w:val="18"/>
                <w:szCs w:val="18"/>
                <w:color w:val="auto"/>
                <w:w w:val="92"/>
              </w:rPr>
              <w:t>Amended and Restated Bylaws (incorporated by reference to Exhibit 3.2 of the Registrant’s Registration Statement on Form S-1 filed with</w:t>
            </w:r>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20" w:type="dxa"/>
            <w:vAlign w:val="bottom"/>
            <w:gridSpan w:val="2"/>
          </w:tcPr>
          <w:p>
            <w:pPr>
              <w:ind w:left="60"/>
              <w:spacing w:after="0"/>
              <w:rPr>
                <w:sz w:val="20"/>
                <w:szCs w:val="20"/>
                <w:color w:val="auto"/>
              </w:rPr>
            </w:pPr>
            <w:r>
              <w:rPr>
                <w:rFonts w:ascii="Arial" w:cs="Arial" w:eastAsia="Arial" w:hAnsi="Arial"/>
                <w:sz w:val="18"/>
                <w:szCs w:val="18"/>
                <w:color w:val="auto"/>
              </w:rPr>
              <w:t>the Securities and Exchange Commission on July 30, 2021 (File No. 333-257929)).</w:t>
            </w:r>
          </w:p>
        </w:tc>
      </w:tr>
      <w:tr>
        <w:trPr>
          <w:trHeight w:val="175"/>
        </w:trPr>
        <w:tc>
          <w:tcPr>
            <w:tcW w:w="680" w:type="dxa"/>
            <w:vAlign w:val="bottom"/>
            <w:gridSpan w:val="6"/>
            <w:shd w:val="clear" w:color="auto" w:fill="CCEEFF"/>
          </w:tcPr>
          <w:p>
            <w:pPr>
              <w:jc w:val="center"/>
              <w:ind w:left="251"/>
              <w:spacing w:after="0" w:line="176" w:lineRule="exact"/>
              <w:rPr>
                <w:rFonts w:ascii="Arial" w:cs="Arial" w:eastAsia="Arial" w:hAnsi="Arial"/>
                <w:sz w:val="18"/>
                <w:szCs w:val="18"/>
                <w:color w:val="0000EE"/>
                <w:w w:val="87"/>
              </w:rPr>
            </w:pPr>
            <w:hyperlink r:id="rId66">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2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w w:val="93"/>
              </w:rPr>
              <w:t>Specimen common stock certificate (incorporated by reference to Exhibit 4.1 of the Registrant’s Registration Statement on Form S-1 filed</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with the Securities and Exchange Commission on July 15, 2021 (File No. 333-257929)).</w:t>
            </w:r>
          </w:p>
        </w:tc>
      </w:tr>
      <w:tr>
        <w:trPr>
          <w:trHeight w:val="176"/>
        </w:trPr>
        <w:tc>
          <w:tcPr>
            <w:tcW w:w="940" w:type="dxa"/>
            <w:vAlign w:val="bottom"/>
            <w:gridSpan w:val="8"/>
          </w:tcPr>
          <w:p>
            <w:pPr>
              <w:jc w:val="center"/>
              <w:ind w:left="11"/>
              <w:spacing w:after="0" w:line="176" w:lineRule="exact"/>
              <w:rPr>
                <w:sz w:val="20"/>
                <w:szCs w:val="20"/>
                <w:color w:val="auto"/>
              </w:rPr>
            </w:pPr>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w:t>
            </w:r>
          </w:p>
        </w:tc>
        <w:tc>
          <w:tcPr>
            <w:tcW w:w="80" w:type="dxa"/>
            <w:vAlign w:val="bottom"/>
          </w:tcPr>
          <w:p>
            <w:pPr>
              <w:spacing w:after="0"/>
              <w:rPr>
                <w:sz w:val="15"/>
                <w:szCs w:val="15"/>
                <w:color w:val="auto"/>
              </w:rPr>
            </w:pPr>
          </w:p>
        </w:tc>
        <w:tc>
          <w:tcPr>
            <w:tcW w:w="1022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Fourth Amendment to Employment Agreement, dated May 16, 2022, by and between David Tilis and FinWise Bancorp</w:t>
            </w:r>
          </w:p>
        </w:tc>
      </w:tr>
      <w:tr>
        <w:trPr>
          <w:trHeight w:val="20"/>
        </w:trPr>
        <w:tc>
          <w:tcPr>
            <w:tcW w:w="3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r>
      <w:tr>
        <w:trPr>
          <w:trHeight w:val="196"/>
        </w:trPr>
        <w:tc>
          <w:tcPr>
            <w:tcW w:w="940" w:type="dxa"/>
            <w:vAlign w:val="bottom"/>
            <w:gridSpan w:val="8"/>
            <w:shd w:val="clear" w:color="auto" w:fill="CCEEFF"/>
          </w:tcPr>
          <w:p>
            <w:pPr>
              <w:jc w:val="center"/>
              <w:ind w:left="11"/>
              <w:spacing w:after="0" w:line="176" w:lineRule="exact"/>
              <w:rPr>
                <w:sz w:val="20"/>
                <w:szCs w:val="20"/>
                <w:color w:val="auto"/>
              </w:rPr>
            </w:pPr>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w:t>
            </w:r>
          </w:p>
        </w:tc>
        <w:tc>
          <w:tcPr>
            <w:tcW w:w="8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Fifth Amendment to Employment Agreement, dated May 27, 2022, by and between David Tilis and FinWise Bancorp</w:t>
            </w:r>
          </w:p>
        </w:tc>
      </w:tr>
      <w:tr>
        <w:trPr>
          <w:trHeight w:val="175"/>
        </w:trPr>
        <w:tc>
          <w:tcPr>
            <w:tcW w:w="320" w:type="dxa"/>
            <w:vAlign w:val="bottom"/>
            <w:tcBorders>
              <w:top w:val="single" w:sz="8" w:color="CCEEFF"/>
            </w:tcBorders>
          </w:tcPr>
          <w:p>
            <w:pPr>
              <w:spacing w:after="0"/>
              <w:rPr>
                <w:sz w:val="15"/>
                <w:szCs w:val="15"/>
                <w:color w:val="auto"/>
              </w:rPr>
            </w:pPr>
          </w:p>
        </w:tc>
        <w:tc>
          <w:tcPr>
            <w:tcW w:w="400" w:type="dxa"/>
            <w:vAlign w:val="bottom"/>
            <w:tcBorders>
              <w:top w:val="single" w:sz="8" w:color="0000EE"/>
            </w:tcBorders>
            <w:gridSpan w:val="6"/>
          </w:tcPr>
          <w:p>
            <w:pPr>
              <w:jc w:val="center"/>
              <w:spacing w:after="0" w:line="17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220" w:type="dxa"/>
            <w:vAlign w:val="bottom"/>
            <w:tcBorders>
              <w:top w:val="single" w:sz="8" w:color="CCEEFF"/>
            </w:tcBorders>
            <w:gridSpan w:val="2"/>
          </w:tcPr>
          <w:p>
            <w:pPr>
              <w:ind w:left="60"/>
              <w:spacing w:after="0" w:line="176" w:lineRule="exact"/>
              <w:rPr>
                <w:sz w:val="20"/>
                <w:szCs w:val="20"/>
                <w:color w:val="auto"/>
              </w:rPr>
            </w:pPr>
            <w:r>
              <w:rPr>
                <w:rFonts w:ascii="Arial" w:cs="Arial" w:eastAsia="Arial" w:hAnsi="Arial"/>
                <w:sz w:val="18"/>
                <w:szCs w:val="18"/>
                <w:color w:val="auto"/>
                <w:w w:val="92"/>
              </w:rPr>
              <w:t>Separation and Consulting Agreement, dated June 16, 2022, by and among FinWise Bancorp, FinWise Bank and David Tilis (incorporated</w:t>
            </w:r>
          </w:p>
        </w:tc>
      </w:tr>
      <w:tr>
        <w:trPr>
          <w:trHeight w:val="222"/>
        </w:trPr>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20" w:type="dxa"/>
            <w:vAlign w:val="bottom"/>
            <w:gridSpan w:val="2"/>
          </w:tcPr>
          <w:p>
            <w:pPr>
              <w:ind w:left="60"/>
              <w:spacing w:after="0"/>
              <w:rPr>
                <w:sz w:val="20"/>
                <w:szCs w:val="20"/>
                <w:color w:val="auto"/>
              </w:rPr>
            </w:pPr>
            <w:r>
              <w:rPr>
                <w:rFonts w:ascii="Arial" w:cs="Arial" w:eastAsia="Arial" w:hAnsi="Arial"/>
                <w:sz w:val="18"/>
                <w:szCs w:val="18"/>
                <w:color w:val="auto"/>
                <w:w w:val="91"/>
              </w:rPr>
              <w:t>by reference to Exhibit 10.1 of the Registrant’s Current Report on Form 8-K filed with the Securities and Exchange Commission on June 22,</w:t>
            </w:r>
          </w:p>
        </w:tc>
      </w:tr>
      <w:tr>
        <w:trPr>
          <w:trHeight w:val="230"/>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00" w:type="dxa"/>
            <w:vAlign w:val="bottom"/>
            <w:gridSpan w:val="3"/>
          </w:tcPr>
          <w:p>
            <w:pPr>
              <w:ind w:left="140"/>
              <w:spacing w:after="0"/>
              <w:rPr>
                <w:sz w:val="20"/>
                <w:szCs w:val="20"/>
                <w:color w:val="auto"/>
              </w:rPr>
            </w:pPr>
            <w:r>
              <w:rPr>
                <w:rFonts w:ascii="Arial" w:cs="Arial" w:eastAsia="Arial" w:hAnsi="Arial"/>
                <w:sz w:val="18"/>
                <w:szCs w:val="18"/>
                <w:color w:val="auto"/>
              </w:rPr>
              <w:t>2022).</w:t>
            </w:r>
          </w:p>
        </w:tc>
      </w:tr>
      <w:tr>
        <w:trPr>
          <w:trHeight w:val="176"/>
        </w:trPr>
        <w:tc>
          <w:tcPr>
            <w:tcW w:w="720" w:type="dxa"/>
            <w:vAlign w:val="bottom"/>
            <w:gridSpan w:val="7"/>
            <w:shd w:val="clear" w:color="auto" w:fill="CCEEFF"/>
          </w:tcPr>
          <w:p>
            <w:pPr>
              <w:jc w:val="center"/>
              <w:ind w:left="231"/>
              <w:spacing w:after="0" w:line="17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hyperlink>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2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w w:val="92"/>
              </w:rPr>
              <w:t>Letter Agreement, dated May 17, 2022, by and between FinWise Bank and James Noone (incorporated by reference to Exhibit 10.1 of the</w:t>
            </w:r>
          </w:p>
        </w:tc>
      </w:tr>
      <w:tr>
        <w:trPr>
          <w:trHeight w:val="236"/>
        </w:trPr>
        <w:tc>
          <w:tcPr>
            <w:tcW w:w="3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22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Registrant’s Current Report on Form 8-K filed with the Securities and Exchange Commission on May 23, 2022).</w:t>
            </w:r>
          </w:p>
        </w:tc>
      </w:tr>
      <w:tr>
        <w:trPr>
          <w:trHeight w:val="176"/>
        </w:trPr>
        <w:tc>
          <w:tcPr>
            <w:tcW w:w="720" w:type="dxa"/>
            <w:vAlign w:val="bottom"/>
            <w:gridSpan w:val="7"/>
          </w:tcPr>
          <w:p>
            <w:pPr>
              <w:jc w:val="center"/>
              <w:ind w:left="231"/>
              <w:spacing w:after="0" w:line="17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5</w:t>
              </w:r>
            </w:hyperlink>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20" w:type="dxa"/>
            <w:vAlign w:val="bottom"/>
            <w:gridSpan w:val="2"/>
          </w:tcPr>
          <w:p>
            <w:pPr>
              <w:ind w:left="60"/>
              <w:spacing w:after="0" w:line="176" w:lineRule="exact"/>
              <w:rPr>
                <w:sz w:val="20"/>
                <w:szCs w:val="20"/>
                <w:color w:val="auto"/>
              </w:rPr>
            </w:pPr>
            <w:r>
              <w:rPr>
                <w:rFonts w:ascii="Arial" w:cs="Arial" w:eastAsia="Arial" w:hAnsi="Arial"/>
                <w:sz w:val="18"/>
                <w:szCs w:val="18"/>
                <w:color w:val="auto"/>
                <w:w w:val="93"/>
              </w:rPr>
              <w:t>FinWise Bancorp 2019 Stock Option Plan (incorporated by reference to Exhibit 10.1 of the Registrant’s Current Report on Form 8-K filed</w:t>
            </w:r>
          </w:p>
        </w:tc>
      </w:tr>
      <w:tr>
        <w:trPr>
          <w:trHeight w:val="237"/>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20" w:type="dxa"/>
            <w:vAlign w:val="bottom"/>
            <w:gridSpan w:val="2"/>
          </w:tcPr>
          <w:p>
            <w:pPr>
              <w:ind w:left="60"/>
              <w:spacing w:after="0"/>
              <w:rPr>
                <w:sz w:val="20"/>
                <w:szCs w:val="20"/>
                <w:color w:val="auto"/>
              </w:rPr>
            </w:pPr>
            <w:r>
              <w:rPr>
                <w:rFonts w:ascii="Arial" w:cs="Arial" w:eastAsia="Arial" w:hAnsi="Arial"/>
                <w:sz w:val="18"/>
                <w:szCs w:val="18"/>
                <w:color w:val="auto"/>
              </w:rPr>
              <w:t>with the Securities and Exchange Commission on June 14, 2022).</w:t>
            </w:r>
          </w:p>
        </w:tc>
      </w:tr>
      <w:tr>
        <w:trPr>
          <w:trHeight w:val="175"/>
        </w:trPr>
        <w:tc>
          <w:tcPr>
            <w:tcW w:w="940" w:type="dxa"/>
            <w:vAlign w:val="bottom"/>
            <w:gridSpan w:val="8"/>
            <w:shd w:val="clear" w:color="auto" w:fill="CCEEFF"/>
          </w:tcPr>
          <w:p>
            <w:pPr>
              <w:jc w:val="center"/>
              <w:ind w:left="11"/>
              <w:spacing w:after="0" w:line="176" w:lineRule="exact"/>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p>
        </w:tc>
        <w:tc>
          <w:tcPr>
            <w:tcW w:w="80" w:type="dxa"/>
            <w:vAlign w:val="bottom"/>
            <w:shd w:val="clear" w:color="auto" w:fill="CCEEFF"/>
          </w:tcPr>
          <w:p>
            <w:pPr>
              <w:spacing w:after="0"/>
              <w:rPr>
                <w:sz w:val="15"/>
                <w:szCs w:val="15"/>
                <w:color w:val="auto"/>
              </w:rPr>
            </w:pPr>
          </w:p>
        </w:tc>
        <w:tc>
          <w:tcPr>
            <w:tcW w:w="1022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Rule 13a-14(a) Certification of the Principal Executive Officer.</w:t>
            </w:r>
          </w:p>
        </w:tc>
      </w:tr>
      <w:tr>
        <w:trPr>
          <w:trHeight w:val="21"/>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1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40" w:type="dxa"/>
            <w:vAlign w:val="bottom"/>
            <w:gridSpan w:val="8"/>
          </w:tcPr>
          <w:p>
            <w:pPr>
              <w:jc w:val="center"/>
              <w:ind w:left="11"/>
              <w:spacing w:after="0" w:line="176" w:lineRule="exact"/>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p>
        </w:tc>
        <w:tc>
          <w:tcPr>
            <w:tcW w:w="80" w:type="dxa"/>
            <w:vAlign w:val="bottom"/>
          </w:tcPr>
          <w:p>
            <w:pPr>
              <w:spacing w:after="0"/>
              <w:rPr>
                <w:sz w:val="15"/>
                <w:szCs w:val="15"/>
                <w:color w:val="auto"/>
              </w:rPr>
            </w:pPr>
          </w:p>
        </w:tc>
        <w:tc>
          <w:tcPr>
            <w:tcW w:w="1022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Rule 13a-14(a) Certification of the Principal Financial Officer.</w:t>
            </w:r>
          </w:p>
        </w:tc>
      </w:tr>
      <w:tr>
        <w:trPr>
          <w:trHeight w:val="20"/>
        </w:trPr>
        <w:tc>
          <w:tcPr>
            <w:tcW w:w="3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r>
      <w:tr>
        <w:trPr>
          <w:trHeight w:val="176"/>
        </w:trPr>
        <w:tc>
          <w:tcPr>
            <w:tcW w:w="940" w:type="dxa"/>
            <w:vAlign w:val="bottom"/>
            <w:gridSpan w:val="8"/>
            <w:shd w:val="clear" w:color="auto" w:fill="CCEEFF"/>
          </w:tcPr>
          <w:p>
            <w:pPr>
              <w:jc w:val="center"/>
              <w:ind w:left="11"/>
              <w:spacing w:after="0" w:line="176" w:lineRule="exact"/>
              <w:rPr>
                <w:sz w:val="20"/>
                <w:szCs w:val="20"/>
                <w:color w:val="auto"/>
              </w:rPr>
            </w:pPr>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p>
        </w:tc>
        <w:tc>
          <w:tcPr>
            <w:tcW w:w="80" w:type="dxa"/>
            <w:vAlign w:val="bottom"/>
            <w:shd w:val="clear" w:color="auto" w:fill="CCEEFF"/>
          </w:tcPr>
          <w:p>
            <w:pPr>
              <w:spacing w:after="0"/>
              <w:rPr>
                <w:sz w:val="15"/>
                <w:szCs w:val="15"/>
                <w:color w:val="auto"/>
              </w:rPr>
            </w:pPr>
          </w:p>
        </w:tc>
        <w:tc>
          <w:tcPr>
            <w:tcW w:w="1022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16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940" w:type="dxa"/>
            <w:vAlign w:val="bottom"/>
            <w:gridSpan w:val="8"/>
          </w:tcPr>
          <w:p>
            <w:pPr>
              <w:jc w:val="center"/>
              <w:spacing w:after="0" w:line="201" w:lineRule="exact"/>
              <w:rPr>
                <w:sz w:val="20"/>
                <w:szCs w:val="20"/>
                <w:color w:val="auto"/>
              </w:rPr>
            </w:pPr>
            <w:r>
              <w:rPr>
                <w:rFonts w:ascii="Arial" w:cs="Arial" w:eastAsia="Arial" w:hAnsi="Arial"/>
                <w:sz w:val="18"/>
                <w:szCs w:val="18"/>
                <w:color w:val="auto"/>
                <w:w w:val="97"/>
              </w:rPr>
              <w:t>101.INS*</w:t>
            </w:r>
          </w:p>
        </w:tc>
        <w:tc>
          <w:tcPr>
            <w:tcW w:w="80" w:type="dxa"/>
            <w:vAlign w:val="bottom"/>
          </w:tcPr>
          <w:p>
            <w:pPr>
              <w:spacing w:after="0"/>
              <w:rPr>
                <w:sz w:val="17"/>
                <w:szCs w:val="17"/>
                <w:color w:val="auto"/>
              </w:rPr>
            </w:pPr>
          </w:p>
        </w:tc>
        <w:tc>
          <w:tcPr>
            <w:tcW w:w="1022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30"/>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20" w:type="dxa"/>
            <w:vAlign w:val="bottom"/>
            <w:gridSpan w:val="2"/>
          </w:tcPr>
          <w:p>
            <w:pPr>
              <w:ind w:left="60"/>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940" w:type="dxa"/>
            <w:vAlign w:val="bottom"/>
            <w:gridSpan w:val="8"/>
            <w:shd w:val="clear" w:color="auto" w:fill="CCEEFF"/>
          </w:tcPr>
          <w:p>
            <w:pPr>
              <w:jc w:val="center"/>
              <w:ind w:left="11"/>
              <w:spacing w:after="0"/>
              <w:rPr>
                <w:sz w:val="20"/>
                <w:szCs w:val="20"/>
                <w:color w:val="auto"/>
              </w:rPr>
            </w:pPr>
            <w:r>
              <w:rPr>
                <w:rFonts w:ascii="Arial" w:cs="Arial" w:eastAsia="Arial" w:hAnsi="Arial"/>
                <w:sz w:val="18"/>
                <w:szCs w:val="18"/>
                <w:color w:val="auto"/>
                <w:w w:val="94"/>
              </w:rPr>
              <w:t>101.SCH*</w:t>
            </w:r>
          </w:p>
        </w:tc>
        <w:tc>
          <w:tcPr>
            <w:tcW w:w="8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940" w:type="dxa"/>
            <w:vAlign w:val="bottom"/>
            <w:gridSpan w:val="8"/>
          </w:tcPr>
          <w:p>
            <w:pPr>
              <w:jc w:val="center"/>
              <w:ind w:left="11"/>
              <w:spacing w:after="0"/>
              <w:rPr>
                <w:sz w:val="20"/>
                <w:szCs w:val="20"/>
                <w:color w:val="auto"/>
              </w:rPr>
            </w:pPr>
            <w:r>
              <w:rPr>
                <w:rFonts w:ascii="Arial" w:cs="Arial" w:eastAsia="Arial" w:hAnsi="Arial"/>
                <w:sz w:val="18"/>
                <w:szCs w:val="18"/>
                <w:color w:val="auto"/>
                <w:w w:val="98"/>
              </w:rPr>
              <w:t>101.CAL*</w:t>
            </w:r>
          </w:p>
        </w:tc>
        <w:tc>
          <w:tcPr>
            <w:tcW w:w="80" w:type="dxa"/>
            <w:vAlign w:val="bottom"/>
          </w:tcPr>
          <w:p>
            <w:pPr>
              <w:spacing w:after="0"/>
              <w:rPr>
                <w:sz w:val="18"/>
                <w:szCs w:val="18"/>
                <w:color w:val="auto"/>
              </w:rPr>
            </w:pPr>
          </w:p>
        </w:tc>
        <w:tc>
          <w:tcPr>
            <w:tcW w:w="10220" w:type="dxa"/>
            <w:vAlign w:val="bottom"/>
            <w:gridSpan w:val="2"/>
          </w:tcPr>
          <w:p>
            <w:pPr>
              <w:ind w:left="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94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auto"/>
                <w:w w:val="94"/>
              </w:rPr>
              <w:t>101.DEF*</w:t>
            </w:r>
          </w:p>
        </w:tc>
        <w:tc>
          <w:tcPr>
            <w:tcW w:w="8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940" w:type="dxa"/>
            <w:vAlign w:val="bottom"/>
            <w:gridSpan w:val="8"/>
          </w:tcPr>
          <w:p>
            <w:pPr>
              <w:jc w:val="center"/>
              <w:ind w:left="11"/>
              <w:spacing w:after="0"/>
              <w:rPr>
                <w:sz w:val="20"/>
                <w:szCs w:val="20"/>
                <w:color w:val="auto"/>
              </w:rPr>
            </w:pPr>
            <w:r>
              <w:rPr>
                <w:rFonts w:ascii="Arial" w:cs="Arial" w:eastAsia="Arial" w:hAnsi="Arial"/>
                <w:sz w:val="18"/>
                <w:szCs w:val="18"/>
                <w:color w:val="auto"/>
                <w:w w:val="99"/>
              </w:rPr>
              <w:t>101.LAB*</w:t>
            </w:r>
          </w:p>
        </w:tc>
        <w:tc>
          <w:tcPr>
            <w:tcW w:w="80" w:type="dxa"/>
            <w:vAlign w:val="bottom"/>
          </w:tcPr>
          <w:p>
            <w:pPr>
              <w:spacing w:after="0"/>
              <w:rPr>
                <w:sz w:val="18"/>
                <w:szCs w:val="18"/>
                <w:color w:val="auto"/>
              </w:rPr>
            </w:pPr>
          </w:p>
        </w:tc>
        <w:tc>
          <w:tcPr>
            <w:tcW w:w="10220" w:type="dxa"/>
            <w:vAlign w:val="bottom"/>
            <w:gridSpan w:val="2"/>
          </w:tcPr>
          <w:p>
            <w:pPr>
              <w:ind w:left="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94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auto"/>
                <w:w w:val="93"/>
              </w:rPr>
              <w:t>101.PRE*</w:t>
            </w:r>
          </w:p>
        </w:tc>
        <w:tc>
          <w:tcPr>
            <w:tcW w:w="8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720" w:type="dxa"/>
            <w:vAlign w:val="bottom"/>
            <w:gridSpan w:val="7"/>
          </w:tcPr>
          <w:p>
            <w:pPr>
              <w:jc w:val="center"/>
              <w:ind w:left="231"/>
              <w:spacing w:after="0"/>
              <w:rPr>
                <w:sz w:val="20"/>
                <w:szCs w:val="20"/>
                <w:color w:val="auto"/>
              </w:rPr>
            </w:pPr>
            <w:r>
              <w:rPr>
                <w:rFonts w:ascii="Arial" w:cs="Arial" w:eastAsia="Arial" w:hAnsi="Arial"/>
                <w:sz w:val="18"/>
                <w:szCs w:val="18"/>
                <w:color w:val="auto"/>
                <w:w w:val="97"/>
              </w:rPr>
              <w:t>104*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20" w:type="dxa"/>
            <w:vAlign w:val="bottom"/>
            <w:gridSpan w:val="2"/>
          </w:tcPr>
          <w:p>
            <w:pPr>
              <w:ind w:left="60"/>
              <w:spacing w:after="0"/>
              <w:rPr>
                <w:sz w:val="20"/>
                <w:szCs w:val="20"/>
                <w:color w:val="auto"/>
              </w:rPr>
            </w:pPr>
            <w:r>
              <w:rPr>
                <w:rFonts w:ascii="Arial" w:cs="Arial" w:eastAsia="Arial" w:hAnsi="Arial"/>
                <w:sz w:val="18"/>
                <w:szCs w:val="18"/>
                <w:color w:val="auto"/>
              </w:rPr>
              <w:t>Cover Page Interactive Data File (embedded within the Inline XBRL document in Exhibit 101).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FinWise Bancorp</w:t>
      </w:r>
    </w:p>
    <w:p>
      <w:pPr>
        <w:spacing w:after="0" w:line="221" w:lineRule="exact"/>
        <w:rPr>
          <w:sz w:val="20"/>
          <w:szCs w:val="20"/>
          <w:color w:val="auto"/>
        </w:rPr>
      </w:pPr>
    </w:p>
    <w:p>
      <w:pPr>
        <w:spacing w:after="0"/>
        <w:tabs>
          <w:tab w:leader="none" w:pos="5600" w:val="left"/>
          <w:tab w:leader="none" w:pos="784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Kent Landvatter</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Executive Officer)</w:t>
      </w:r>
    </w:p>
    <w:p>
      <w:pPr>
        <w:spacing w:after="0" w:line="207" w:lineRule="exact"/>
        <w:rPr>
          <w:sz w:val="20"/>
          <w:szCs w:val="20"/>
          <w:color w:val="auto"/>
        </w:rPr>
      </w:pPr>
    </w:p>
    <w:p>
      <w:pPr>
        <w:spacing w:after="0"/>
        <w:tabs>
          <w:tab w:leader="none" w:pos="5600" w:val="left"/>
          <w:tab w:leader="none" w:pos="786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b w:val="1"/>
          <w:bCs w:val="1"/>
          <w:color w:val="auto"/>
        </w:rPr>
        <w:t>/s/ Javvis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Javvis Jacobson</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2" w:right="65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FOURTH AMENDMENT TO EMPLOYMENT AGREEMENT</w:t>
      </w:r>
    </w:p>
    <w:p>
      <w:pPr>
        <w:spacing w:after="0" w:line="239" w:lineRule="exact"/>
        <w:rPr>
          <w:sz w:val="20"/>
          <w:szCs w:val="20"/>
          <w:color w:val="auto"/>
        </w:rPr>
      </w:pPr>
    </w:p>
    <w:p>
      <w:pPr>
        <w:jc w:val="both"/>
        <w:ind w:firstLine="810"/>
        <w:spacing w:after="0" w:line="235" w:lineRule="auto"/>
        <w:rPr>
          <w:sz w:val="20"/>
          <w:szCs w:val="20"/>
          <w:color w:val="auto"/>
        </w:rPr>
      </w:pPr>
      <w:r>
        <w:rPr>
          <w:rFonts w:ascii="Arial" w:cs="Arial" w:eastAsia="Arial" w:hAnsi="Arial"/>
          <w:sz w:val="22"/>
          <w:szCs w:val="22"/>
          <w:color w:val="auto"/>
        </w:rPr>
        <w:t>THIS FOURTH AMENDMENT TO EMPLOYMENT AGREEMENT (the “Amendment”) is made and entered into this 16th day of May, 2022 (the “Effective Date”), by and among FinWise Bancorp, a Utah community bank holding company ("Holding Company"), its wholly-owned subsidiary, FinWise Bank f/k/a Utah Community Bank, a Utah corporation (the “Bank”) and David Tilis, an individual ("Executive”). Holding Company, Bank and Executive are sometimes individually referred to hereafter as a “Party” and collectively referred to as the “Parties.” Capitalized terms not defined in this Amendment shall have the meaning set forth in the Employment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810"/>
        <w:spacing w:after="0" w:line="250" w:lineRule="auto"/>
        <w:rPr>
          <w:sz w:val="20"/>
          <w:szCs w:val="20"/>
          <w:color w:val="auto"/>
        </w:rPr>
      </w:pPr>
      <w:r>
        <w:rPr>
          <w:rFonts w:ascii="Arial" w:cs="Arial" w:eastAsia="Arial" w:hAnsi="Arial"/>
          <w:sz w:val="22"/>
          <w:szCs w:val="22"/>
          <w:color w:val="auto"/>
        </w:rPr>
        <w:t>WHEREAS, Executive entered into an Employment Agreement, dated January 1, 2018 (the "Agreement"), whereby Executive would be employed under the terms and subject to the conditions set forth therein;</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9"/>
          <w:szCs w:val="19"/>
          <w:color w:val="auto"/>
        </w:rPr>
        <w:t>WHEREAS, the Agreement was amended on March 14, 2022 to extend the term of the Agreement until March 31,</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2022;</w:t>
      </w:r>
    </w:p>
    <w:p>
      <w:pPr>
        <w:spacing w:after="0" w:line="215" w:lineRule="exact"/>
        <w:rPr>
          <w:sz w:val="20"/>
          <w:szCs w:val="20"/>
          <w:color w:val="auto"/>
        </w:rPr>
      </w:pPr>
    </w:p>
    <w:p>
      <w:pPr>
        <w:jc w:val="both"/>
        <w:ind w:right="20" w:firstLine="810"/>
        <w:spacing w:after="0" w:line="250" w:lineRule="auto"/>
        <w:rPr>
          <w:sz w:val="20"/>
          <w:szCs w:val="20"/>
          <w:color w:val="auto"/>
        </w:rPr>
      </w:pPr>
      <w:r>
        <w:rPr>
          <w:rFonts w:ascii="Arial" w:cs="Arial" w:eastAsia="Arial" w:hAnsi="Arial"/>
          <w:sz w:val="22"/>
          <w:szCs w:val="22"/>
          <w:color w:val="auto"/>
        </w:rPr>
        <w:t>WHEREAS, the Agreement was subsequently amended on March 31, 2022 to extend the term of the Agreement until April 30, 2022;</w:t>
      </w:r>
    </w:p>
    <w:p>
      <w:pPr>
        <w:spacing w:after="0" w:line="202" w:lineRule="exact"/>
        <w:rPr>
          <w:sz w:val="20"/>
          <w:szCs w:val="20"/>
          <w:color w:val="auto"/>
        </w:rPr>
      </w:pPr>
    </w:p>
    <w:p>
      <w:pPr>
        <w:jc w:val="both"/>
        <w:ind w:right="20" w:firstLine="810"/>
        <w:spacing w:after="0" w:line="250" w:lineRule="auto"/>
        <w:rPr>
          <w:sz w:val="20"/>
          <w:szCs w:val="20"/>
          <w:color w:val="auto"/>
        </w:rPr>
      </w:pPr>
      <w:r>
        <w:rPr>
          <w:rFonts w:ascii="Arial" w:cs="Arial" w:eastAsia="Arial" w:hAnsi="Arial"/>
          <w:sz w:val="22"/>
          <w:szCs w:val="22"/>
          <w:color w:val="auto"/>
        </w:rPr>
        <w:t>WHEREAS, the Agreement was subsequently amended on April 29, 2022 to extend the term of the Agreement until May 16, 2022; and</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9"/>
          <w:szCs w:val="19"/>
          <w:color w:val="auto"/>
        </w:rPr>
        <w:t>WHEREAS, the Parties desire to amend Section 2 of the Agreement as set forth herein to extend the term to May 31,</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2022.</w:t>
      </w:r>
    </w:p>
    <w:p>
      <w:pPr>
        <w:spacing w:after="0" w:line="215" w:lineRule="exact"/>
        <w:rPr>
          <w:sz w:val="20"/>
          <w:szCs w:val="20"/>
          <w:color w:val="auto"/>
        </w:rPr>
      </w:pPr>
    </w:p>
    <w:p>
      <w:pPr>
        <w:jc w:val="both"/>
        <w:ind w:firstLine="810"/>
        <w:spacing w:after="0"/>
        <w:rPr>
          <w:sz w:val="20"/>
          <w:szCs w:val="20"/>
          <w:color w:val="auto"/>
        </w:rPr>
      </w:pPr>
      <w:r>
        <w:rPr>
          <w:rFonts w:ascii="Arial" w:cs="Arial" w:eastAsia="Arial" w:hAnsi="Arial"/>
          <w:sz w:val="22"/>
          <w:szCs w:val="22"/>
          <w:color w:val="auto"/>
        </w:rPr>
        <w:t>NOW, THEREFORE, FOR AND IN CONSIDERATION of the mutual promises and covenants hereinafter set forth, this Amendment and for other good and valuable consideration, the receipt and adequacy of which is hereby acknowledged, the parties hereto agree to amend and confirm the Agreement as follows:</w:t>
      </w:r>
    </w:p>
    <w:p>
      <w:pPr>
        <w:spacing w:after="0" w:line="213" w:lineRule="exact"/>
        <w:rPr>
          <w:sz w:val="20"/>
          <w:szCs w:val="20"/>
          <w:color w:val="auto"/>
        </w:rPr>
      </w:pPr>
    </w:p>
    <w:p>
      <w:pPr>
        <w:ind w:left="1680" w:hanging="862"/>
        <w:spacing w:after="0"/>
        <w:tabs>
          <w:tab w:leader="none" w:pos="168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Section 2 of the Agreement is hereby amended with the following:</w:t>
      </w:r>
    </w:p>
    <w:p>
      <w:pPr>
        <w:spacing w:after="0" w:line="233" w:lineRule="exact"/>
        <w:rPr>
          <w:sz w:val="20"/>
          <w:szCs w:val="20"/>
          <w:color w:val="auto"/>
        </w:rPr>
      </w:pPr>
    </w:p>
    <w:p>
      <w:pPr>
        <w:jc w:val="both"/>
        <w:ind w:left="1620" w:firstLine="486"/>
        <w:spacing w:after="0"/>
        <w:rPr>
          <w:sz w:val="20"/>
          <w:szCs w:val="20"/>
          <w:color w:val="auto"/>
        </w:rPr>
      </w:pPr>
      <w:r>
        <w:rPr>
          <w:rFonts w:ascii="Arial" w:cs="Arial" w:eastAsia="Arial" w:hAnsi="Arial"/>
          <w:sz w:val="22"/>
          <w:szCs w:val="22"/>
          <w:color w:val="auto"/>
        </w:rPr>
        <w:t>Subject to the terms hereof the term of this agreement, Executive’s employment under this Agreement shall commence on January 1, 2018 (the “Effective Date”) and shall continue until May 31, 2022 (the “Term”) unless earlier terminated pursuant to the provisions hereof.</w:t>
      </w:r>
    </w:p>
    <w:p>
      <w:pPr>
        <w:spacing w:after="0" w:line="213"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color w:val="auto"/>
        </w:rPr>
        <w:t>2</w:t>
      </w:r>
      <w:r>
        <w:rPr>
          <w:rFonts w:ascii="Arial" w:cs="Arial" w:eastAsia="Arial" w:hAnsi="Arial"/>
          <w:sz w:val="21"/>
          <w:szCs w:val="2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This Amendment is incorporated in and supersedes all contrary terms of the Agreement and all amendments thereto with respect to the items addressed herein. Except as specifically modified by this Amendment, all other terms and provisions in the Agreement as amended, shall remain in full force and effect. The Agreement and this Amendment contain the entire understanding and agreement of the Parties related to the subject matter hereof and thereof, and supersede all prior and contemporaneous oral and written agreements or understanding with respect to the subject matter hereof and thereof. In the event of any conflict between the provisions of this Amendment and the provisions of the Agreement, this Amendment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2" w:name="page63"/>
    <w:bookmarkEnd w:id="62"/>
    <w:p>
      <w:pPr>
        <w:ind w:firstLine="810"/>
        <w:spacing w:after="0" w:line="342" w:lineRule="auto"/>
        <w:rPr>
          <w:sz w:val="20"/>
          <w:szCs w:val="20"/>
          <w:color w:val="auto"/>
        </w:rPr>
      </w:pPr>
      <w:r>
        <w:rPr>
          <w:rFonts w:ascii="Arial" w:cs="Arial" w:eastAsia="Arial" w:hAnsi="Arial"/>
          <w:sz w:val="16"/>
          <w:szCs w:val="16"/>
          <w:color w:val="auto"/>
        </w:rPr>
        <w:t>3</w:t>
      </w:r>
      <w:r>
        <w:rPr>
          <w:rFonts w:ascii="Arial" w:cs="Arial" w:eastAsia="Arial" w:hAnsi="Arial"/>
          <w:sz w:val="19"/>
          <w:szCs w:val="19"/>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Miscellaneous</w:t>
      </w:r>
      <w:r>
        <w:rPr>
          <w:rFonts w:ascii="Arial" w:cs="Arial" w:eastAsia="Arial" w:hAnsi="Arial"/>
          <w:sz w:val="16"/>
          <w:szCs w:val="16"/>
          <w:color w:val="auto"/>
        </w:rPr>
        <w:t>. Each party represents and warrants that it has the power and authority to execute this Amendment. This Amendment may be signed in counterpart or duplicate copies, and any signed counterpart or duplicate copy shall be equivalent to a signed original for all purposes.</w:t>
      </w:r>
    </w:p>
    <w:p>
      <w:pPr>
        <w:spacing w:after="0" w:line="129" w:lineRule="exact"/>
        <w:rPr>
          <w:sz w:val="20"/>
          <w:szCs w:val="20"/>
          <w:color w:val="auto"/>
        </w:rPr>
      </w:pPr>
    </w:p>
    <w:p>
      <w:pPr>
        <w:ind w:right="200" w:firstLine="810"/>
        <w:spacing w:after="0" w:line="250" w:lineRule="auto"/>
        <w:rPr>
          <w:sz w:val="20"/>
          <w:szCs w:val="20"/>
          <w:color w:val="auto"/>
        </w:rPr>
      </w:pPr>
      <w:r>
        <w:rPr>
          <w:rFonts w:ascii="Arial" w:cs="Arial" w:eastAsia="Arial" w:hAnsi="Arial"/>
          <w:sz w:val="22"/>
          <w:szCs w:val="22"/>
          <w:color w:val="auto"/>
        </w:rPr>
        <w:t>IN WITNESS WHEREOF, Holding Company, Bank and Executive have hereto caused this Agreement to be executed on or as of the day and year above first written.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4"/>
          </w:tcPr>
          <w:p>
            <w:pPr>
              <w:spacing w:after="0"/>
              <w:rPr>
                <w:sz w:val="20"/>
                <w:szCs w:val="20"/>
                <w:color w:val="auto"/>
              </w:rPr>
            </w:pPr>
            <w:r>
              <w:rPr>
                <w:rFonts w:ascii="Arial" w:cs="Arial" w:eastAsia="Arial" w:hAnsi="Arial"/>
                <w:sz w:val="18"/>
                <w:szCs w:val="18"/>
                <w:b w:val="1"/>
                <w:bCs w:val="1"/>
                <w:color w:val="auto"/>
              </w:rPr>
              <w:t>EXECUTIVE:</w:t>
            </w:r>
          </w:p>
        </w:tc>
        <w:tc>
          <w:tcPr>
            <w:tcW w:w="6740" w:type="dxa"/>
            <w:vAlign w:val="bottom"/>
            <w:gridSpan w:val="4"/>
          </w:tcPr>
          <w:p>
            <w:pPr>
              <w:ind w:left="1140"/>
              <w:spacing w:after="0"/>
              <w:rPr>
                <w:sz w:val="20"/>
                <w:szCs w:val="20"/>
                <w:color w:val="auto"/>
              </w:rPr>
            </w:pPr>
            <w:r>
              <w:rPr>
                <w:rFonts w:ascii="Arial" w:cs="Arial" w:eastAsia="Arial" w:hAnsi="Arial"/>
                <w:sz w:val="18"/>
                <w:szCs w:val="18"/>
                <w:b w:val="1"/>
                <w:bCs w:val="1"/>
                <w:color w:val="auto"/>
              </w:rPr>
              <w:t>HOLDING COMPANY:</w:t>
            </w:r>
          </w:p>
        </w:tc>
      </w:tr>
      <w:tr>
        <w:trPr>
          <w:trHeight w:val="20"/>
        </w:trPr>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740" w:type="dxa"/>
            <w:vAlign w:val="bottom"/>
            <w:gridSpan w:val="4"/>
          </w:tcPr>
          <w:p>
            <w:pPr>
              <w:ind w:left="1140"/>
              <w:spacing w:after="0"/>
              <w:rPr>
                <w:sz w:val="20"/>
                <w:szCs w:val="20"/>
                <w:color w:val="auto"/>
              </w:rPr>
            </w:pPr>
            <w:r>
              <w:rPr>
                <w:rFonts w:ascii="Arial" w:cs="Arial" w:eastAsia="Arial" w:hAnsi="Arial"/>
                <w:sz w:val="18"/>
                <w:szCs w:val="18"/>
                <w:b w:val="1"/>
                <w:bCs w:val="1"/>
                <w:color w:val="auto"/>
              </w:rPr>
              <w:t>FinWise Bancorp, a Utah bank holding company</w:t>
            </w:r>
          </w:p>
        </w:tc>
      </w:tr>
      <w:tr>
        <w:trPr>
          <w:trHeight w:val="452"/>
        </w:trPr>
        <w:tc>
          <w:tcPr>
            <w:tcW w:w="45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David Tilis</w:t>
            </w:r>
          </w:p>
        </w:tc>
        <w:tc>
          <w:tcPr>
            <w:tcW w:w="6740" w:type="dxa"/>
            <w:vAlign w:val="bottom"/>
            <w:gridSpan w:val="4"/>
          </w:tcPr>
          <w:p>
            <w:pPr>
              <w:ind w:left="1140"/>
              <w:spacing w:after="0"/>
              <w:rPr>
                <w:sz w:val="20"/>
                <w:szCs w:val="20"/>
                <w:color w:val="auto"/>
              </w:rPr>
            </w:pPr>
            <w:r>
              <w:rPr>
                <w:rFonts w:ascii="Arial" w:cs="Arial" w:eastAsia="Arial" w:hAnsi="Arial"/>
                <w:sz w:val="18"/>
                <w:szCs w:val="18"/>
                <w:color w:val="auto"/>
              </w:rPr>
              <w:t>By: /s/ Kent R. Landvatter</w:t>
            </w:r>
          </w:p>
        </w:tc>
      </w:tr>
      <w:tr>
        <w:trPr>
          <w:trHeight w:val="230"/>
        </w:trPr>
        <w:tc>
          <w:tcPr>
            <w:tcW w:w="45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David Tilis</w:t>
            </w:r>
          </w:p>
        </w:tc>
        <w:tc>
          <w:tcPr>
            <w:tcW w:w="146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Its:</w:t>
            </w:r>
          </w:p>
        </w:tc>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President</w:t>
            </w:r>
          </w:p>
        </w:tc>
      </w:tr>
      <w:tr>
        <w:trPr>
          <w:trHeight w:val="404"/>
        </w:trPr>
        <w:tc>
          <w:tcPr>
            <w:tcW w:w="4500" w:type="dxa"/>
            <w:vAlign w:val="bottom"/>
            <w:gridSpan w:val="4"/>
          </w:tcPr>
          <w:p>
            <w:pPr>
              <w:spacing w:after="0"/>
              <w:rPr>
                <w:sz w:val="20"/>
                <w:szCs w:val="20"/>
                <w:color w:val="auto"/>
              </w:rPr>
            </w:pPr>
            <w:r>
              <w:rPr>
                <w:rFonts w:ascii="Arial" w:cs="Arial" w:eastAsia="Arial" w:hAnsi="Arial"/>
                <w:sz w:val="18"/>
                <w:szCs w:val="18"/>
                <w:b w:val="1"/>
                <w:bCs w:val="1"/>
                <w:color w:val="auto"/>
              </w:rPr>
              <w:t>BANK:</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37"/>
        </w:trPr>
        <w:tc>
          <w:tcPr>
            <w:tcW w:w="4500" w:type="dxa"/>
            <w:vAlign w:val="bottom"/>
            <w:gridSpan w:val="4"/>
          </w:tcPr>
          <w:p>
            <w:pPr>
              <w:spacing w:after="0"/>
              <w:rPr>
                <w:sz w:val="20"/>
                <w:szCs w:val="20"/>
                <w:color w:val="auto"/>
              </w:rPr>
            </w:pPr>
            <w:r>
              <w:rPr>
                <w:rFonts w:ascii="Arial" w:cs="Arial" w:eastAsia="Arial" w:hAnsi="Arial"/>
                <w:sz w:val="18"/>
                <w:szCs w:val="18"/>
                <w:b w:val="1"/>
                <w:bCs w:val="1"/>
                <w:color w:val="auto"/>
              </w:rPr>
              <w:t>FinWise Bank, a Utah community bank</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52"/>
        </w:trPr>
        <w:tc>
          <w:tcPr>
            <w:tcW w:w="4500" w:type="dxa"/>
            <w:vAlign w:val="bottom"/>
            <w:gridSpan w:val="4"/>
          </w:tcPr>
          <w:p>
            <w:pPr>
              <w:spacing w:after="0"/>
              <w:rPr>
                <w:sz w:val="20"/>
                <w:szCs w:val="20"/>
                <w:color w:val="auto"/>
              </w:rPr>
            </w:pPr>
            <w:r>
              <w:rPr>
                <w:rFonts w:ascii="Arial" w:cs="Arial" w:eastAsia="Arial" w:hAnsi="Arial"/>
                <w:sz w:val="18"/>
                <w:szCs w:val="18"/>
                <w:color w:val="auto"/>
              </w:rPr>
              <w:t>By: /s/ Kent R. Landvatter</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30"/>
        </w:trPr>
        <w:tc>
          <w:tcPr>
            <w:tcW w:w="340" w:type="dxa"/>
            <w:vAlign w:val="bottom"/>
          </w:tcPr>
          <w:p>
            <w:pPr>
              <w:spacing w:after="0" w:line="202" w:lineRule="exact"/>
              <w:rPr>
                <w:sz w:val="20"/>
                <w:szCs w:val="20"/>
                <w:color w:val="auto"/>
              </w:rPr>
            </w:pPr>
            <w:r>
              <w:rPr>
                <w:rFonts w:ascii="Arial" w:cs="Arial" w:eastAsia="Arial" w:hAnsi="Arial"/>
                <w:sz w:val="18"/>
                <w:szCs w:val="18"/>
                <w:color w:val="auto"/>
              </w:rPr>
              <w:t>Its:</w:t>
            </w:r>
          </w:p>
        </w:tc>
        <w:tc>
          <w:tcPr>
            <w:tcW w:w="4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President</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587"/>
        </w:trPr>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63" w:name="page64"/>
    <w:bookmarkEnd w:id="63"/>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FIFTH AMENDMENT TO EMPLOYMENT AGREEMENT</w:t>
      </w:r>
    </w:p>
    <w:p>
      <w:pPr>
        <w:spacing w:after="0" w:line="239" w:lineRule="exact"/>
        <w:rPr>
          <w:sz w:val="20"/>
          <w:szCs w:val="20"/>
          <w:color w:val="auto"/>
        </w:rPr>
      </w:pPr>
    </w:p>
    <w:p>
      <w:pPr>
        <w:jc w:val="both"/>
        <w:ind w:firstLine="810"/>
        <w:spacing w:after="0" w:line="235" w:lineRule="auto"/>
        <w:rPr>
          <w:sz w:val="20"/>
          <w:szCs w:val="20"/>
          <w:color w:val="auto"/>
        </w:rPr>
      </w:pPr>
      <w:r>
        <w:rPr>
          <w:rFonts w:ascii="Arial" w:cs="Arial" w:eastAsia="Arial" w:hAnsi="Arial"/>
          <w:sz w:val="22"/>
          <w:szCs w:val="22"/>
          <w:color w:val="auto"/>
        </w:rPr>
        <w:t>THIS FIFTH AMENDMENT TO EMPLOYMENT AGREEMENT (the “Amendment”) is made and entered into this 27th day of May, 2022 (the “Effective Date”), by and among FinWise Bancorp, a Utah community bank holding company ("Holding Company"), its wholly-owned subsidiary, FinWise Bank f/k/a Utah Community Bank, a Utah corporation (the “Bank”) and David Tilis, an individual ("Executive”). Holding Company, Bank and Executive are sometimes individually referred to hereafter as a “Party” and collectively referred to as the “Parties.” Capitalized terms not defined in this Amendment shall have the meaning set forth in the Employment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810"/>
        <w:spacing w:after="0" w:line="250" w:lineRule="auto"/>
        <w:rPr>
          <w:sz w:val="20"/>
          <w:szCs w:val="20"/>
          <w:color w:val="auto"/>
        </w:rPr>
      </w:pPr>
      <w:r>
        <w:rPr>
          <w:rFonts w:ascii="Arial" w:cs="Arial" w:eastAsia="Arial" w:hAnsi="Arial"/>
          <w:sz w:val="22"/>
          <w:szCs w:val="22"/>
          <w:color w:val="auto"/>
        </w:rPr>
        <w:t>WHEREAS, Executive entered into an Employment Agreement, dated January 1, 2018 (the "Agreement"), whereby Executive would be employed under the terms and subject to the conditions set forth therein;</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9"/>
          <w:szCs w:val="19"/>
          <w:color w:val="auto"/>
        </w:rPr>
        <w:t>WHEREAS, the Agreement was amended on March 14, 2022 to extend the term of the Agreement until March 31,</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2022;</w:t>
      </w:r>
    </w:p>
    <w:p>
      <w:pPr>
        <w:spacing w:after="0" w:line="215" w:lineRule="exact"/>
        <w:rPr>
          <w:sz w:val="20"/>
          <w:szCs w:val="20"/>
          <w:color w:val="auto"/>
        </w:rPr>
      </w:pPr>
    </w:p>
    <w:p>
      <w:pPr>
        <w:jc w:val="both"/>
        <w:ind w:right="20" w:firstLine="810"/>
        <w:spacing w:after="0" w:line="250" w:lineRule="auto"/>
        <w:rPr>
          <w:sz w:val="20"/>
          <w:szCs w:val="20"/>
          <w:color w:val="auto"/>
        </w:rPr>
      </w:pPr>
      <w:r>
        <w:rPr>
          <w:rFonts w:ascii="Arial" w:cs="Arial" w:eastAsia="Arial" w:hAnsi="Arial"/>
          <w:sz w:val="22"/>
          <w:szCs w:val="22"/>
          <w:color w:val="auto"/>
        </w:rPr>
        <w:t>WHEREAS, the Agreement was subsequently amended on March 31, 2022 to extend the term of the Agreement until April 30, 2022;</w:t>
      </w:r>
    </w:p>
    <w:p>
      <w:pPr>
        <w:spacing w:after="0" w:line="202" w:lineRule="exact"/>
        <w:rPr>
          <w:sz w:val="20"/>
          <w:szCs w:val="20"/>
          <w:color w:val="auto"/>
        </w:rPr>
      </w:pPr>
    </w:p>
    <w:p>
      <w:pPr>
        <w:jc w:val="both"/>
        <w:ind w:right="20" w:firstLine="810"/>
        <w:spacing w:after="0" w:line="250" w:lineRule="auto"/>
        <w:rPr>
          <w:sz w:val="20"/>
          <w:szCs w:val="20"/>
          <w:color w:val="auto"/>
        </w:rPr>
      </w:pPr>
      <w:r>
        <w:rPr>
          <w:rFonts w:ascii="Arial" w:cs="Arial" w:eastAsia="Arial" w:hAnsi="Arial"/>
          <w:sz w:val="22"/>
          <w:szCs w:val="22"/>
          <w:color w:val="auto"/>
        </w:rPr>
        <w:t>WHEREAS, the Agreement was subsequently amended on April 29, 2022 to extend the term of the Agreement until May 16, 2022;</w:t>
      </w:r>
    </w:p>
    <w:p>
      <w:pPr>
        <w:spacing w:after="0" w:line="202" w:lineRule="exact"/>
        <w:rPr>
          <w:sz w:val="20"/>
          <w:szCs w:val="20"/>
          <w:color w:val="auto"/>
        </w:rPr>
      </w:pPr>
    </w:p>
    <w:p>
      <w:pPr>
        <w:jc w:val="both"/>
        <w:ind w:firstLine="810"/>
        <w:spacing w:after="0" w:line="250" w:lineRule="auto"/>
        <w:rPr>
          <w:sz w:val="20"/>
          <w:szCs w:val="20"/>
          <w:color w:val="auto"/>
        </w:rPr>
      </w:pPr>
      <w:r>
        <w:rPr>
          <w:rFonts w:ascii="Arial" w:cs="Arial" w:eastAsia="Arial" w:hAnsi="Arial"/>
          <w:sz w:val="22"/>
          <w:szCs w:val="22"/>
          <w:color w:val="auto"/>
        </w:rPr>
        <w:t>WHEREAS, the Agreement was subsequently amended on May 16, 2022 to extend the term of the Agreement until May 31, 2022; and</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9"/>
          <w:szCs w:val="19"/>
          <w:color w:val="auto"/>
        </w:rPr>
        <w:t>WHEREAS, the Parties desire to amend Section 2 of the Agreement as set forth herein to extend the term to June 15,</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2022.</w:t>
      </w:r>
    </w:p>
    <w:p>
      <w:pPr>
        <w:spacing w:after="0" w:line="215" w:lineRule="exact"/>
        <w:rPr>
          <w:sz w:val="20"/>
          <w:szCs w:val="20"/>
          <w:color w:val="auto"/>
        </w:rPr>
      </w:pPr>
    </w:p>
    <w:p>
      <w:pPr>
        <w:jc w:val="both"/>
        <w:ind w:firstLine="810"/>
        <w:spacing w:after="0"/>
        <w:rPr>
          <w:sz w:val="20"/>
          <w:szCs w:val="20"/>
          <w:color w:val="auto"/>
        </w:rPr>
      </w:pPr>
      <w:r>
        <w:rPr>
          <w:rFonts w:ascii="Arial" w:cs="Arial" w:eastAsia="Arial" w:hAnsi="Arial"/>
          <w:sz w:val="22"/>
          <w:szCs w:val="22"/>
          <w:color w:val="auto"/>
        </w:rPr>
        <w:t>NOW, THEREFORE, FOR AND IN CONSIDERATION of the mutual promises and covenants hereinafter set forth, this Amendment and for other good and valuable consideration, the receipt and adequacy of which is hereby acknowledged, the parties hereto agree to amend and confirm the Agreement as follows:</w:t>
      </w:r>
    </w:p>
    <w:p>
      <w:pPr>
        <w:spacing w:after="0" w:line="247" w:lineRule="exact"/>
        <w:rPr>
          <w:sz w:val="20"/>
          <w:szCs w:val="20"/>
          <w:color w:val="auto"/>
        </w:rPr>
      </w:pPr>
    </w:p>
    <w:p>
      <w:pPr>
        <w:ind w:left="1440" w:hanging="622"/>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Section 2 of the Agreement is hereby amended with the following:</w:t>
      </w:r>
    </w:p>
    <w:p>
      <w:pPr>
        <w:spacing w:after="0" w:line="245" w:lineRule="exact"/>
        <w:rPr>
          <w:sz w:val="20"/>
          <w:szCs w:val="20"/>
          <w:color w:val="auto"/>
        </w:rPr>
      </w:pPr>
    </w:p>
    <w:p>
      <w:pPr>
        <w:jc w:val="both"/>
        <w:ind w:left="1460" w:firstLine="486"/>
        <w:spacing w:after="0"/>
        <w:rPr>
          <w:sz w:val="20"/>
          <w:szCs w:val="20"/>
          <w:color w:val="auto"/>
        </w:rPr>
      </w:pPr>
      <w:r>
        <w:rPr>
          <w:rFonts w:ascii="Arial" w:cs="Arial" w:eastAsia="Arial" w:hAnsi="Arial"/>
          <w:sz w:val="22"/>
          <w:szCs w:val="22"/>
          <w:color w:val="auto"/>
        </w:rPr>
        <w:t>Subject to the terms hereof the term of this agreement, Executive’s employment under this Agreement shall commence on January 1, 2018 (the “Effective Date”) and shall continue until June 15, 2022 (the “Term”) unless earlier terminated pursuant to the provisions hereof.</w:t>
      </w:r>
    </w:p>
    <w:p>
      <w:pPr>
        <w:spacing w:after="0" w:line="213" w:lineRule="exact"/>
        <w:rPr>
          <w:sz w:val="20"/>
          <w:szCs w:val="20"/>
          <w:color w:val="auto"/>
        </w:rPr>
      </w:pPr>
    </w:p>
    <w:p>
      <w:pPr>
        <w:jc w:val="both"/>
        <w:ind w:firstLine="818"/>
        <w:spacing w:after="0" w:line="234" w:lineRule="auto"/>
        <w:tabs>
          <w:tab w:leader="none" w:pos="1566"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Effect of Amendment</w:t>
      </w:r>
      <w:r>
        <w:rPr>
          <w:rFonts w:ascii="Arial" w:cs="Arial" w:eastAsia="Arial" w:hAnsi="Arial"/>
          <w:sz w:val="22"/>
          <w:szCs w:val="22"/>
          <w:color w:val="auto"/>
        </w:rPr>
        <w:t>. This Amendment is incorporated in and supersedes all contrary terms of the Agreement and all amendments thereto with respect to the items addressed herein. Except as specifically modified by this Amendment, all other terms and provisions in the Agreement as amended, shall remain in full force and effect. The Agreement and this Amendment contain the entire understanding and agreement of the Parties related to the subject matter hereof and thereof, and supersede all prior and contemporaneous oral and written agreements or understanding with respect to the subject matter hereof and thereof. In the event of any conflict between the provisions of this Amendment and the provisions of the Agreement, this Amendment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4" w:name="page65"/>
    <w:bookmarkEnd w:id="64"/>
    <w:p>
      <w:pPr>
        <w:jc w:val="both"/>
        <w:ind w:firstLine="818"/>
        <w:spacing w:after="0" w:line="241" w:lineRule="auto"/>
        <w:tabs>
          <w:tab w:leader="none" w:pos="202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Each party represents and warrants that it has the power and authority to execute this Amendment. This Amendment may be signed in counterpart or duplicate copies, and any signed counterpart or duplicate copy shall be equivalent to a signed original for all purposes.</w:t>
      </w:r>
    </w:p>
    <w:p>
      <w:pPr>
        <w:spacing w:after="0" w:line="210" w:lineRule="exact"/>
        <w:rPr>
          <w:sz w:val="20"/>
          <w:szCs w:val="20"/>
          <w:color w:val="auto"/>
        </w:rPr>
      </w:pPr>
    </w:p>
    <w:p>
      <w:pPr>
        <w:ind w:right="200" w:firstLine="810"/>
        <w:spacing w:after="0" w:line="250" w:lineRule="auto"/>
        <w:rPr>
          <w:sz w:val="20"/>
          <w:szCs w:val="20"/>
          <w:color w:val="auto"/>
        </w:rPr>
      </w:pPr>
      <w:r>
        <w:rPr>
          <w:rFonts w:ascii="Arial" w:cs="Arial" w:eastAsia="Arial" w:hAnsi="Arial"/>
          <w:sz w:val="22"/>
          <w:szCs w:val="22"/>
          <w:color w:val="auto"/>
        </w:rPr>
        <w:t>IN WITNESS WHEREOF, Holding Company, Bank and Executive have hereto caused this Agreement to be executed on or as of the day and year above first written.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EXECUTIVE:</w:t>
            </w:r>
          </w:p>
        </w:tc>
        <w:tc>
          <w:tcPr>
            <w:tcW w:w="1140" w:type="dxa"/>
            <w:vAlign w:val="bottom"/>
          </w:tcPr>
          <w:p>
            <w:pPr>
              <w:spacing w:after="0"/>
              <w:rPr>
                <w:sz w:val="17"/>
                <w:szCs w:val="17"/>
                <w:color w:val="auto"/>
              </w:rPr>
            </w:pPr>
          </w:p>
        </w:tc>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HOLDING COMPANY:</w:t>
            </w: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3"/>
          </w:tcPr>
          <w:p>
            <w:pPr>
              <w:spacing w:after="0"/>
              <w:rPr>
                <w:sz w:val="20"/>
                <w:szCs w:val="20"/>
                <w:color w:val="auto"/>
              </w:rPr>
            </w:pPr>
            <w:r>
              <w:rPr>
                <w:rFonts w:ascii="Arial" w:cs="Arial" w:eastAsia="Arial" w:hAnsi="Arial"/>
                <w:sz w:val="18"/>
                <w:szCs w:val="18"/>
                <w:b w:val="1"/>
                <w:bCs w:val="1"/>
                <w:color w:val="auto"/>
              </w:rPr>
              <w:t>FinWise Bancorp, a Utah bank holding company</w:t>
            </w:r>
          </w:p>
        </w:tc>
      </w:tr>
      <w:tr>
        <w:trPr>
          <w:trHeight w:val="452"/>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David Tilis</w:t>
            </w:r>
          </w:p>
        </w:tc>
        <w:tc>
          <w:tcPr>
            <w:tcW w:w="114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By: /s/ Fred Healey</w:t>
            </w:r>
          </w:p>
        </w:tc>
      </w:tr>
      <w:tr>
        <w:trPr>
          <w:trHeight w:val="230"/>
        </w:trPr>
        <w:tc>
          <w:tcPr>
            <w:tcW w:w="45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David Tilis</w:t>
            </w:r>
          </w:p>
        </w:tc>
        <w:tc>
          <w:tcPr>
            <w:tcW w:w="1140" w:type="dxa"/>
            <w:vAlign w:val="bottom"/>
          </w:tcPr>
          <w:p>
            <w:pPr>
              <w:spacing w:after="0"/>
              <w:rPr>
                <w:sz w:val="20"/>
                <w:szCs w:val="20"/>
                <w:color w:val="auto"/>
              </w:rPr>
            </w:pPr>
          </w:p>
        </w:tc>
        <w:tc>
          <w:tcPr>
            <w:tcW w:w="320" w:type="dxa"/>
            <w:vAlign w:val="bottom"/>
          </w:tcPr>
          <w:p>
            <w:pPr>
              <w:spacing w:after="0" w:line="202" w:lineRule="exact"/>
              <w:rPr>
                <w:sz w:val="20"/>
                <w:szCs w:val="20"/>
                <w:color w:val="auto"/>
              </w:rPr>
            </w:pPr>
            <w:r>
              <w:rPr>
                <w:rFonts w:ascii="Arial" w:cs="Arial" w:eastAsia="Arial" w:hAnsi="Arial"/>
                <w:sz w:val="18"/>
                <w:szCs w:val="18"/>
                <w:color w:val="auto"/>
              </w:rPr>
              <w:t>Its:</w:t>
            </w:r>
          </w:p>
        </w:tc>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Chairman</w:t>
            </w:r>
          </w:p>
        </w:tc>
      </w:tr>
      <w:tr>
        <w:trPr>
          <w:trHeight w:val="40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BANK:</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37"/>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FinWise Bank, a Utah community bank</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452"/>
        </w:trPr>
        <w:tc>
          <w:tcPr>
            <w:tcW w:w="4500" w:type="dxa"/>
            <w:vAlign w:val="bottom"/>
            <w:gridSpan w:val="3"/>
          </w:tcPr>
          <w:p>
            <w:pPr>
              <w:spacing w:after="0"/>
              <w:rPr>
                <w:sz w:val="20"/>
                <w:szCs w:val="20"/>
                <w:color w:val="auto"/>
              </w:rPr>
            </w:pPr>
            <w:r>
              <w:rPr>
                <w:rFonts w:ascii="Arial" w:cs="Arial" w:eastAsia="Arial" w:hAnsi="Arial"/>
                <w:sz w:val="18"/>
                <w:szCs w:val="18"/>
                <w:color w:val="auto"/>
              </w:rPr>
              <w:t>By: /s/ Fred Healey</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30"/>
        </w:trPr>
        <w:tc>
          <w:tcPr>
            <w:tcW w:w="340" w:type="dxa"/>
            <w:vAlign w:val="bottom"/>
          </w:tcPr>
          <w:p>
            <w:pPr>
              <w:spacing w:after="0" w:line="202" w:lineRule="exact"/>
              <w:rPr>
                <w:sz w:val="20"/>
                <w:szCs w:val="20"/>
                <w:color w:val="auto"/>
              </w:rPr>
            </w:pPr>
            <w:r>
              <w:rPr>
                <w:rFonts w:ascii="Arial" w:cs="Arial" w:eastAsia="Arial" w:hAnsi="Arial"/>
                <w:sz w:val="18"/>
                <w:szCs w:val="18"/>
                <w:color w:val="auto"/>
              </w:rPr>
              <w:t>Its:</w:t>
            </w:r>
          </w:p>
        </w:tc>
        <w:tc>
          <w:tcPr>
            <w:tcW w:w="4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Chairman</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587"/>
        </w:trPr>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Kent Landvatter, certify that:</w:t>
      </w:r>
    </w:p>
    <w:p>
      <w:pPr>
        <w:spacing w:after="0" w:line="240"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FinWise Bancorp;</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Kent Landvatter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Javvis Jacobson, certify that:</w:t>
      </w:r>
    </w:p>
    <w:p>
      <w:pPr>
        <w:spacing w:after="0" w:line="13"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FinWise Bancorp;</w:t>
      </w:r>
    </w:p>
    <w:p>
      <w:pPr>
        <w:spacing w:after="0" w:line="236"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Javvis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3515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Javvis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ind w:left="340" w:right="2700"/>
        <w:spacing w:after="0" w:line="243"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FinWise Bancorp (the “Company”) on Form 10-Q for the period ended June 30, 2022,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219"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foregoing certification is being furnished solely pursuant to the requirements of 18 U.S.C. § 1350 and is not being filed as a part of the Report or as a separate disclosure document.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Kent Landvatter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2613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32613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Kent Landvatter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Javvis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34327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Javvis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upperLetter"/>
      <w:start w:val="68"/>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2"/>
    </w:lvl>
  </w:abstractNum>
  <w:abstractNum w:abstractNumId="17">
    <w:nsid w:val="257130A3"/>
    <w:multiLevelType w:val="hybridMultilevel"/>
    <w:lvl w:ilvl="0">
      <w:lvlJc w:val="left"/>
      <w:lvlText w:val="%1."/>
      <w:numFmt w:val="decimal"/>
      <w:start w:val="3"/>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64" Type="http://schemas.openxmlformats.org/officeDocument/2006/relationships/hyperlink" Target="https://www.sec.gov/Archives/edgar/data/1856365/000114036121026281/nt10024103x7_ex3-1.htm" TargetMode="External"/><Relationship Id="rId65" Type="http://schemas.openxmlformats.org/officeDocument/2006/relationships/hyperlink" Target="https://www.sec.gov/Archives/edgar/data/1856365/000114036121026281/nt10024103x7_ex3-2.htm" TargetMode="External"/><Relationship Id="rId66" Type="http://schemas.openxmlformats.org/officeDocument/2006/relationships/hyperlink" Target="https://www.sec.gov/Archives/edgar/data/1856365/000114036121024467/nt10024103x6_ex4-1.htm" TargetMode="External"/><Relationship Id="rId67" Type="http://schemas.openxmlformats.org/officeDocument/2006/relationships/hyperlink" Target="https://www.sec.gov/Archives/edgar/data/1856365/000114036122023845/brhc10039007_ex10-1.htm" TargetMode="External"/><Relationship Id="rId68" Type="http://schemas.openxmlformats.org/officeDocument/2006/relationships/hyperlink" Target="https://www.sec.gov/Archives/edgar/data/1856365/000114036122020259/brhc10037971_ex10-1.htm" TargetMode="External"/><Relationship Id="rId69" Type="http://schemas.openxmlformats.org/officeDocument/2006/relationships/hyperlink" Target="https://www.sec.gov/Archives/edgar/data/1856365/000114036122022905/brhc10038736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2022-08-15T16:30:23Z</dcterms:created>
  <dcterms:modified xsi:type="dcterms:W3CDTF">2022-08-15T16:30:23Z</dcterms:modified>
</cp:coreProperties>
</file>