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132715</wp:posOffset>
            </wp:positionV>
            <wp:extent cx="12858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161290</wp:posOffset>
            </wp:positionV>
            <wp:extent cx="12858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20" w:right="1780" w:hanging="3812"/>
        <w:spacing w:after="0" w:line="493" w:lineRule="auto"/>
        <w:tabs>
          <w:tab w:leader="none" w:pos="3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80"/>
        <w:spacing w:after="0"/>
        <w:tabs>
          <w:tab w:leader="none" w:pos="674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3804920</wp:posOffset>
            </wp:positionH>
            <wp:positionV relativeFrom="paragraph">
              <wp:posOffset>-7620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154305</wp:posOffset>
            </wp:positionV>
            <wp:extent cx="12858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FINWISE BANCORP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141605</wp:posOffset>
            </wp:positionV>
            <wp:extent cx="12858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4"/>
              </w:rPr>
              <w:t>Utah</w:t>
            </w:r>
          </w:p>
        </w:tc>
        <w:tc>
          <w:tcPr>
            <w:tcW w:w="3120" w:type="dxa"/>
            <w:vAlign w:val="bottom"/>
          </w:tcPr>
          <w:p>
            <w:pPr>
              <w:jc w:val="right"/>
              <w:ind w:right="190"/>
              <w:spacing w:after="0"/>
              <w:rPr>
                <w:sz w:val="20"/>
                <w:szCs w:val="20"/>
                <w:color w:val="auto"/>
              </w:rPr>
            </w:pPr>
            <w:r>
              <w:rPr>
                <w:rFonts w:ascii="Arial" w:cs="Arial" w:eastAsia="Arial" w:hAnsi="Arial"/>
                <w:sz w:val="18"/>
                <w:szCs w:val="18"/>
                <w:b w:val="1"/>
                <w:bCs w:val="1"/>
                <w:color w:val="auto"/>
              </w:rPr>
              <w:t>83-0356689</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(State or other jurisdiction of</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4"/>
              </w:rPr>
              <w:t>(I.R.S. Employer</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incorporation or organization)</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Identification No.)</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89"/>
              </w:rPr>
              <w:t>756 East Winchester, Suite 100</w:t>
            </w:r>
          </w:p>
        </w:tc>
        <w:tc>
          <w:tcPr>
            <w:tcW w:w="3120" w:type="dxa"/>
            <w:vAlign w:val="bottom"/>
          </w:tcPr>
          <w:p>
            <w:pPr>
              <w:spacing w:after="0"/>
              <w:rPr>
                <w:sz w:val="18"/>
                <w:szCs w:val="18"/>
                <w:color w:val="auto"/>
              </w:rPr>
            </w:pP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8"/>
              </w:rPr>
              <w:t>Murray, Utah</w:t>
            </w:r>
          </w:p>
        </w:tc>
        <w:tc>
          <w:tcPr>
            <w:tcW w:w="3120" w:type="dxa"/>
            <w:vAlign w:val="bottom"/>
          </w:tcPr>
          <w:p>
            <w:pPr>
              <w:jc w:val="right"/>
              <w:ind w:right="390"/>
              <w:spacing w:after="0"/>
              <w:rPr>
                <w:sz w:val="20"/>
                <w:szCs w:val="20"/>
                <w:color w:val="auto"/>
              </w:rPr>
            </w:pPr>
            <w:r>
              <w:rPr>
                <w:rFonts w:ascii="Arial" w:cs="Arial" w:eastAsia="Arial" w:hAnsi="Arial"/>
                <w:sz w:val="18"/>
                <w:szCs w:val="18"/>
                <w:b w:val="1"/>
                <w:bCs w:val="1"/>
                <w:color w:val="auto"/>
              </w:rPr>
              <w:t>84107</w:t>
            </w:r>
          </w:p>
        </w:tc>
      </w:tr>
      <w:tr>
        <w:trPr>
          <w:trHeight w:val="234"/>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(801) 501-7200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154305</wp:posOffset>
            </wp:positionV>
            <wp:extent cx="12858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ind w:left="52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Trading</w:t>
            </w:r>
          </w:p>
        </w:tc>
        <w:tc>
          <w:tcPr>
            <w:tcW w:w="5060" w:type="dxa"/>
            <w:vAlign w:val="bottom"/>
          </w:tcPr>
          <w:p>
            <w:pPr>
              <w:spacing w:after="0"/>
              <w:rPr>
                <w:sz w:val="24"/>
                <w:szCs w:val="24"/>
                <w:color w:val="auto"/>
              </w:rPr>
            </w:pPr>
          </w:p>
        </w:tc>
      </w:tr>
      <w:tr>
        <w:trPr>
          <w:trHeight w:val="241"/>
        </w:trPr>
        <w:tc>
          <w:tcPr>
            <w:tcW w:w="47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Title of each class</w:t>
            </w: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Symbol(s)</w:t>
            </w: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FINW</w:t>
            </w:r>
          </w:p>
        </w:tc>
        <w:tc>
          <w:tcPr>
            <w:tcW w:w="120" w:type="dxa"/>
            <w:vAlign w:val="bottom"/>
          </w:tcPr>
          <w:p>
            <w:pPr>
              <w:spacing w:after="0"/>
              <w:rPr>
                <w:sz w:val="20"/>
                <w:szCs w:val="20"/>
                <w:color w:val="auto"/>
              </w:rPr>
            </w:pPr>
          </w:p>
        </w:tc>
        <w:tc>
          <w:tcPr>
            <w:tcW w:w="5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firstLine="51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20"/>
        <w:spacing w:after="0" w:line="207" w:lineRule="exact"/>
        <w:tabs>
          <w:tab w:leader="none" w:pos="890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As of May 16, 2022, the registrant had 12,788,810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14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4"/>
          </w:tcPr>
          <w:p>
            <w:pPr>
              <w:ind w:left="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gridSpan w:val="18"/>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Income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gridSpan w:val="18"/>
          </w:tcPr>
          <w:p>
            <w:pPr>
              <w:ind w:left="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Changes in Stockholders’ Equity</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gridSpan w:val="18"/>
          </w:tcPr>
          <w:p>
            <w:pPr>
              <w:ind w:left="8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8"/>
          </w:tcPr>
          <w:p>
            <w:pPr>
              <w:ind w:left="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9840" w:type="dxa"/>
            <w:vAlign w:val="bottom"/>
            <w:gridSpan w:val="18"/>
          </w:tcPr>
          <w:p>
            <w:pPr>
              <w:ind w:left="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8"/>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9840" w:type="dxa"/>
            <w:vAlign w:val="bottom"/>
            <w:gridSpan w:val="18"/>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840" w:type="dxa"/>
            <w:vAlign w:val="bottom"/>
            <w:gridSpan w:val="18"/>
            <w:shd w:val="clear" w:color="auto" w:fill="CCEEFF"/>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Signatures</w:t>
              </w:r>
            </w:hyperlink>
          </w:p>
        </w:tc>
        <w:tc>
          <w:tcPr>
            <w:tcW w:w="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33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0"/>
        </w:trPr>
        <w:tc>
          <w:tcPr>
            <w:tcW w:w="7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520" w:type="dxa"/>
            <w:vAlign w:val="bottom"/>
            <w:gridSpan w:val="17"/>
          </w:tcPr>
          <w:p>
            <w:pPr>
              <w:ind w:left="4740"/>
              <w:spacing w:after="0"/>
              <w:rPr>
                <w:sz w:val="20"/>
                <w:szCs w:val="20"/>
                <w:color w:val="auto"/>
              </w:rPr>
            </w:pPr>
            <w:r>
              <w:rPr>
                <w:rFonts w:ascii="Arial" w:cs="Arial" w:eastAsia="Arial" w:hAnsi="Arial"/>
                <w:sz w:val="14"/>
                <w:szCs w:val="14"/>
                <w:color w:val="auto"/>
              </w:rPr>
              <w:t>2</w:t>
            </w:r>
          </w:p>
        </w:tc>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20" w:type="dxa"/>
            <w:vAlign w:val="bottom"/>
            <w:gridSpan w:val="17"/>
          </w:tcPr>
          <w:p>
            <w:pPr>
              <w:ind w:left="4740"/>
              <w:spacing w:after="0"/>
              <w:rPr>
                <w:sz w:val="20"/>
                <w:szCs w:val="20"/>
                <w:color w:val="auto"/>
              </w:rPr>
            </w:pPr>
            <w:r>
              <w:rPr>
                <w:rFonts w:ascii="Arial" w:cs="Arial" w:eastAsia="Arial" w:hAnsi="Arial"/>
                <w:sz w:val="14"/>
                <w:szCs w:val="14"/>
                <w:color w:val="auto"/>
              </w:rPr>
              <w:t>2</w:t>
            </w:r>
          </w:p>
        </w:tc>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factors, among others, could cause our financial performance to differ materially from that expressed in such forward-looking statements, including, but not limited to, the following:</w:t>
      </w:r>
    </w:p>
    <w:p>
      <w:pPr>
        <w:spacing w:after="0" w:line="1" w:lineRule="exact"/>
        <w:rPr>
          <w:sz w:val="20"/>
          <w:szCs w:val="20"/>
          <w:color w:val="auto"/>
        </w:rPr>
      </w:pPr>
    </w:p>
    <w:p>
      <w:pPr>
        <w:jc w:val="both"/>
        <w:ind w:firstLine="8"/>
        <w:spacing w:after="0" w:line="255"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relating to the Covid-19 pandemic, including the severity and duration of the associated economic slowdown either nationally or in our market areas, and the response of governmental authorities to the Covid-19 pandemic and our participation in Covid-19-related government programs such as the Paycheck Protection Program (“PPP”);</w:t>
      </w:r>
    </w:p>
    <w:p>
      <w:pPr>
        <w:spacing w:after="0" w:line="18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failure or cybersecurity breaches of our network security;</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the financial technology industry, the development and acceptance of which is subject to a high degree of uncertainty, as well as the continued evolution of the regulation of this industry;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changes in the industry or implement new technology effectively;</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service providers for core systems support, informational website hosting, internet services, online account opening and other processing services;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either nationally or in our market areas (including interest rate environment, government economic and monetary policies, the strength of global financial markets and inflation and deflation), that impact the financial services industry and/or our business;</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 and other companies that offer banking services;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measure and manage our credit risk effectively and the potential deterioration of the business and economic conditions in our primary market areas;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allowance for loan losses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lines of business or new products and services;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Small Business Administration (“SBA”) rules, regulations and loan products, including specifically the Section 7(a) program, changes in SBA standard operating procedures or changes to the status of the Bank as an SBA Preferred Lender;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increases in our levels of nonperforming assets;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losses from loan defaults and nonperformance on loans;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the risks we face with respect to claims and litigation initiated against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small- and medium-sized businesses to whom we lend to weather adverse business conditions and repay loans;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aspects of our growth strategy and to sustain our historic rate of growth;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originate, sell and retain loans, including through our Strategic Programs;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lending and depositor relationships through Strategic Programs in the financial technology industry generally;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additional merchants and retain and grow our existing merchant relationships;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 and other disruptions in our computer systems relating to our development and use of new technology platforms;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management team and changes in management composition;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sufficiency of our capital, including sources of capital and the extent to which we may be required to raise additional capital to meet our goals;</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laws and regulations, supervisory actions, the Dodd-Frank Act, capital requirements, the Bank Secrecy Act, anti-money laundering laws, predatory lending laws, and other statutes and regulations;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application of interest rate caps or maximums;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 strong core deposit base or other low-cost funding sources;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 or to write-down assets;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Strategic Program service providers to comply with regulatory regimes, including laws and regulations applicable to consumer credit transactions, and our ability to adequately oversee and monitor our Strategic Program service providers;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grow our relationships with our Strategic Program service providers;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pandemics, an outbreak of hostilities or other international or domestic calamities, and other matters beyond our control;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requirements associated with being a public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of coverage of our business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equity and debt issuances; and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listed from time to time in the Company’s filings with the Securities and Exchange Commission (the “SEC”), including, without limitation, this Report, the Company’s Annual Report on Form 10-K for the year ended December 31, 2021 (the “2021 Form 10-K”) and subsequent reports on Form 10-Q and Form 8-K.</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pgSz w:w="11900" w:h="16838" w:orient="portrait"/>
          <w:cols w:equalWidth="0" w:num="1">
            <w:col w:w="11240"/>
          </w:cols>
          <w:pgMar w:left="320" w:top="122" w:right="3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98"/>
              </w:rPr>
              <w:t>PART I</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91"/>
              </w:rPr>
              <w:t>FinWise Bancorp</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116,232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85,343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116,646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Investment securities held-to-maturity, at cost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11,423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Federal Home Loan Bank (FHLB) stock, at cost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Strategic Program loans held-for-sale, at lower of cost or fair value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60,748</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receivable,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198,102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Deferred taxes,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SBA servicing asset,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Investment in Business Funding Group (BFG), at fair value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FinWise Investments, LLC</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(“ROU”)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424,484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380,214</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Noninterest-bearing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110,548</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Interest-bearing</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150,130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141,344</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277,460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251,892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PPP Liquidity Facility</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11,549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299,529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264,772</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2"/>
              </w:rPr>
              <w:t>Preferred stock, $0.001 par value, 4,000,000 authorized; no shares issued and outstanding as of March 31, 2022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December 31, 2021</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$0.001 par value, 40,000,000 shares authorized; 12,788,810 and 12,772,010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as of March 31, 2022 and December 31, 2021, respectively</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54,836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124,955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115,442</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424,484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380,214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6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484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91"/>
              </w:rPr>
              <w:t>FinWise Bancorp</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4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9"/>
              </w:rPr>
              <w:t>Consolidated Statements of Income (Unaudited)</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84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20" w:type="dxa"/>
            <w:vAlign w:val="bottom"/>
            <w:gridSpan w:val="9"/>
          </w:tcPr>
          <w:p>
            <w:pPr>
              <w:ind w:left="4440"/>
              <w:spacing w:after="0"/>
              <w:rPr>
                <w:sz w:val="20"/>
                <w:szCs w:val="20"/>
                <w:color w:val="auto"/>
              </w:rPr>
            </w:pPr>
            <w:r>
              <w:rPr>
                <w:rFonts w:ascii="Arial" w:cs="Arial" w:eastAsia="Arial" w:hAnsi="Arial"/>
                <w:sz w:val="18"/>
                <w:szCs w:val="18"/>
                <w:b w:val="1"/>
                <w:bCs w:val="1"/>
                <w:color w:val="auto"/>
                <w:w w:val="95"/>
              </w:rPr>
              <w:t>For the Three Months Ended March 31,</w:t>
            </w:r>
          </w:p>
        </w:tc>
      </w:tr>
      <w:tr>
        <w:trPr>
          <w:trHeight w:val="223"/>
        </w:trPr>
        <w:tc>
          <w:tcPr>
            <w:tcW w:w="3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Interest income</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fees on loans</w:t>
            </w:r>
          </w:p>
        </w:tc>
        <w:tc>
          <w:tcPr>
            <w:tcW w:w="48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13,156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8,790</w:t>
            </w: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Interest on securities</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3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interest income</w:t>
            </w:r>
          </w:p>
        </w:tc>
        <w:tc>
          <w:tcPr>
            <w:tcW w:w="4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Total interest income</w:t>
            </w: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13,223</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8,806</w:t>
            </w:r>
          </w:p>
        </w:tc>
      </w:tr>
      <w:tr>
        <w:trPr>
          <w:trHeight w:val="216"/>
        </w:trPr>
        <w:tc>
          <w:tcPr>
            <w:tcW w:w="3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deposits</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Interest on PPP Liquidity Facility</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23"/>
        </w:trPr>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4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12,961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r>
      <w:tr>
        <w:trPr>
          <w:trHeight w:val="223"/>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Net interest income after provision for loan losses</w:t>
            </w:r>
          </w:p>
        </w:tc>
        <w:tc>
          <w:tcPr>
            <w:tcW w:w="4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10,014</w:t>
            </w: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100" w:type="dxa"/>
            <w:vAlign w:val="bottom"/>
            <w:shd w:val="clear" w:color="auto" w:fill="CCEEFF"/>
          </w:tcPr>
          <w:p>
            <w:pPr>
              <w:spacing w:after="0"/>
              <w:rPr>
                <w:sz w:val="19"/>
                <w:szCs w:val="19"/>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Strategic Program fees</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6,623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2,953</w:t>
            </w:r>
          </w:p>
        </w:tc>
      </w:tr>
      <w:tr>
        <w:trPr>
          <w:trHeight w:val="21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loans, net</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SBA loan servicing fees</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387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r>
      <w:tr>
        <w:trPr>
          <w:trHeight w:val="223"/>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Other miscellaneous income</w:t>
            </w: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4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11,682</w:t>
            </w: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00" w:type="dxa"/>
            <w:vAlign w:val="bottom"/>
            <w:shd w:val="clear" w:color="auto" w:fill="CCEEFF"/>
          </w:tcPr>
          <w:p>
            <w:pPr>
              <w:spacing w:after="0"/>
              <w:rPr>
                <w:sz w:val="19"/>
                <w:szCs w:val="19"/>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Salaries and employee benefits</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7,092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4,895</w:t>
            </w:r>
          </w:p>
        </w:tc>
      </w:tr>
      <w:tr>
        <w:trPr>
          <w:trHeight w:val="21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Occupancy and equipment expenses</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color w:val="auto"/>
                <w:w w:val="93"/>
              </w:rPr>
              <w:t>(Recovery) impairment of SBA servicing asset</w:t>
            </w: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4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Total non-interest expense</w:t>
            </w: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9,048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6,663</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12,648</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23"/>
        </w:trPr>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560" w:type="dxa"/>
            <w:vAlign w:val="bottom"/>
            <w:gridSpan w:val="2"/>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9,434</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5,291</w:t>
            </w:r>
          </w:p>
        </w:tc>
        <w:tc>
          <w:tcPr>
            <w:tcW w:w="10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spacing w:after="0"/>
              <w:rPr>
                <w:sz w:val="18"/>
                <w:szCs w:val="18"/>
                <w:color w:val="auto"/>
              </w:rPr>
            </w:pPr>
          </w:p>
        </w:tc>
        <w:tc>
          <w:tcPr>
            <w:tcW w:w="1320" w:type="dxa"/>
            <w:vAlign w:val="bottom"/>
            <w:gridSpan w:val="3"/>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Earnings per share, basic</w:t>
            </w:r>
          </w:p>
        </w:tc>
        <w:tc>
          <w:tcPr>
            <w:tcW w:w="48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0.74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diluted</w:t>
            </w:r>
          </w:p>
        </w:tc>
        <w:tc>
          <w:tcPr>
            <w:tcW w:w="48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r>
      <w:tr>
        <w:trPr>
          <w:trHeight w:val="216"/>
        </w:trPr>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12,777,237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8,091,186</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w w:val="98"/>
              </w:rPr>
              <w:t>Weighted average shares outstanding, diluted</w:t>
            </w: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13,567,311</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8,335,772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4620" w:type="dxa"/>
            <w:vAlign w:val="bottom"/>
          </w:tcPr>
          <w:p>
            <w:pPr>
              <w:spacing w:after="0"/>
              <w:rPr>
                <w:sz w:val="20"/>
                <w:szCs w:val="20"/>
                <w:color w:val="auto"/>
              </w:rPr>
            </w:pPr>
          </w:p>
        </w:tc>
        <w:tc>
          <w:tcPr>
            <w:tcW w:w="1380" w:type="dxa"/>
            <w:vAlign w:val="bottom"/>
            <w:gridSpan w:val="3"/>
          </w:tcPr>
          <w:p>
            <w:pPr>
              <w:ind w:left="32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8,660,334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29,010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45,872</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exercised</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55,776</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5,291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5,291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8,716,110</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34,301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52,310</w:t>
            </w:r>
          </w:p>
        </w:tc>
        <w:tc>
          <w:tcPr>
            <w:tcW w:w="100" w:type="dxa"/>
            <w:vAlign w:val="bottom"/>
            <w:shd w:val="clear" w:color="auto" w:fill="CCEEFF"/>
          </w:tcPr>
          <w:p>
            <w:pPr>
              <w:spacing w:after="0"/>
              <w:rPr>
                <w:sz w:val="18"/>
                <w:szCs w:val="18"/>
                <w:color w:val="auto"/>
              </w:rPr>
            </w:pPr>
          </w:p>
        </w:tc>
      </w:tr>
      <w:tr>
        <w:trPr>
          <w:trHeight w:val="439"/>
        </w:trPr>
        <w:tc>
          <w:tcPr>
            <w:tcW w:w="4620" w:type="dxa"/>
            <w:vAlign w:val="bottom"/>
          </w:tcPr>
          <w:p>
            <w:pPr>
              <w:spacing w:after="0"/>
              <w:rPr>
                <w:sz w:val="24"/>
                <w:szCs w:val="24"/>
                <w:color w:val="auto"/>
              </w:rPr>
            </w:pPr>
          </w:p>
        </w:tc>
        <w:tc>
          <w:tcPr>
            <w:tcW w:w="23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4620" w:type="dxa"/>
            <w:vAlign w:val="bottom"/>
          </w:tcPr>
          <w:p>
            <w:pPr>
              <w:spacing w:after="0"/>
              <w:rPr>
                <w:sz w:val="20"/>
                <w:szCs w:val="20"/>
                <w:color w:val="auto"/>
              </w:rPr>
            </w:pPr>
          </w:p>
        </w:tc>
        <w:tc>
          <w:tcPr>
            <w:tcW w:w="1380" w:type="dxa"/>
            <w:vAlign w:val="bottom"/>
            <w:gridSpan w:val="3"/>
          </w:tcPr>
          <w:p>
            <w:pPr>
              <w:ind w:left="32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12,772,010</w:t>
            </w:r>
          </w:p>
        </w:tc>
        <w:tc>
          <w:tcPr>
            <w:tcW w:w="240" w:type="dxa"/>
            <w:vAlign w:val="bottom"/>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54,836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60,593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115,442</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exercised</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16,800</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9,434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9,434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12,788,810</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54,915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70,027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124,955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91"/>
              </w:rPr>
              <w:t>FinWise Bancorp</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9"/>
              </w:rPr>
              <w:t>For the Three Months</w:t>
            </w: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5,291</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Amortization of operating lease ROU asset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amortization in securities discounts and premiums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Capitalized servicing assets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(1,408)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SBA loans,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(2,603)</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Originations of Strategic Program loans held-for-sale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(2,423,186)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(955,539)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on Strategic Program loans held-for-sale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2,410,129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938,640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BFG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Recovery of SBA servicing asset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 benefit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changes in: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(4,397)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(8,888)</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increase in loans receivable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Distributions from BFG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bank premises and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maturities and paydowns of securities held-to-maturity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23"/>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FHLB stock</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23"/>
        </w:trPr>
        <w:tc>
          <w:tcPr>
            <w:tcW w:w="320" w:type="dxa"/>
            <w:vAlign w:val="bottom"/>
            <w:tcBorders>
              <w:top w:val="single" w:sz="8" w:color="CCEEFF"/>
            </w:tcBorders>
          </w:tcPr>
          <w:p>
            <w:pPr>
              <w:spacing w:after="0"/>
              <w:rPr>
                <w:sz w:val="19"/>
                <w:szCs w:val="19"/>
                <w:color w:val="auto"/>
              </w:rPr>
            </w:pPr>
          </w:p>
        </w:tc>
        <w:tc>
          <w:tcPr>
            <w:tcW w:w="8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32,829</w:t>
            </w:r>
          </w:p>
        </w:tc>
        <w:tc>
          <w:tcPr>
            <w:tcW w:w="100" w:type="dxa"/>
            <w:vAlign w:val="bottom"/>
            <w:tcBorders>
              <w:top w:val="single" w:sz="8" w:color="CCEEFF"/>
            </w:tcBorders>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increase in deposits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PPP Liquidity Facility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Repayment of PPP Liquidity Facility</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(26,861)</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26,839</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the period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47,383</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paid during the period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noncash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Right-of-use assets obtained in exchange for operating lease liabilities </w:t>
            </w:r>
            <w:r>
              <w:rPr>
                <w:rFonts w:ascii="Arial" w:cs="Arial" w:eastAsia="Arial" w:hAnsi="Arial"/>
                <w:sz w:val="18"/>
                <w:szCs w:val="18"/>
                <w:i w:val="1"/>
                <w:iCs w:val="1"/>
                <w:color w:val="auto"/>
                <w:w w:val="93"/>
              </w:rPr>
              <w:t>(ASC 842 adoption effective January 1, 2022)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Nature of business and organization – </w:t>
      </w:r>
      <w:r>
        <w:rPr>
          <w:rFonts w:ascii="Arial" w:cs="Arial" w:eastAsia="Arial" w:hAnsi="Arial"/>
          <w:sz w:val="17"/>
          <w:szCs w:val="17"/>
          <w:color w:val="auto"/>
        </w:rPr>
        <w:t>FinWise Bancorp is a Utah Corporation headquartered in Murray, Utah and operates all business activities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its wholly-owned banking subsidiary, FinWise Bank, dba Utah Community Bank. Utah Community Bank was incorporated in the state of Utah on May 7, 1999. All West Bancorp was incorporated in the state of Utah on October 22, 2002, after which, it acquired 100% of Utah Community Bank. As of March 4, 2016, Utah Community Bank’s articles of incorporation were amended to rename the entity FinWise Bank. As of March 15, 2021, All West Bancorp’s articles of incorporation were amended and restated to rename the entity FinWise Bancorp. References herein to “FinWise Bancorp,” “Bancorp” or the “holding company,” refer to FinWise Bancorp on a standalone basis. The word “Company” refers to FinWise Bancorp and FinWise Bank collectively and on a consolidated basis. References to the “Bank” refer to FinWise Bank on a standalone basis.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15, 2021, the Company publicly filed a Registration Statement on Form S-1 with the SEC in connection with its Initial Public Offering (“IPO”) (the “Registration Statement”), which was subsequently amended on July 30, 2021, August 4, 2021, November 1, 2021, and November 16, 2021. The Registration Statement was declared effective by the SEC on November 18, 2021. In connection with the IPO, the Company issued 4,025,000 shares of common stock, par value of $0.001, which included 525,000 shares sold pursuant to the underwriters’ exercise of their option to purchase additional shares. The securities were sold to the public at a price of $10.50 per share and began trading on the Nasdaq Stock Market LLC on November 19, 2021. On November 23, 2021, the closing date of the IPO, the Company received total net proceeds of $39.3 million. The net proceeds less other related expenses, including audit fees, legal fees, listing fees, and other expenses, totaled $35.6 million.</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 is an independent bank that provides a full range of banking services to individual and corporate customers. The Bank’s primary source of revenue is from loans including Small Business Administration (SBA), commercial, commercial real estate, residential real estate, and consumer.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subject to competition from other financial institutions and to the regulations of certain federal and state agencies and undergoes periodic examinations by those agencies.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COVID-19 – </w:t>
      </w:r>
      <w:r>
        <w:rPr>
          <w:rFonts w:ascii="Arial" w:cs="Arial" w:eastAsia="Arial" w:hAnsi="Arial"/>
          <w:sz w:val="16"/>
          <w:szCs w:val="16"/>
          <w:color w:val="auto"/>
        </w:rPr>
        <w:t>On March 11, 2020, the World Health Organization declared COVID-19 to be a global pandemic. Local and national governments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authorities have systematically implemented remedial measures to try to slow and curb the spread of COVID-19, including business closures and operating restrictions, travel bans, shelter in place, stay home, and similar directives and orders. In response to the COVID-19 pandemic and in adherence with state and local guidelines, the Company has implemented the business continuity plan and other measures and activities to protect the Company’s employees and, at the same time, to assist the Company’s clients and the communities of which the Company is a part, including remote working for the majority of the Company’s employees, increased mobile banking and electronic transaction options for clients, payment deferral assistance to commercial and consumer borrowers, and participation in the SBA’s Paycheck Protection Program (“PPP”) for loans to qualifying small businesses.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22, 2020, the federal banking agencies 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(“FASB”) staff that the federal banking agencies concluded that short-term modifications (e.g., six months) made on a good faith basis to borrowers who were current as of the implementation date of a relief program are not troubled debt restructurings (“TDRs”).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(“CARES”) Act was passed by Congress on March 27, 2020. The CARES Act also addressed COVID-19 related modifications and specified that COVID-19 related modifications on loans that were current as of December 31, 2019 are not TDRs. The Bank has applied this guidance related to payment deferrals and other COVID-19 related loan modifications.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CARES Act also included a total allocation of $659 billion for loans to be issued by financial institutions through the Small Business Administration (“SBA”). This program is known as the Paycheck Protection Program (“PPP”). PPP loans are forgivable, in whole or in part, if the proceeds are used for eligible payroll costs and other permitted purposes in accordance with the requirements of the PPP. These loans carry a fixed rate of 1.00%. PPP loans originated prior to June 5, 2020 have a term of two years, while PPP loans originated on or after June 5, 2020 have a term of five years. Payments are deferred for at least the first six months of the loan and the loans are 100% guaranteed by the SBA. The SBA pays the originating bank a processing fee ranging from 1% to 5%, based on the size of the loan. At March 31, 2022, net deferred loan fees related to PPP loans was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which will be recognized over the life of the loans. Participation in the PPP will likely have a positive impact on the Company’s financial position and results of operations as this fee income is recognized over the term of the PPP loans. As of December 31, 2021, PPP borrowers had applied for and received forgiveness from the SBA for $125.2 million of PPP loan principal and have made $0.3 million of principal payments leaving $1.1 million of PPP loan principal outstanding as of December 31, 2021. During the three months ended March 31, 2022, PPP borrowers made $0.1 million of principal payments leaving $1.0 million of PPP loan principal outstanding as of March 31, 2022. The loan forgiveness resulted in the recognition of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deferred loan fees for the three months ended March 31, 2022.</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financial statements are comprised of the accounts of FinWise Bancorp and its wholly-owned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FinWise Investments, LLC and FinWise Bank (collectively, the “Company”). All significant inter-company transactions have been eliminated in consolidation. In the opinion of management, all the adjustments (consisting of normal and recurring adjustments) necessary for the fair presentation of the consolidated financial condition and the consolidated results of operations for the unaudited periods presented have been included. The results of operations and other data presented for three months ended March 31, 2022 are not necessarily indicative of the results of operations that may be expected for subsequent periods or the full year results.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note disclosures usually included in financial statements prepared in accordance with U.S. generally accepted accounting principles (“U.S. GAAP”) have been condensed or omitted pursuant to the rules and regulations of the SEC for the presentation of the Form 10-Q. The unaudited consolidated financial statements presented should be read in conjunction with the Company’s audited consolidated financial statements and notes to the audited consolidated financial statements included in the Company’s December 31, 2021 Annual Report on Form 10-K.</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Out-of-period adjustment </w:t>
      </w:r>
      <w:r>
        <w:rPr>
          <w:rFonts w:ascii="Arial" w:cs="Arial" w:eastAsia="Arial" w:hAnsi="Arial"/>
          <w:sz w:val="17"/>
          <w:szCs w:val="17"/>
          <w:color w:val="auto"/>
        </w:rPr>
        <w:t>– During the first quarter of 2022, we recognized a $(0.8) million ($(0.6) million net of tax) reduction of interest and fees on</w:t>
      </w:r>
      <w:r>
        <w:rPr>
          <w:rFonts w:ascii="Arial" w:cs="Arial" w:eastAsia="Arial" w:hAnsi="Arial"/>
          <w:sz w:val="17"/>
          <w:szCs w:val="17"/>
          <w:b w:val="1"/>
          <w:bCs w:val="1"/>
          <w:color w:val="auto"/>
        </w:rPr>
        <w:t xml:space="preserve"> </w:t>
      </w:r>
      <w:r>
        <w:rPr>
          <w:rFonts w:ascii="Arial" w:cs="Arial" w:eastAsia="Arial" w:hAnsi="Arial"/>
          <w:sz w:val="17"/>
          <w:szCs w:val="17"/>
          <w:color w:val="auto"/>
        </w:rPr>
        <w:t>loans and loans receivable, net as an out-of-period adjustment. The adjustment was not considered material to the interim consolidated financial statements for the quarter ended March 31, 2022 or the financial statements of any previously filed interim or annual periods.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In preparing the consolidated financial statements in accordance with U.S. GAAP, management is required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certain assets and liabilities as of the date of the consolidated balance sheets and certain revenues and expenses for the period. Actual results could differ, either positively or negatively,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 increase transparency and comparability among organizations by, among other provisions, recognizing lease assets and lease liabilities on the balance sheet for those leases classified as operating leases under previous U.S. GAAP.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A modified retrospective transition approach is required, applying the new standard to all leases existing at the date of initial application. The guidance was initially effective for fiscal years beginning after December 15, 2020, and interim periods within fiscal years beginning after December 15, 2021. However, the FASB issued ASU 2020-05, </w:t>
      </w:r>
      <w:r>
        <w:rPr>
          <w:rFonts w:ascii="Arial" w:cs="Arial" w:eastAsia="Arial" w:hAnsi="Arial"/>
          <w:sz w:val="16"/>
          <w:szCs w:val="16"/>
          <w:i w:val="1"/>
          <w:iCs w:val="1"/>
          <w:color w:val="auto"/>
        </w:rPr>
        <w:t>Revenue from Contracts with Customers (Topic 606) and 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Effective Dates for Certain Entities</w:t>
      </w:r>
      <w:r>
        <w:rPr>
          <w:rFonts w:ascii="Arial" w:cs="Arial" w:eastAsia="Arial" w:hAnsi="Arial"/>
          <w:sz w:val="16"/>
          <w:szCs w:val="16"/>
          <w:color w:val="auto"/>
        </w:rPr>
        <w:t>, delaying the effective date to fiscal years beginning after December 15, 2021, and interim periods within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years beginning after December 15, 2022. In transition, entities may also elect a package of practical expedients that must be applied in its entirety to all leases commencing before the adoption date, unless the lease is modified, and permits entities to not reassess (a) the existence of a lease, (b) lease classification or (c) determination of initial direct costs, as of the adoption date, which effectively allows entities to carryforward accounting conclusions under previous U.S. GAAP.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entities an optional transition method to apply the guidance under ASC Topic 842 as of the adoption date, rather than as of the earliest period presented. The Company adopted this guidance on January 1, 2022, which resulted in an increase in assets and liabilities by $7.4 million on the Company’s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The ASU sets forth a “current expected credit loss” (CECL) model which requires the Company to 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available-for-sale debt securities and applies to certain off-balance sheet credit exposures. This ASU was initially effective for fiscal years beginning after December 15, 2019, including interim periods within those fiscal years, with early adoption permitted. However, the FASB issued an ASU to delay adoption for smaller reporting companies to calendar year 2023. The Company is currently assessing the impact of the adoption of this ASU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held-to-maturity, at cost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amortized cost, unrealized gains and losses, and estimated fair values of the Company’s held-to-maturity securities at March 31, 2022 and December 31, 2021,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92"/>
              </w:rPr>
              <w:t>March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0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10,263</w:t>
            </w:r>
          </w:p>
        </w:tc>
        <w:tc>
          <w:tcPr>
            <w:tcW w:w="100" w:type="dxa"/>
            <w:vAlign w:val="bottom"/>
            <w:shd w:val="clear" w:color="auto" w:fill="CCEEFF"/>
          </w:tcPr>
          <w:p>
            <w:pPr>
              <w:spacing w:after="0"/>
              <w:rPr>
                <w:sz w:val="18"/>
                <w:szCs w:val="18"/>
                <w:color w:val="auto"/>
              </w:rPr>
            </w:pPr>
          </w:p>
        </w:tc>
      </w:tr>
      <w:tr>
        <w:trPr>
          <w:trHeight w:val="439"/>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0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11,332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twelve securities in an unrealized loss position at March 31, 2022 and nine securities in an unrealized loss position at December 31, 2021, as summarized in the following tables: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ind w:left="34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3"/>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center"/>
              <w:ind w:left="593"/>
              <w:spacing w:after="0"/>
              <w:rPr>
                <w:sz w:val="20"/>
                <w:szCs w:val="20"/>
                <w:color w:val="auto"/>
              </w:rPr>
            </w:pPr>
            <w:r>
              <w:rPr>
                <w:rFonts w:ascii="Arial" w:cs="Arial" w:eastAsia="Arial" w:hAnsi="Arial"/>
                <w:sz w:val="18"/>
                <w:szCs w:val="18"/>
                <w:color w:val="auto"/>
                <w:w w:val="76"/>
              </w:rPr>
              <w:t>(726)</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r>
      <w:tr>
        <w:trPr>
          <w:trHeight w:val="439"/>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ind w:left="34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3"/>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center"/>
              <w:ind w:left="593"/>
              <w:spacing w:after="0"/>
              <w:rPr>
                <w:sz w:val="20"/>
                <w:szCs w:val="20"/>
                <w:color w:val="auto"/>
              </w:rPr>
            </w:pPr>
            <w:r>
              <w:rPr>
                <w:rFonts w:ascii="Arial" w:cs="Arial" w:eastAsia="Arial" w:hAnsi="Arial"/>
                <w:sz w:val="18"/>
                <w:szCs w:val="18"/>
                <w:color w:val="auto"/>
                <w:w w:val="76"/>
              </w:rPr>
              <w:t>(114)</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r>
        <w:trPr>
          <w:trHeight w:val="569"/>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left="613"/>
              <w:spacing w:after="0"/>
              <w:rPr>
                <w:sz w:val="20"/>
                <w:szCs w:val="20"/>
                <w:color w:val="auto"/>
              </w:rPr>
            </w:pPr>
            <w:r>
              <w:rPr>
                <w:rFonts w:ascii="Arial" w:cs="Arial" w:eastAsia="Arial" w:hAnsi="Arial"/>
                <w:sz w:val="14"/>
                <w:szCs w:val="14"/>
                <w:color w:val="auto"/>
                <w:w w:val="89"/>
              </w:rPr>
              <w:t>12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amortized cost and estimated market value of debt securities at March 31, 2022, by contractual maturity are shown below. Actual maturities may differ from contractual maturities because borrowers may have the right to call or prepay obligations with or without call or prepayment penalties.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86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Securities held-to-maturity</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Due after ten years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8,861</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Securities held-to-maturity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2022, all held-to-maturity securities were pledged as collateral for a credit line held by the Bank. There were no sales of investment securities during the three months ended March 31, 2022 or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FHLB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 is a member of the FHLB system. Members are required to own FHLB stock of at least the greater of 1% of FHLB membership asset value or 2.7% of outstanding FHLB advances. At March 31, 2022 and December 31, 2021, the Bank owned $0.4 million, respectively, of FHLB stock, which is carried at cost. The Company evaluated the carrying value of its FHLB stock investment at March 31, 2022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our recorded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Loans and Allowance for Loan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Loans are summarized as follows according to major risk category as of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39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in thousands)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SBA</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127,778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142,392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Commercial, non-real estate</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30,772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27,108</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Strategic Program loans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r>
      <w:tr>
        <w:trPr>
          <w:trHeight w:val="27"/>
        </w:trPr>
        <w:tc>
          <w:tcPr>
            <w:tcW w:w="398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272,552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265,788</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Loans held-for-sale</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(60,748)</w:t>
            </w:r>
          </w:p>
        </w:tc>
      </w:tr>
      <w:tr>
        <w:trPr>
          <w:trHeight w:val="27"/>
        </w:trPr>
        <w:tc>
          <w:tcPr>
            <w:tcW w:w="398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Total loans held for investment</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198,747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205,040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loan costs (fees), net</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(9,987)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(9,855)</w:t>
            </w:r>
          </w:p>
        </w:tc>
      </w:tr>
      <w:tr>
        <w:trPr>
          <w:trHeight w:val="256"/>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loans</w:t>
            </w:r>
          </w:p>
        </w:tc>
        <w:tc>
          <w:tcPr>
            <w:tcW w:w="4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189,549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980" w:type="dxa"/>
            <w:vAlign w:val="bottom"/>
          </w:tcPr>
          <w:p>
            <w:pPr>
              <w:spacing w:after="0"/>
              <w:rPr>
                <w:sz w:val="24"/>
                <w:szCs w:val="24"/>
                <w:color w:val="auto"/>
              </w:rPr>
            </w:pPr>
          </w:p>
        </w:tc>
        <w:tc>
          <w:tcPr>
            <w:tcW w:w="4700" w:type="dxa"/>
            <w:vAlign w:val="bottom"/>
          </w:tcPr>
          <w:p>
            <w:pPr>
              <w:jc w:val="right"/>
              <w:ind w:right="2895"/>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98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Strategic Program Loans </w:t>
      </w:r>
      <w:r>
        <w:rPr>
          <w:rFonts w:ascii="Arial" w:cs="Arial" w:eastAsia="Arial" w:hAnsi="Arial"/>
          <w:sz w:val="17"/>
          <w:szCs w:val="17"/>
          <w:color w:val="auto"/>
        </w:rPr>
        <w:t>– In 2016, the Company began originating loans with various third-party loan origination platforms that use technology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Strategic Program establishes a “reserve” deposit account with the Company. The agreements generally require that the deposit reserve account balance does not fall below the dollar amount of the total loans outstanding currently held by the Company for the specific Strategic Program. If necessary, the Company has the right to withdraw amounts from the reserve account to fulfill loan purchaser obligations created under the program agreements. Total cash held in reserve by Strategic Programs at the Company at March 31, 2022 and December 31, 2021, was $50.8 million and $39.6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Strategic Program loans retained and held-for-sale as of March 31, 2022 and December 31, 2021,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Retained Strategic Program loans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23"/>
        </w:trPr>
        <w:tc>
          <w:tcPr>
            <w:tcW w:w="3220" w:type="dxa"/>
            <w:vAlign w:val="bottom"/>
            <w:gridSpan w:val="5"/>
          </w:tcPr>
          <w:p>
            <w:pPr>
              <w:spacing w:after="0"/>
              <w:rPr>
                <w:sz w:val="20"/>
                <w:szCs w:val="20"/>
                <w:color w:val="auto"/>
              </w:rPr>
            </w:pPr>
            <w:r>
              <w:rPr>
                <w:rFonts w:ascii="Arial" w:cs="Arial" w:eastAsia="Arial" w:hAnsi="Arial"/>
                <w:sz w:val="18"/>
                <w:szCs w:val="18"/>
                <w:color w:val="auto"/>
              </w:rPr>
              <w:t>Strategic Program loans held-for-sale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73,805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60,748</w:t>
            </w: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89"/>
              </w:rPr>
              <w:t>Total Strategic Program loans</w:t>
            </w: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3500" w:type="dxa"/>
            <w:vAlign w:val="bottom"/>
            <w:gridSpan w:val="7"/>
          </w:tcPr>
          <w:p>
            <w:pPr>
              <w:spacing w:after="0"/>
              <w:rPr>
                <w:sz w:val="20"/>
                <w:szCs w:val="20"/>
                <w:color w:val="auto"/>
              </w:rPr>
            </w:pPr>
            <w:r>
              <w:rPr>
                <w:rFonts w:ascii="Arial" w:cs="Arial" w:eastAsia="Arial" w:hAnsi="Arial"/>
                <w:sz w:val="18"/>
                <w:szCs w:val="18"/>
                <w:color w:val="auto"/>
                <w:w w:val="91"/>
              </w:rPr>
              <w:t>Changes in the ALL are summarized as follows: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20" w:type="dxa"/>
            <w:vAlign w:val="bottom"/>
            <w:gridSpan w:val="3"/>
          </w:tcPr>
          <w:p>
            <w:pPr>
              <w:ind w:left="640"/>
              <w:spacing w:after="0"/>
              <w:rPr>
                <w:sz w:val="20"/>
                <w:szCs w:val="20"/>
                <w:color w:val="auto"/>
              </w:rPr>
            </w:pPr>
            <w:r>
              <w:rPr>
                <w:rFonts w:ascii="Arial" w:cs="Arial" w:eastAsia="Arial" w:hAnsi="Arial"/>
                <w:sz w:val="18"/>
                <w:szCs w:val="18"/>
                <w:b w:val="1"/>
                <w:bCs w:val="1"/>
                <w:color w:val="auto"/>
                <w:w w:val="93"/>
              </w:rPr>
              <w:t>Three Months Ended</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20" w:type="dxa"/>
            <w:vAlign w:val="bottom"/>
            <w:gridSpan w:val="3"/>
          </w:tcPr>
          <w:p>
            <w:pPr>
              <w:ind w:left="860"/>
              <w:spacing w:after="0"/>
              <w:rPr>
                <w:sz w:val="20"/>
                <w:szCs w:val="20"/>
                <w:color w:val="auto"/>
              </w:rPr>
            </w:pPr>
            <w:r>
              <w:rPr>
                <w:rFonts w:ascii="Arial" w:cs="Arial" w:eastAsia="Arial" w:hAnsi="Arial"/>
                <w:sz w:val="18"/>
                <w:szCs w:val="18"/>
                <w:b w:val="1"/>
                <w:bCs w:val="1"/>
                <w:color w:val="auto"/>
              </w:rPr>
              <w:t>March 31, 2022</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2"/>
              </w:rPr>
              <w:t>Commercial,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Residential</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Strategic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Non-Real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Program</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9"/>
              </w:rPr>
              <w:t>SBA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Estate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Loans</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Real Estate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Consumer</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Charge-offs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Provision (recapture)</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end of period</w:t>
            </w: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Ending balance</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180"/>
              <w:spacing w:after="0"/>
              <w:rPr>
                <w:sz w:val="20"/>
                <w:szCs w:val="20"/>
                <w:color w:val="auto"/>
              </w:rPr>
            </w:pPr>
            <w:r>
              <w:rPr>
                <w:rFonts w:ascii="Arial" w:cs="Arial" w:eastAsia="Arial" w:hAnsi="Arial"/>
                <w:sz w:val="18"/>
                <w:szCs w:val="18"/>
                <w:color w:val="auto"/>
                <w:w w:val="97"/>
              </w:rPr>
              <w:t>individually evaluated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collectively evaluated</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8"/>
                <w:szCs w:val="18"/>
                <w:color w:val="auto"/>
              </w:rPr>
              <w:t>Loans receivable</w:t>
            </w: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127,778</w:t>
            </w:r>
          </w:p>
        </w:tc>
        <w:tc>
          <w:tcPr>
            <w:tcW w:w="140" w:type="dxa"/>
            <w:vAlign w:val="bottom"/>
          </w:tcPr>
          <w:p>
            <w:pPr>
              <w:spacing w:after="0"/>
              <w:rPr>
                <w:sz w:val="18"/>
                <w:szCs w:val="18"/>
                <w:color w:val="auto"/>
              </w:rPr>
            </w:pPr>
          </w:p>
        </w:tc>
        <w:tc>
          <w:tcPr>
            <w:tcW w:w="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30,772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198,747</w:t>
            </w:r>
          </w:p>
        </w:tc>
        <w:tc>
          <w:tcPr>
            <w:tcW w:w="0" w:type="dxa"/>
            <w:vAlign w:val="bottom"/>
          </w:tcPr>
          <w:p>
            <w:pPr>
              <w:spacing w:after="0"/>
              <w:rPr>
                <w:sz w:val="1"/>
                <w:szCs w:val="1"/>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individually evaluated</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2"/>
        </w:trPr>
        <w:tc>
          <w:tcPr>
            <w:tcW w:w="18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Ending balance</w:t>
            </w: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180"/>
              <w:spacing w:after="0"/>
              <w:rPr>
                <w:sz w:val="20"/>
                <w:szCs w:val="20"/>
                <w:color w:val="auto"/>
              </w:rPr>
            </w:pPr>
            <w:r>
              <w:rPr>
                <w:rFonts w:ascii="Arial" w:cs="Arial" w:eastAsia="Arial" w:hAnsi="Arial"/>
                <w:sz w:val="18"/>
                <w:szCs w:val="18"/>
                <w:color w:val="auto"/>
                <w:w w:val="97"/>
              </w:rPr>
              <w:t>collectively evaluated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126,827</w:t>
            </w:r>
          </w:p>
        </w:tc>
        <w:tc>
          <w:tcPr>
            <w:tcW w:w="140" w:type="dxa"/>
            <w:vAlign w:val="bottom"/>
          </w:tcPr>
          <w:p>
            <w:pPr>
              <w:spacing w:after="0"/>
              <w:rPr>
                <w:sz w:val="20"/>
                <w:szCs w:val="20"/>
                <w:color w:val="auto"/>
              </w:rPr>
            </w:pPr>
          </w:p>
        </w:tc>
        <w:tc>
          <w:tcPr>
            <w:tcW w:w="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30,572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197,596</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290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92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March 31, 2021</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2"/>
              </w:rPr>
              <w:t>Commercial,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Residential</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Strategic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Non-Real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Program</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SBA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Estate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Loans</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Real Estate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Consumer</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Balance at end of period</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individually evaluated</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8"/>
                <w:szCs w:val="18"/>
                <w:color w:val="auto"/>
              </w:rPr>
              <w:t>Loans receivable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167,824</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21,712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207,379</w:t>
            </w:r>
          </w:p>
        </w:tc>
        <w:tc>
          <w:tcPr>
            <w:tcW w:w="0" w:type="dxa"/>
            <w:vAlign w:val="bottom"/>
          </w:tcPr>
          <w:p>
            <w:pPr>
              <w:spacing w:after="0"/>
              <w:rPr>
                <w:sz w:val="1"/>
                <w:szCs w:val="1"/>
                <w:color w:val="auto"/>
              </w:rPr>
            </w:pPr>
          </w:p>
        </w:tc>
      </w:tr>
      <w:tr>
        <w:trPr>
          <w:trHeight w:val="202"/>
        </w:trPr>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2"/>
        </w:trPr>
        <w:tc>
          <w:tcPr>
            <w:tcW w:w="194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collectively evaluated</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166,934</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20,956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205,733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impaired loans as of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Unpaid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20"/>
                <w:szCs w:val="2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Unpaid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Strategic Program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ending March 31, 2022 and December 31, 2021, there were no impaired loans with an allowance recorded.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Nonaccrual and past due loans are summarized below as of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60-89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rPr>
              <w:t>&amp;</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Past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Still</w:t>
            </w: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Due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8"/>
              </w:rPr>
              <w:t>Due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Accruing</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Accrual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126,894</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127,778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3"/>
              </w:rPr>
              <w:t>Commercial, non-real estate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30,772</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100,105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101,819</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56"/>
        </w:trPr>
        <w:tc>
          <w:tcPr>
            <w:tcW w:w="2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269,750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14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60-89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rPr>
              <w:t>&amp;</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Past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Still</w:t>
            </w: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Due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Accruing</w:t>
            </w: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Due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Accrual</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3"/>
              </w:rPr>
              <w:t>Commercial, non-real estate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84,065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85,850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56"/>
        </w:trPr>
        <w:tc>
          <w:tcPr>
            <w:tcW w:w="2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263,079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amount of interest income for the three months ended March 31, 2022 and 2021, that was not recorded on nonaccrual loans was </w:t>
      </w:r>
      <w:r>
        <w:rPr>
          <w:rFonts w:ascii="Arial" w:cs="Arial" w:eastAsia="Arial" w:hAnsi="Arial"/>
          <w:sz w:val="17"/>
          <w:szCs w:val="17"/>
          <w:i w:val="1"/>
          <w:iCs w:val="1"/>
          <w:color w:val="auto"/>
        </w:rPr>
        <w:t>de minimis</w:t>
      </w:r>
      <w:r>
        <w:rPr>
          <w:rFonts w:ascii="Arial" w:cs="Arial" w:eastAsia="Arial" w:hAnsi="Arial"/>
          <w:sz w:val="17"/>
          <w:szCs w:val="17"/>
          <w:color w:val="auto"/>
        </w:rPr>
        <w:t>.</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Pass (Loan Grades 1-4) </w:t>
      </w:r>
      <w:r>
        <w:rPr>
          <w:rFonts w:ascii="Arial" w:cs="Arial" w:eastAsia="Arial" w:hAnsi="Arial"/>
          <w:sz w:val="18"/>
          <w:szCs w:val="18"/>
          <w:color w:val="auto"/>
        </w:rPr>
        <w:t>– A Pass asset is higher quality and does not fit any of the other categories described below. The likelihood of loss is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remote.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Special Mention </w:t>
      </w:r>
      <w:r>
        <w:rPr>
          <w:rFonts w:ascii="Arial" w:cs="Arial" w:eastAsia="Arial" w:hAnsi="Arial"/>
          <w:sz w:val="16"/>
          <w:szCs w:val="16"/>
          <w:color w:val="auto"/>
        </w:rPr>
        <w:t>(Loan Grade 5) – A Special Mention asset has potential weaknesses that may be temporary or, if left uncorrected, may result in a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While concerns exist, the Company is currently protected and loss is considered unlikely and not imminent.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Classified Substandard </w:t>
      </w:r>
      <w:r>
        <w:rPr>
          <w:rFonts w:ascii="Arial" w:cs="Arial" w:eastAsia="Arial" w:hAnsi="Arial"/>
          <w:sz w:val="18"/>
          <w:szCs w:val="18"/>
          <w:color w:val="auto"/>
        </w:rPr>
        <w:t>(Loan Grade 6) – A Substandard asset is inadequately protected by the current sound worth and paying capacity of the obligor or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collateral pledged, if any. Assets so classified have well defined weaknesses and are characterized by the distinct possibility that the Company may sustain some loss if deficiencies are not corrected.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Classified Doubtful </w:t>
      </w:r>
      <w:r>
        <w:rPr>
          <w:rFonts w:ascii="Arial" w:cs="Arial" w:eastAsia="Arial" w:hAnsi="Arial"/>
          <w:sz w:val="18"/>
          <w:szCs w:val="18"/>
          <w:color w:val="auto"/>
        </w:rPr>
        <w:t>(Loan Grade 7) – A Doubtful asset has all the weaknesses inherent in a Substandard asset with the added characteristics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make collection or liquidation in full highly questionable.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Classified Loss (Loan Grade 8) – </w:t>
      </w:r>
      <w:r>
        <w:rPr>
          <w:rFonts w:ascii="Arial" w:cs="Arial" w:eastAsia="Arial" w:hAnsi="Arial"/>
          <w:sz w:val="18"/>
          <w:szCs w:val="18"/>
          <w:color w:val="auto"/>
        </w:rPr>
        <w:t>A loss loan has an existing weakness or weaknesses that render the loan uncollectible and of such little value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to carry as an asset on the Bank’s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does not currently grade retained Strategic Program loans due to their small balances and homogenous nature. Credit quality for Strategic Program loans is highly correlated with delinquency levels. The Strategic Program loans are evaluated collectively for impairment.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Outstanding loan balances categorized by these credit quality indicators are summarized as follows at March 31, 2022 and December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March 31, 2022</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8"/>
              </w:rPr>
              <w:t>Special</w:t>
            </w:r>
          </w:p>
        </w:tc>
        <w:tc>
          <w:tcPr>
            <w:tcW w:w="120" w:type="dxa"/>
            <w:vAlign w:val="bottom"/>
          </w:tcPr>
          <w:p>
            <w:pPr>
              <w:spacing w:after="0"/>
              <w:rPr>
                <w:sz w:val="20"/>
                <w:szCs w:val="20"/>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Classified/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Doubtful/Loss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Grade 1-4</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Grade 5</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Grade 6-8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125,366</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3,285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30,572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30,772</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4,187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4,711</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16"/>
        </w:trPr>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 Risk Graded</w:t>
            </w: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2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Total at March 31, 2022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168,121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272,552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100" w:type="dxa"/>
            <w:vAlign w:val="bottom"/>
            <w:vMerge w:val="restart"/>
          </w:tcPr>
          <w:p>
            <w:pPr>
              <w:jc w:val="right"/>
              <w:ind w:right="199"/>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8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8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8"/>
              </w:rPr>
              <w:t>Special</w:t>
            </w:r>
          </w:p>
        </w:tc>
        <w:tc>
          <w:tcPr>
            <w:tcW w:w="120" w:type="dxa"/>
            <w:vAlign w:val="bottom"/>
          </w:tcPr>
          <w:p>
            <w:pPr>
              <w:spacing w:after="0"/>
              <w:rPr>
                <w:sz w:val="24"/>
                <w:szCs w:val="24"/>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Classified/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Doubtful/Loss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Grade 1-4</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Grade 5</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Grade 6-8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139,985</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Not Risk Graded</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 at December 31, 2021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177,485</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265,788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Loans modified and recorded as TDR’s during the three months ended March 31, 2022 and March 31, 2021,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Post-</w:t>
            </w:r>
          </w:p>
        </w:tc>
      </w:tr>
      <w:tr>
        <w:trPr>
          <w:trHeight w:val="216"/>
        </w:trPr>
        <w:tc>
          <w:tcPr>
            <w:tcW w:w="7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Modification</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Modification</w:t>
            </w:r>
          </w:p>
        </w:tc>
      </w:tr>
      <w:tr>
        <w:trPr>
          <w:trHeight w:val="216"/>
        </w:trPr>
        <w:tc>
          <w:tcPr>
            <w:tcW w:w="7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73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73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March 31, 2022</w:t>
            </w: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7"/>
        </w:trPr>
        <w:tc>
          <w:tcPr>
            <w:tcW w:w="73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Total at March 31, 2022</w:t>
            </w:r>
          </w:p>
        </w:tc>
        <w:tc>
          <w:tcPr>
            <w:tcW w:w="1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7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Non-Accrual</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7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SBA</w:t>
            </w:r>
          </w:p>
        </w:tc>
        <w:tc>
          <w:tcPr>
            <w:tcW w:w="102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7"/>
        </w:trPr>
        <w:tc>
          <w:tcPr>
            <w:tcW w:w="73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Total at March 31, 2021</w:t>
            </w:r>
          </w:p>
        </w:tc>
        <w:tc>
          <w:tcPr>
            <w:tcW w:w="1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16"/>
        </w:trPr>
        <w:tc>
          <w:tcPr>
            <w:tcW w:w="7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Non-Accrual</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2022 and 2021, there were no commitments to lend additional funds to debtors whose loan terms have been modified in a TDR. Loans modified and recorded as TDR’s during the three months ended March 31, 2022 and 2021 included modifications to rate and term. There was one principal charge-off recorded related to TDRs during the three months ended March 31, 2022 for $0.01 million. There were no principal charge-offs recorded related to TDRs during the three months ended March 31, 2021.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2022 and 2021, there were no loan modifications to TDRs. Separately, one restructured loan incurred a default within 12 months of the restructure date and continues to be in default during the three months ended March 31, 2022. One restructured loan incurred a default within 12 months of the restructure date during the three months ended March 31, 2021. This same loan was paid in full with interest on May 28,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 Premises and Equipment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Premises and equipment at March 31, 2022 and December 31, 2021,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premises and equipment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$0.1 million and $0.1 million for the three months ended March 31, 2022 and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Liabilities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leases its facilities under noncancelable operating leases. Rent expense for three months ended March 31, 2022 and 2021 was $0.2 million and $0.1 million, respectively. Future minimum annual rental payments for these operating leases are as follows ($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December 31,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2025</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2027</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7,982</w:t>
            </w:r>
          </w:p>
        </w:tc>
        <w:tc>
          <w:tcPr>
            <w:tcW w:w="8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7,386</w:t>
            </w: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entered into one lease during the three months ended March 31, 2022 to provide additional space while the Murray office construction is completed. ASC 842 does not apply due to the short-term period of this lease and immateriality. The tables below present information regarding the Company’s lease assets and liabilities. Comparative periods and disclosures are not presented here due to adoption of ASC 842 on January 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6000" w:type="dxa"/>
            <w:vAlign w:val="bottom"/>
            <w:gridSpan w:val="4"/>
          </w:tcPr>
          <w:p>
            <w:pPr>
              <w:jc w:val="center"/>
              <w:ind w:left="3956"/>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5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r>
      <w:tr>
        <w:trPr>
          <w:trHeight w:val="223"/>
        </w:trPr>
        <w:tc>
          <w:tcPr>
            <w:tcW w:w="5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19"/>
                <w:szCs w:val="19"/>
                <w:color w:val="auto"/>
              </w:rPr>
            </w:pPr>
          </w:p>
        </w:tc>
      </w:tr>
      <w:tr>
        <w:trPr>
          <w:trHeight w:val="216"/>
        </w:trPr>
        <w:tc>
          <w:tcPr>
            <w:tcW w:w="5240" w:type="dxa"/>
            <w:vAlign w:val="bottom"/>
          </w:tcPr>
          <w:p>
            <w:pPr>
              <w:spacing w:after="0"/>
              <w:rPr>
                <w:sz w:val="18"/>
                <w:szCs w:val="18"/>
                <w:color w:val="auto"/>
              </w:rPr>
            </w:pPr>
          </w:p>
        </w:tc>
        <w:tc>
          <w:tcPr>
            <w:tcW w:w="446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18"/>
                <w:szCs w:val="18"/>
                <w:i w:val="1"/>
                <w:iCs w:val="1"/>
                <w:color w:val="auto"/>
              </w:rPr>
              <w:t>(in thousands)</w:t>
            </w:r>
          </w:p>
        </w:tc>
        <w:tc>
          <w:tcPr>
            <w:tcW w:w="4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w w:val="94"/>
              </w:rPr>
              <w:t xml:space="preserve">Weighted-average remaining lease term – operating leases </w:t>
            </w:r>
            <w:r>
              <w:rPr>
                <w:rFonts w:ascii="Arial" w:cs="Arial" w:eastAsia="Arial" w:hAnsi="Arial"/>
                <w:sz w:val="18"/>
                <w:szCs w:val="18"/>
                <w:i w:val="1"/>
                <w:iCs w:val="1"/>
                <w:color w:val="auto"/>
                <w:w w:val="94"/>
              </w:rPr>
              <w:t>(in years)</w:t>
            </w: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569"/>
        </w:trPr>
        <w:tc>
          <w:tcPr>
            <w:tcW w:w="5240" w:type="dxa"/>
            <w:vAlign w:val="bottom"/>
          </w:tcPr>
          <w:p>
            <w:pPr>
              <w:spacing w:after="0"/>
              <w:rPr>
                <w:sz w:val="24"/>
                <w:szCs w:val="24"/>
                <w:color w:val="auto"/>
              </w:rPr>
            </w:pPr>
          </w:p>
        </w:tc>
        <w:tc>
          <w:tcPr>
            <w:tcW w:w="4200" w:type="dxa"/>
            <w:vAlign w:val="bottom"/>
          </w:tcPr>
          <w:p>
            <w:pPr>
              <w:jc w:val="right"/>
              <w:ind w:right="3656"/>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524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color w:val="auto"/>
              </w:rPr>
              <w:t>The components of lease expense were as follows (in thousands):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March 31, 2022</w:t>
            </w: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Short-term lease rent expense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rent expense</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5 – Deposits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Major classes of deposits at March 31, 2022 and December 31, 2021, are as follows: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7"/>
              </w:rPr>
              <w:t>53,434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Time certificates of deposit</w:t>
            </w:r>
          </w:p>
        </w:tc>
        <w:tc>
          <w:tcPr>
            <w:tcW w:w="120" w:type="dxa"/>
            <w:vAlign w:val="bottom"/>
          </w:tcPr>
          <w:p>
            <w:pPr>
              <w:spacing w:after="0"/>
              <w:rPr>
                <w:sz w:val="19"/>
                <w:szCs w:val="19"/>
                <w:color w:val="auto"/>
              </w:rPr>
            </w:pPr>
          </w:p>
        </w:tc>
        <w:tc>
          <w:tcPr>
            <w:tcW w:w="1220" w:type="dxa"/>
            <w:vAlign w:val="bottom"/>
            <w:gridSpan w:val="3"/>
          </w:tcPr>
          <w:p>
            <w:pPr>
              <w:jc w:val="center"/>
              <w:ind w:left="210"/>
              <w:spacing w:after="0"/>
              <w:rPr>
                <w:sz w:val="20"/>
                <w:szCs w:val="20"/>
                <w:color w:val="auto"/>
              </w:rPr>
            </w:pPr>
            <w:r>
              <w:rPr>
                <w:rFonts w:ascii="Arial" w:cs="Arial" w:eastAsia="Arial" w:hAnsi="Arial"/>
                <w:sz w:val="18"/>
                <w:szCs w:val="18"/>
                <w:color w:val="auto"/>
                <w:w w:val="87"/>
              </w:rPr>
              <w:t>81,688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98,184</w:t>
            </w:r>
          </w:p>
        </w:tc>
        <w:tc>
          <w:tcPr>
            <w:tcW w:w="100" w:type="dxa"/>
            <w:vAlign w:val="bottom"/>
          </w:tcPr>
          <w:p>
            <w:pPr>
              <w:spacing w:after="0"/>
              <w:rPr>
                <w:sz w:val="19"/>
                <w:szCs w:val="19"/>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277,460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80" w:type="dxa"/>
            <w:vAlign w:val="bottom"/>
            <w:gridSpan w:val="2"/>
          </w:tcPr>
          <w:p>
            <w:pPr>
              <w:spacing w:after="0"/>
              <w:rPr>
                <w:sz w:val="20"/>
                <w:szCs w:val="20"/>
                <w:color w:val="auto"/>
              </w:rPr>
            </w:pPr>
            <w:r>
              <w:rPr>
                <w:rFonts w:ascii="Arial" w:cs="Arial" w:eastAsia="Arial" w:hAnsi="Arial"/>
                <w:sz w:val="18"/>
                <w:szCs w:val="18"/>
                <w:color w:val="auto"/>
              </w:rPr>
              <w:t>At March 31, 2022, the scheduled maturities of time deposits are as follows ($ in thousands):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Year Ended December 31, 2023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21,461</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Year Ended December 31, 2025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Time deposits with balances equal or greater than $250,000 totaled $3.5 million and $3.7 million at March 31, 2022 and December 31, 2021,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SBA Servicing Asset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sells portions of SBA loans and retains rights to service the loans. Loans serviced for others are not included in the accompanying balance sheet. The unpaid principal balances of SBA loans serviced for others was $256.3 million and $210.2 million at March 31, 2022 and December 31, 2021,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The following table summarizes SBA servicing asset activity for the periods indicated:</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08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March 31,</w:t>
            </w:r>
          </w:p>
        </w:tc>
      </w:tr>
      <w:tr>
        <w:trPr>
          <w:trHeight w:val="223"/>
        </w:trPr>
        <w:tc>
          <w:tcPr>
            <w:tcW w:w="80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Additions to servicing asset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Recovery on SBA servicing asset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Pr>
          <w:p>
            <w:pPr>
              <w:ind w:left="180"/>
              <w:spacing w:after="0"/>
              <w:rPr>
                <w:sz w:val="20"/>
                <w:szCs w:val="20"/>
                <w:color w:val="auto"/>
              </w:rPr>
            </w:pPr>
            <w:r>
              <w:rPr>
                <w:rFonts w:ascii="Arial" w:cs="Arial" w:eastAsia="Arial" w:hAnsi="Arial"/>
                <w:sz w:val="18"/>
                <w:szCs w:val="18"/>
                <w:color w:val="auto"/>
              </w:rPr>
              <w:t>Amortization of servicing asset</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56"/>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market value of the SBA servicing asset as of March 31, 2022 and December 31, 2021, was $5.23 million and $3.94 million, respectively. Fair value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sectPr>
          <w:pgSz w:w="11900" w:h="16838" w:orient="portrait"/>
          <w:cols w:equalWidth="0" w:num="1">
            <w:col w:w="11240"/>
          </w:cols>
          <w:pgMar w:left="320" w:top="114"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assumed a weighted average prepayment rate of 14.25%, weighted average term of 4.26 years, and a weighted average discount rate of 9.70% at March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assumed a weighted average prepayment rate of 14.37%, weighted average term of 4.02 years, and a weighted average discount rate of 11.38% at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Capital Requirements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December 31, 2021 and March 31, 2022, that the Bank meets all capital adequacy requirements to which it is subject.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and December 31, 2021,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Bank’s actual capital amounts and ratios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Well-Capitalized</w:t>
            </w:r>
          </w:p>
        </w:tc>
      </w:t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Requirement</w:t>
            </w: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(CBLR election)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35,057*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(CBLR election)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31,442*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bl>
    <w:p>
      <w:pPr>
        <w:ind w:firstLine="8"/>
        <w:spacing w:after="0" w:line="260" w:lineRule="auto"/>
        <w:tabs>
          <w:tab w:leader="none" w:pos="1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27, 2020 the CARES Act became law. Section 4012 of the CARES Act directs the agencies to issue an interim final rule reducing the CBLR ratio requirement from 9% to 8% for the last two quarters of the year 2020, 8.5% for the calendar year 2021, and 9% thereafter.</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Federal Reserve Board Regulations require maintenance of certain minimum reserve balances based on certain average deposits. The Bank had reserve requirements of $0.0 million as of March 31, 2022 and December 31, 2021, respectively.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Home Loan Bank Secured Line of Credit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and December 31, 2021, the Bank’s available line of credit with the FHLB to borrow in overnight funds was $3.9 million and $4.1 million, respectively. All borrowings are short-term and the interest rate is equal to the correspondent bank’s daily federal funds purchase rate. As of March 31, 2022 and December 31, 2021, no amounts were outstanding under the line of credit. Loans totaling $5.2 million and $5.4 million were pledged to secure the FHLB line of credit as of March 31, 2022 and December 31,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March 31, 2022 and December 31, 2021, we had the ability to access $9.6 million and $10.9 million from the Federal Reserve Bank’s Discount Window on a collateralized basis. Through Zions Bank, the Bank had an available unsecured line available of $1.0 million at March 31, 2022 and December 31, 2021. The Bank had an available line of credit with Bankers’ Bank of the West to borrow up to $1.05 million in overnight funds at March 31, 2022 and December 31, 2021. We had no outstanding balances on such unsecured or secured lines of credit as of March 31, 2022 and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Liquidity Facility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20, 2020, the Bank was approved by the Federal Reserve to access its SBA Paycheck Protection Program Liquidity Facility (“PPPLF”) through the discount window. The PPPLF enables the Company to fund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$1.0 million of PPP loans as eligible collateral under the PPPLF borrowing arrangement at December 31, 2021. The Bank pledged $1.0 million of PPP loans as eligible collateral under the PPPLF borrowing arrangement at March 31, 2022. The average outstanding borrowings were $87.3 million during the three months ended March 31, 2021 and $1.0 million during the three months ended March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to Extend Credit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9"/>
              </w:rPr>
              <w:t>At March 31, 2022 and December 31, 2021, financial instruments with off-balance-sheet risk were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Revolving, open-end lines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15,402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unused commitments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23,646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 in Business Funding Group, LLC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10% membership interests of BFG are comprised of Class A Voting Units representing 4.96% of the aggregate membership interests of BFG and Class B Non-Voting Units representing 5.04%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$0.1 million and $0.3 million for the three months ended March 31, 2022 and 2021, respectively. These distributions were recorded in the Consolidated Balance Sheets as decreases in the investment in BFG.</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is not publicly traded. The resulting fair value of the warrants was $0.19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the Company’s investment in BFG, see Note 13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 The 2019 Plan authorizes the issuance of 780,000 common shares. The 2019 Plan will terminate as to future awards 10 years from the later of the effective date or the earlier of the most recent Board or stockholder approval of an increase in the number of shares reserved for issuance under the 2019 Plan. At March 31, 2022, 297,786 shares are available for future issuance.</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March 31, 2022, 29,712 shares under 2016 Plan are available for future issuance.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24, 2019, the Board approved a restricted stock discretionary grant of 1,072,746 shares to certain employees. Pursuant to the awards agreement, 351,852 shares vested on the grant date and were repurchased by the Company on December 31, 2019 to pay for employee withholding taxes. Pursuant to the awards agreement, 73,770 shares subsequently vested and were repurchased by the Company on April 6, 2020 to pay for employee income taxes. Granted shares vest based on the accelerated attribution method on a schedule where all shares would be fully vested on December 1, 2023. On November 18, 2021, pursuant to the awards agreement, the 424,458 remaining unvested shares became vested because the Company’s registration statement was declared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grant date fair value is determined using the Black-Scholes option valuation model. No option grants took place in the three months ended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 option activity for the three months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Life (in</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Stock Options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862,488</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8.2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8,088,660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(16,800)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248,312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92,357</w:t>
            </w:r>
          </w:p>
        </w:tc>
      </w:tr>
      <w:tr>
        <w:trPr>
          <w:trHeight w:val="27"/>
        </w:trPr>
        <w:tc>
          <w:tcPr>
            <w:tcW w:w="59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Outstanding at March 31, 2022</w:t>
            </w:r>
          </w:p>
        </w:tc>
        <w:tc>
          <w:tcPr>
            <w:tcW w:w="1140" w:type="dxa"/>
            <w:vAlign w:val="bottom"/>
          </w:tcPr>
          <w:p>
            <w:pPr>
              <w:jc w:val="right"/>
              <w:spacing w:after="0"/>
              <w:rPr>
                <w:sz w:val="20"/>
                <w:szCs w:val="20"/>
                <w:color w:val="auto"/>
              </w:rPr>
            </w:pPr>
            <w:r>
              <w:rPr>
                <w:rFonts w:ascii="Arial" w:cs="Arial" w:eastAsia="Arial" w:hAnsi="Arial"/>
                <w:sz w:val="18"/>
                <w:szCs w:val="18"/>
                <w:color w:val="auto"/>
              </w:rPr>
              <w:t>839,028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10,645,951</w:t>
            </w:r>
          </w:p>
        </w:tc>
      </w:tr>
      <w:tr>
        <w:trPr>
          <w:trHeight w:val="21"/>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exercisable at March 31, 2022</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592,632</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8.0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7,447,226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weighted average grant-date fair value of options per share granted was $1.55 during the three months ended March 31, 2022. The aggregate intrinsic value of options exercised during the three months ended March 31, 2022 was $0.25 million. During the three months ended March 31, 2022, the Company received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proceeds from the exercise of stock options and recognized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tax benefit from the exercise of stock options. Upon exercise of the stock options, the Company will issue new authorized shares.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Stock-based compensation expense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The following tables present pre-tax and after-tax stock-based compensation expense recognized: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w:t>
            </w: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ind w:left="340"/>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Pre-tax</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Restricted shares</w:t>
            </w:r>
          </w:p>
        </w:tc>
        <w:tc>
          <w:tcPr>
            <w:tcW w:w="2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After-tax</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Restricted shares</w:t>
            </w:r>
          </w:p>
        </w:tc>
        <w:tc>
          <w:tcPr>
            <w:tcW w:w="2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 Company had unrecognized stock-based compensation expense related to stock options of approximately $0.2 million, respectively, which is expected to be recognized over the remaining weighted average recognition period of 2.2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of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instruments. An active market is a market in which transactions occur with sufficient frequency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volume to provide pricing information on an ongoing basis. A quoted price in an active market provides the most reliable evidence of fair value and shall be used to measure fair value whenever available.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Observable inputs other than Level 1 including quoted prices in active markets for similar instruments, quoted prices in less active markets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or similar instruments, or other observable inputs that can be corroborated by observable market data.</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supported by little or no market activity for financial instruments whose value is determined using pricing models,</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 of each class of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The carrying amount of these items is a reasonable estimate of their fair value.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securities held-to-maturity</w:t>
      </w:r>
      <w:r>
        <w:rPr>
          <w:rFonts w:ascii="Arial" w:cs="Arial" w:eastAsia="Arial" w:hAnsi="Arial"/>
          <w:sz w:val="18"/>
          <w:szCs w:val="18"/>
          <w:color w:val="auto"/>
        </w:rPr>
        <w:t>: The estimated fair values of investment securities are priced using current active market quotes, if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considered Level 1 measurements. For most of the portfolio, matrix pricing based on the securities’ relationship to other benchmark quoted prices is used to establish the fair value. These measurements are considered Level 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in Federal Home Loan Bank stock</w:t>
      </w:r>
      <w:r>
        <w:rPr>
          <w:rFonts w:ascii="Arial" w:cs="Arial" w:eastAsia="Arial" w:hAnsi="Arial"/>
          <w:sz w:val="16"/>
          <w:szCs w:val="16"/>
          <w:color w:val="auto"/>
        </w:rPr>
        <w:t>: The fair value is based upon the redemption value of the stock, which equates to the carrying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Program loans held-for-sale</w:t>
      </w:r>
      <w:r>
        <w:rPr>
          <w:rFonts w:ascii="Arial" w:cs="Arial" w:eastAsia="Arial" w:hAnsi="Arial"/>
          <w:sz w:val="18"/>
          <w:szCs w:val="18"/>
          <w:color w:val="auto"/>
        </w:rPr>
        <w:t>: The carrying amount of these items is a reasonable estimate of their fair value.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Loans held for investment</w:t>
      </w:r>
      <w:r>
        <w:rPr>
          <w:rFonts w:ascii="Arial" w:cs="Arial" w:eastAsia="Arial" w:hAnsi="Arial"/>
          <w:sz w:val="18"/>
          <w:szCs w:val="18"/>
          <w:color w:val="auto"/>
        </w:rPr>
        <w:t>: The fair value is estimated by discounting the future cash flows and estimated prepayments using the current rates at which</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loans would be made to borrowers with similar credit ratings and for the same remaining term. Some loan types’ fair value approximated carrying value because of their floating rate or expected maturity characteristics.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SBA servicing asset</w:t>
      </w:r>
      <w:r>
        <w:rPr>
          <w:rFonts w:ascii="Arial" w:cs="Arial" w:eastAsia="Arial" w:hAnsi="Arial"/>
          <w:sz w:val="16"/>
          <w:szCs w:val="16"/>
          <w:color w:val="auto"/>
        </w:rPr>
        <w:t>: The fair value of servicing assets is based on, in part, third -party valuations that project estimated future cash inflows that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Due to the fact that observable loan transactions are used to determine the risk spreads, the Company considers the measurement to be Level 2.</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in BFG</w:t>
      </w:r>
      <w:r>
        <w:rPr>
          <w:rFonts w:ascii="Arial" w:cs="Arial" w:eastAsia="Arial" w:hAnsi="Arial"/>
          <w:sz w:val="18"/>
          <w:szCs w:val="18"/>
          <w:color w:val="auto"/>
        </w:rPr>
        <w:t>: The Company purchased its ownership interest in BFG on December 31, 2019. The Company’s valuation utilized the average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discounted cash flow method and the Guideline Public Company method. A 20% lack of marketability discount was applied to the valuation as well as a 4.50% discount to non-voting shares to arrive at fair value.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Deposits</w:t>
      </w:r>
      <w:r>
        <w:rPr>
          <w:rFonts w:ascii="Arial" w:cs="Arial" w:eastAsia="Arial" w:hAnsi="Arial"/>
          <w:sz w:val="18"/>
          <w:szCs w:val="18"/>
          <w:color w:val="auto"/>
        </w:rPr>
        <w:t>: The carrying amount of deposits with no stated maturity, such as savings and checking accounts, is a reasonable estimate of their fair value.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certificates of deposit is based upon the discounted value of contractual cash flows. The discount rate is determined using the rates currently offered on comparable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interest receivable and payable</w:t>
      </w:r>
      <w:r>
        <w:rPr>
          <w:rFonts w:ascii="Arial" w:cs="Arial" w:eastAsia="Arial" w:hAnsi="Arial"/>
          <w:sz w:val="18"/>
          <w:szCs w:val="18"/>
          <w:color w:val="auto"/>
        </w:rPr>
        <w:t>: The fair value of accrued interest receivable and payable approximates their carrying amount.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firstLine="8"/>
        <w:spacing w:after="0" w:line="282" w:lineRule="auto"/>
        <w:tabs>
          <w:tab w:leader="none" w:pos="37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Facility</w:t>
      </w:r>
      <w:r>
        <w:rPr>
          <w:rFonts w:ascii="Arial" w:cs="Arial" w:eastAsia="Arial" w:hAnsi="Arial"/>
          <w:sz w:val="18"/>
          <w:szCs w:val="18"/>
          <w:color w:val="auto"/>
        </w:rPr>
        <w:t>: The fair value of PPPLF is estimated using a discounted cash flow based on the remaining contractual term and current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rates for similar terms.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March 31, 2022</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Financial assets: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116,646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Investment securities held-to-maturity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10,986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11,423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11,332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FHLB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189,549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192,172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198,102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197,412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held-for-sale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73,805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60,748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60,743</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servicing asset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Investment in BFG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277,460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265,883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251,892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249,488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PPP Liquidity Facility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Fair Value Measurements Using</w:t>
            </w: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Description of Financial Instrument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Nonrecurring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Nonrecurring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Impaired loans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972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bl>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Impaired loans </w:t>
      </w:r>
      <w:r>
        <w:rPr>
          <w:rFonts w:ascii="Arial" w:cs="Arial" w:eastAsia="Arial" w:hAnsi="Arial"/>
          <w:sz w:val="17"/>
          <w:szCs w:val="17"/>
          <w:color w:val="auto"/>
        </w:rPr>
        <w:t>– The loan amount above represents loans impaired as of year-end that have been adjusted to fair value. When collateral dependent loans</w:t>
      </w:r>
      <w:r>
        <w:rPr>
          <w:rFonts w:ascii="Arial" w:cs="Arial" w:eastAsia="Arial" w:hAnsi="Arial"/>
          <w:sz w:val="17"/>
          <w:szCs w:val="17"/>
          <w:b w:val="1"/>
          <w:bCs w:val="1"/>
          <w:color w:val="auto"/>
        </w:rPr>
        <w:t xml:space="preserve"> </w:t>
      </w:r>
      <w:r>
        <w:rPr>
          <w:rFonts w:ascii="Arial" w:cs="Arial" w:eastAsia="Arial" w:hAnsi="Arial"/>
          <w:sz w:val="17"/>
          <w:szCs w:val="17"/>
          <w:color w:val="auto"/>
        </w:rPr>
        <w:t>are identified as impaired, the impairment is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or impairments on loans for adjustments made based on the fair value of the collateral.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Quantitative information for Level 3 fair value measurements </w:t>
      </w:r>
      <w:r>
        <w:rPr>
          <w:rFonts w:ascii="Arial" w:cs="Arial" w:eastAsia="Arial" w:hAnsi="Arial"/>
          <w:sz w:val="18"/>
          <w:szCs w:val="18"/>
          <w:color w:val="auto"/>
        </w:rPr>
        <w:t>– The range and weighted average of the significant unobservable inputs used to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Level 3 nonrecurring assets as of March 31, 2022 and as of December 31, 2021, along with the valuation techniques used, are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Range</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41"/>
        </w:trPr>
        <w:tc>
          <w:tcPr>
            <w:tcW w:w="2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5"/>
              </w:rPr>
              <w:t>Input</w:t>
            </w:r>
          </w:p>
        </w:tc>
        <w:tc>
          <w:tcPr>
            <w:tcW w:w="12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2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Adjustment to</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comparable</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appraisal value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2900" w:type="dxa"/>
            <w:vAlign w:val="bottom"/>
          </w:tcPr>
          <w:p>
            <w:pPr>
              <w:jc w:val="center"/>
              <w:spacing w:after="0" w:line="201" w:lineRule="exact"/>
              <w:rPr>
                <w:sz w:val="20"/>
                <w:szCs w:val="20"/>
                <w:color w:val="auto"/>
              </w:rPr>
            </w:pPr>
            <w:r>
              <w:rPr>
                <w:rFonts w:ascii="Arial" w:cs="Arial" w:eastAsia="Arial" w:hAnsi="Arial"/>
                <w:sz w:val="18"/>
                <w:szCs w:val="18"/>
                <w:color w:val="auto"/>
                <w:w w:val="92"/>
              </w:rPr>
              <w:t>Adjustment to</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Impaired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comparable</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appraisal value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accounts for income taxes by recognizing deferred tax assets and liabilities based upon temporary differences between the amounts for financial reporting purposes and tax basis of its assets and liabilities. Deferred tax assets changed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from December 31, 2021 to March 31, 2022 as a result of changes to temporary timing differences associated with accounting for bad debts. Deferred tax assets are reduced by a valuation allowance when, in the opinion of management, it is more-likely-than-not that some portion, or all, of the deferred tax asset will not be realized. In assessing the realization of deferred tax assets, management evaluates both positive and negative evidence, including the forecasts of future income, applicable tax planning strategies, and assessments of current and future economic and business conditions. This analysis is updated quarterly and adjusted as necessary. Based on this analysis, management has determined that a valuation allowance for deferred tax assets was not required at March 31, 2022.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2021, income tax expense was $3.2 million and $1.9 million, respectively, resulting in an effective income tax rate of 25.4% and 26.7%, respectively. The effective tax rate differs from the statutory rate of 26.0% during the three months ended March 31, 2022 and 2021, respectively, due primarily to the tax effect of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unrecognized tax benefits at March 31, 2022.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U.S. government enacted the CARES Act. Among other provisions, the CARES Act makes several modifications to federal net operating losses, including requiring a taxpayer with a net operating loss (“NOL”) arising in a taxable year beginning in 2018, 2019, or 2020 to carry that loss back to each of the five preceding years unless the taxpayer elects to waive or reduce the carryback. The Company did not generate NOLs in 2018, 2019 and 2020.</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grant loans to certain executive officers and directors and the companies with which they are associated. The Company had loans outstanding to related parties of $0.0 million as of March 31, 2022 and December 31, 2021. Total deposits from certain executive officers and directors and the companies with which they are associated were $0.9 million and $0.5 million as of March 31, 2022 and December 31, 2021, respectively.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BFG is a small business loan broker, primarily under the SBA’s 7(a) loan program. As noted in Note 9 Investments above, the Company has a 10%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the components used to derive basic and diluted EPS for the three months ended March 31, 2022 and 2021 ($ 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80" w:type="dxa"/>
            <w:vAlign w:val="bottom"/>
          </w:tcPr>
          <w:p>
            <w:pPr>
              <w:spacing w:after="0"/>
              <w:rPr>
                <w:sz w:val="20"/>
                <w:szCs w:val="20"/>
                <w:color w:val="auto"/>
              </w:rPr>
            </w:pPr>
          </w:p>
        </w:tc>
        <w:tc>
          <w:tcPr>
            <w:tcW w:w="316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March 31,</w:t>
            </w:r>
          </w:p>
        </w:tc>
      </w:tr>
      <w:tr>
        <w:trPr>
          <w:trHeight w:val="223"/>
        </w:trPr>
        <w:tc>
          <w:tcPr>
            <w:tcW w:w="80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5,291</w:t>
            </w:r>
          </w:p>
        </w:tc>
      </w:tr>
      <w:tr>
        <w:trPr>
          <w:trHeight w:val="223"/>
        </w:trPr>
        <w:tc>
          <w:tcPr>
            <w:tcW w:w="8080" w:type="dxa"/>
            <w:vAlign w:val="bottom"/>
          </w:tcPr>
          <w:p>
            <w:pPr>
              <w:ind w:left="180"/>
              <w:spacing w:after="0" w:line="216" w:lineRule="exact"/>
              <w:rPr>
                <w:sz w:val="20"/>
                <w:szCs w:val="20"/>
                <w:color w:val="auto"/>
              </w:rPr>
            </w:pPr>
            <w:r>
              <w:rPr>
                <w:rFonts w:ascii="Arial" w:cs="Arial" w:eastAsia="Arial" w:hAnsi="Arial"/>
                <w:sz w:val="16"/>
                <w:szCs w:val="16"/>
                <w:color w:val="auto"/>
              </w:rPr>
              <w:t>Amount allocated to participating common shareholders</w:t>
            </w:r>
            <w:r>
              <w:rPr>
                <w:rFonts w:ascii="Arial" w:cs="Arial" w:eastAsia="Arial" w:hAnsi="Arial"/>
                <w:sz w:val="25"/>
                <w:szCs w:val="25"/>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r>
      <w:tr>
        <w:trPr>
          <w:trHeight w:val="257"/>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 to common shareholders</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0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12,777,237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8,091,186</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Weighted average effect of dilutive securities: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619,516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244,586</w:t>
            </w:r>
          </w:p>
        </w:tc>
      </w:tr>
      <w:tr>
        <w:trPr>
          <w:trHeight w:val="223"/>
        </w:trPr>
        <w:tc>
          <w:tcPr>
            <w:tcW w:w="80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170,558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13,567,311</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8,335,772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080" w:type="dxa"/>
            <w:vAlign w:val="bottom"/>
          </w:tcPr>
          <w:p>
            <w:pPr>
              <w:spacing w:after="0"/>
              <w:rPr>
                <w:sz w:val="20"/>
                <w:szCs w:val="20"/>
                <w:color w:val="auto"/>
              </w:rPr>
            </w:pPr>
            <w:r>
              <w:rPr>
                <w:rFonts w:ascii="Arial" w:cs="Arial" w:eastAsia="Arial" w:hAnsi="Arial"/>
                <w:sz w:val="18"/>
                <w:szCs w:val="18"/>
                <w:b w:val="1"/>
                <w:bCs w:val="1"/>
                <w:color w:val="auto"/>
              </w:rPr>
              <w:t>Earnings per share, basic</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0.74</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diluted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Represents earnings attributable to holders of unvested restricted stock issued outside of the Plan to the Company’s employees.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219,512 and 698,302 anti-dilutive options for March 31, 2022 and 2021 reported in the table above. There were 99,442 shares and 270,000 anti-dilutive warrants for March 31, 2022 and 2021 reported in the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revenue disaggregated by contracts with customers and revenue outside the scope of ASC 606: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160" w:type="dxa"/>
            <w:vAlign w:val="bottom"/>
            <w:gridSpan w:val="7"/>
          </w:tcPr>
          <w:p>
            <w:pPr>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b w:val="1"/>
                <w:bCs w:val="1"/>
                <w:color w:val="auto"/>
              </w:rPr>
              <w:t>Interest income</w:t>
            </w:r>
          </w:p>
        </w:tc>
        <w:tc>
          <w:tcPr>
            <w:tcW w:w="3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Interest income, not-in-scope</w:t>
            </w:r>
          </w:p>
        </w:tc>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fees on loans</w:t>
            </w:r>
          </w:p>
        </w:tc>
        <w:tc>
          <w:tcPr>
            <w:tcW w:w="396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Interest on securities</w:t>
            </w: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interest income</w:t>
            </w:r>
          </w:p>
        </w:tc>
        <w:tc>
          <w:tcPr>
            <w:tcW w:w="36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interest income</w:t>
            </w:r>
          </w:p>
        </w:tc>
        <w:tc>
          <w:tcPr>
            <w:tcW w:w="3960" w:type="dxa"/>
            <w:vAlign w:val="bottom"/>
            <w:gridSpan w:val="2"/>
          </w:tcPr>
          <w:p>
            <w:pPr>
              <w:ind w:left="3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13,223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8,806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 in-scope</w:t>
            </w:r>
          </w:p>
        </w:tc>
        <w:tc>
          <w:tcPr>
            <w:tcW w:w="3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3960" w:type="dxa"/>
            <w:vAlign w:val="bottom"/>
            <w:gridSpan w:val="2"/>
          </w:tcPr>
          <w:p>
            <w:pPr>
              <w:ind w:left="3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set up fees</w:t>
            </w:r>
          </w:p>
        </w:tc>
        <w:tc>
          <w:tcPr>
            <w:tcW w:w="3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 not in-scope</w:t>
            </w:r>
          </w:p>
        </w:tc>
        <w:tc>
          <w:tcPr>
            <w:tcW w:w="3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loans</w:t>
            </w:r>
          </w:p>
        </w:tc>
        <w:tc>
          <w:tcPr>
            <w:tcW w:w="3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3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Other miscellaneous income</w:t>
            </w: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Program service charges</w:t>
            </w:r>
          </w:p>
        </w:tc>
        <w:tc>
          <w:tcPr>
            <w:tcW w:w="36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3960" w:type="dxa"/>
            <w:vAlign w:val="bottom"/>
            <w:gridSpan w:val="2"/>
          </w:tcPr>
          <w:p>
            <w:pPr>
              <w:ind w:left="3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11,682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6,079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660" w:type="dxa"/>
            <w:vAlign w:val="bottom"/>
            <w:vMerge w:val="restart"/>
          </w:tcPr>
          <w:p>
            <w:pPr>
              <w:jc w:val="right"/>
              <w:ind w:right="2294"/>
              <w:spacing w:after="0"/>
              <w:rPr>
                <w:sz w:val="20"/>
                <w:szCs w:val="20"/>
                <w:color w:val="auto"/>
              </w:rPr>
            </w:pPr>
            <w:r>
              <w:rPr>
                <w:rFonts w:ascii="Arial" w:cs="Arial" w:eastAsia="Arial" w:hAnsi="Arial"/>
                <w:sz w:val="14"/>
                <w:szCs w:val="14"/>
                <w:color w:val="auto"/>
              </w:rPr>
              <w:t>30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4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20" w:type="dxa"/>
            <w:vAlign w:val="bottom"/>
            <w:tcBorders>
              <w:bottom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recognize subsequent events that provide evidence about conditions that did not exist at the date of the balance sheet but arose after the date of the balance sheet and before the financial statements are available to be issued. The Company has evaluated subsequent events through May 16, 2022, which is the date the unaudited consolidated financial statements are available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consolidated financial statements and related notes thereto and other financial information included elsewhere in this Report.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most recently filed Annual Report on Form 10-K entitled “Risk Factors,” “Cautionary Note Regarding Forward-Looking Statements” and elsewhere in this Report. We assume no obligation to update any of these forward-looking statements except to the extent required by law.</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The following discussion pertains to our historical results, on a consolidated basis. However, because we conduct all our material business operations through our wholly owned subsidiary, FinWise Bank, the discussion and analysis relates to activities primarily conducted at the subsidiary level.</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All dollar amounts in the tables in this section are in thousands of dollars, except per share data or where otherwise specifically noted. Unless otherwise stated, all information in this Report gives effect to a six-for-one stock split of our common stock completed effective July 26, 2021. The effect of the stock split on outstanding shares and per share figures has been retroactively applied to all periods presented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 Utah corporation and the parent company of FinWise Bank.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 See “Supervision and Regulation.”</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analytics platform, FinView™, enhances our ability to gather and interpret performance data for our originations and provides management with an ability to identify attractive, risk-adjusted sectors for growth. These insights coupled with the billions of dollars in originations funded annually and our ability to sell loans or retain for investment enhance our unique position. Our track record has demonstrated that these qualities deliver superior growth and profitability and that the flexibility inherent in our model enhances our ability to manage credit risk.</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condition and results of operations depend primarily on our ability to (i) originate loans using our strategic relationships with third-party loan origination platforms to earn interest and noninterest income, (ii) utilize FinView™ to identify attractive risk-adjusted lending opportunities and inform the selection of loans for investment while limiting credit losses, (iii) attract and retain low cost, stable deposits, and (iv) efficiently operate in compliance with applicable regulations.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lending focuses on four main lending areas: (i) SBA 7(a) loans, (ii) Strategic Programs, (iii) residential and commercial real estate and (iv) consumer lending. For a description and analysis of the Company’s loan categories, see “—Principal Factors Affecting Our Financial Condition”.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 Pandemic</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March 2020, our nation has experienced a massive health and economic crisis as a result of the Covid-19 pandemic, which continues to negatively impact the health and finances of millions of people and businesses and have a pronounced impact on the global and national economy. To control the spread of the Covid-19 virus, governments around the world instituted widespread shutdowns of the economy which resulted in record unemployment in a matter of weeks. The economic turbulence spawned by the Covid-19 pandemic left many banks with potential credit quality and income issues. These issues are further compounded by uncertainties regarding the length, depth and possible resurgence of the pandemic and its ultimate long-term effects on the economy. In an effort to reduce the impact of economic shutdowns, the United States Congress has passed the CARES Act, the Economic Aid to Hard-Hit Small Businesses, Nonprofits, and Venues Act, the Consolidated Appropriations Act, 2021, and recently the American Rescue Plan Act of 2021. These relief measures have provided stimulus payments to individuals, expanded unemployment benefits, and created programs that provided critical financing to small businesses through products such as the EIDL and the PPP, both of which are being administered by the SBA. Additionally, the United States government agreed to make six months of payments on SBA loans and increase the SBA guaranty on SBA 7(a) loans to 90% for loans originated from February 1, 2020 through September 30, 2021. The SBA has made the full monthly P&amp;I payments with respect to our qualifying SBA 7(a) customers in “regular servicing” status for six months. For most of our SBA portfolio (the legacy loans), the SBA made borrowers’ principal and interest payments from April 2020 through September 2020. These were officially referred to as First Round Section 1112 Payments, as they derived from Section 1112 of the CARES Act. To be eligible for the full six months of First Round Section 1112 Payments, the SBA loans were required to be: (i) in “regular servicing” status; (ii) approved by the SBA before March 27, 2020; and (iii) fully disbursed by September 27, 2020. Under the Economic Aid Act, the SBA will make an additional two payments for eligible SBA customers, capped at $9,000 per month per loan. Borrowers with loan payments above $9,000 per month are responsible for paying the difference. For our legacy portfolio, the SBA will make payment on the lesser of a borrower’s monthly principal and interest payment or $9,000 per month from February 2021 through March 2021. These are referred to as Second Round Section 1112 Payments.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SBA released a list of NAICS codes deemed to have been particularly affected by the Covid-19 pandemic. SBA customers who met all other Section 1112 qualifying criteria and operated within certain NAICS codes, are entitled to an additional three months of payments which were completed in 2021. As of March 31, 2021, the Bank had 35 qualifying SBA loans totaling approximately $4.9 million in SBA 7(a) unguaranteed balance that received an additional three months of Second Round Section 1112 Payments, which were capped at $9,000 per month and per loan. As of March 31, 2022, 5 of the 35 qualifying SBA loans have been paid in full. The remaining 30 loans are performing and total approximately $4.4 million in SBA 7(a) unguaranteed balance. As of March 31, 2022, none of the remaining 30 loans are entitled to additional Section 1112 payments. We ceased originating PPP loans after 2020.</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Bank’s diversified loan portfolio and associated revenue streams have enabled the Bank to sustain and grow its business despite the adverse conditions relating to the Covid-19 pandemic. For the three months ended March 31, 2021, the provision for loan losses amounted to $0.6 million. For the three months ended March 31, 2022 the provision for loan losses amounted to $2.9 million. While some of the adverse conditions relating to the Covid-19 pandemic reversed in 2021, and have continued such reversal in the beginning of 2022, sustained improvements are highly dependent upon strengthening economic conditions. The Covid-19 pandemic continues to cause economic uncertainties which may again result in these and other adverse impacts to our financial condition and results of operations. We believe our SBA 7(a) underwriting program has remained strong throughout the Covid-19 pandemic and our SBA 7(a) loans are well collateralized when compared to the SBA industry in general.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37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Interest expense</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Non-interest income</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6,079</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(6,663)</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(3,214)</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(1,926)</w:t>
            </w:r>
          </w:p>
        </w:tc>
      </w:tr>
      <w:tr>
        <w:trPr>
          <w:trHeight w:val="257"/>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740" w:type="dxa"/>
            <w:vAlign w:val="bottom"/>
          </w:tcPr>
          <w:p>
            <w:pPr>
              <w:spacing w:after="0"/>
              <w:rPr>
                <w:sz w:val="24"/>
                <w:szCs w:val="24"/>
                <w:color w:val="auto"/>
              </w:rPr>
            </w:pPr>
          </w:p>
        </w:tc>
        <w:tc>
          <w:tcPr>
            <w:tcW w:w="4940" w:type="dxa"/>
            <w:vAlign w:val="bottom"/>
          </w:tcPr>
          <w:p>
            <w:pPr>
              <w:jc w:val="right"/>
              <w:ind w:right="290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74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three months ended March 31, 2022 was $9.4 million, an increase of $4.1 million or 78.3% from net income of $5.3 million for the three months ended March 31, 2021. The increase was primarily due to an increase of $5.6 million or 92.2% in non-interest income and an increase of $4.4 million or 50.2% in interest income, offset by an increase of $2.4 million or 35.8% in non-interest expense and an increase of $2.3 million or 365.6% in provision for loan losses,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Interest Margin Analysis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income was the primary contributor to our earnings in 2022 and 2021. We believe our net interest income results were enhanced by using FinView™ to identify attractive risk-adjusted lending opportunities and assist in the selection of Strategic Program loans that we chose to hold for investment.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three months ended March 31, 2022, our net interest income increased $4.5 million, or 53.7%, to $13.0 million compared to the three months ended March 31, 2021. This increase was primarily due to an increase in asset yields, growth in average interest earning assets, and a decrease in our cost of funds. Average interest earning assets increased by $80.1 million, or 26.0%, to $387.8 million for the three months ended March 31, 2022 compared to the three months ended March 31, 2021, while the related yield on average interest earning assets increased by 219 basis points to 13.64%, resulting in increased interest income for the three months ended March 31, 2022 of $13.2 million. A substantial decrease in the average balances of comparatively low yielding PPP loans during the three months ended March 31, 2022 contributed to the increase in yield on average interest earning assets for the period. The corresponding cost of funds on interest bearing liabilities for the three months ended March 31, 2022 declined by 9 basis points to 0.79%, and the average balance in interest bearing liabilities decreased by $35.5 million, or 21.0%. The general decline of interest rates in the U.S. financial markets in 2021 is the primary cause for the decline in the cost of funds. As indicated in the rate/volume table set forth below, the decline in the cost of funds and the effect of decreased volumes of interest-bearing liabilities resulted in decreased interest expense for the three months ended March 31, 2022 to $0.3 million. We gather deposits in the Salt Lake City, Utah MSA through our one branch and nationwide from our Strategic Program service providers, SBA 7(a) borrowers, Institutional Deposit exchanges, and brokered deposit arrangements. For the three months ended March 31, 2022, average outstanding balances under our PPPLF decreased compared to the three months ended March 31, 2021. The decrease in funding from our PPPLF was partially offset by increases in deposits sourced through our branch, Strategic Programs, SBA 7(a) borrowers, national Institutional Deposit exchanges and brokered deposit arrangements compared to the three months ended March 31, 2021. Our net interest margin increased from 10.96% at March 31, 2021 to 13.37% at March 31, 2022.</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Average Balances and Yields</w:t>
      </w:r>
      <w:r>
        <w:rPr>
          <w:rFonts w:ascii="Arial" w:cs="Arial" w:eastAsia="Arial" w:hAnsi="Arial"/>
          <w:sz w:val="16"/>
          <w:szCs w:val="16"/>
          <w:color w:val="auto"/>
        </w:rPr>
        <w:t>. The following table presents average balances for assets and liabilities, the total dollar amounts of interest income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a net cost of approximately $0.4 million (including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SBA fees related to PPP loans) for the three months ended March 31, 2022.and $1.3 million (including approximately $0.9 million in SBA fees related to</w:t>
      </w:r>
    </w:p>
    <w:p>
      <w:pPr>
        <w:spacing w:after="0" w:line="2" w:lineRule="exact"/>
        <w:rPr>
          <w:sz w:val="20"/>
          <w:szCs w:val="20"/>
          <w:color w:val="auto"/>
        </w:rPr>
      </w:pPr>
    </w:p>
    <w:p>
      <w:pPr>
        <w:ind w:firstLine="8"/>
        <w:spacing w:after="0" w:line="290" w:lineRule="auto"/>
        <w:tabs>
          <w:tab w:leader="none" w:pos="358" w:val="left"/>
        </w:tabs>
        <w:numPr>
          <w:ilvl w:val="0"/>
          <w:numId w:val="7"/>
        </w:numPr>
        <w:rPr>
          <w:rFonts w:ascii="Arial" w:cs="Arial" w:eastAsia="Arial" w:hAnsi="Arial"/>
          <w:sz w:val="17"/>
          <w:szCs w:val="17"/>
          <w:color w:val="auto"/>
        </w:rPr>
      </w:pPr>
      <w:r>
        <w:rPr>
          <w:rFonts w:ascii="Arial" w:cs="Arial" w:eastAsia="Arial" w:hAnsi="Arial"/>
          <w:sz w:val="17"/>
          <w:szCs w:val="17"/>
          <w:color w:val="auto"/>
        </w:rPr>
        <w:t>loans) of net loan fees are included in interest income on loans for the three months ended March 31, 2021. Average balances have been calculated using daily averages.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w w:val="96"/>
              </w:rPr>
              <w:t>Three Months Ended March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Average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Yield/Rate</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Balance</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Yield/Rate</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Interest earning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Interest-bearing deposits with the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tcPr>
          <w:p>
            <w:pPr>
              <w:ind w:left="30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Reserve, non-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central banks and other banks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1,750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94,610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6,765</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40.35%</w:t>
            </w: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202,052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6,391</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223,728</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5,224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387,780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13.64%</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307,712</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Less: ALL</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(10,366)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(6,288)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earning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24,160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401,574</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312,778</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Demand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6,287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Savings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Money market accounts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31,889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17,728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r>
      <w:tr>
        <w:trPr>
          <w:trHeight w:val="22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87,626</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50,888</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r>
      <w:tr>
        <w:trPr>
          <w:trHeight w:val="223"/>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132,537</w:t>
            </w: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0.79%</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81,754</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2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0.79%</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169,021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89,111</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6,586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118,749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48,060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401,574</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312,778</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interest income and interest rate spread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10.57%</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interest margin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13.37%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10.96%</w:t>
            </w: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Ratio of average interest-earning assets to</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71"/>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interest- bearing liabilities</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290.42%</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182.06%</w:t>
            </w:r>
          </w:p>
        </w:tc>
      </w:tr>
      <w:tr>
        <w:trPr>
          <w:trHeight w:val="562"/>
        </w:trPr>
        <w:tc>
          <w:tcPr>
            <w:tcW w:w="3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Rate/Volume Analysis. </w:t>
      </w:r>
      <w:r>
        <w:rPr>
          <w:rFonts w:ascii="Arial" w:cs="Arial" w:eastAsia="Arial" w:hAnsi="Arial"/>
          <w:sz w:val="18"/>
          <w:szCs w:val="18"/>
          <w:color w:val="auto"/>
        </w:rPr>
        <w:t>The following table sets forth the effects of changing rates and volumes on our net interest income. The rate column shows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attributable to changes in rate. The volume column shows the effects attributable to changes in volume. For purposes of this table, changes attributable to changes in both rate and volume that cannot be segregated have been allocated proportionally based on the changes due to rate and the changes due to volume.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89"/>
              </w:rPr>
              <w:t>Increase (Decrease) Due to</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Rate</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Volume</w:t>
            </w:r>
          </w:p>
        </w:tc>
        <w:tc>
          <w:tcPr>
            <w:tcW w:w="30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Interest-bearing deposits with the Federal Reserve, non-U.S. central banks and other banks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held-for-sale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Demand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Savings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7320" w:type="dxa"/>
            <w:vAlign w:val="bottom"/>
          </w:tcPr>
          <w:p>
            <w:pPr>
              <w:ind w:left="5560"/>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7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loan losses is a charge to income to bring our ALL to a level deemed appropriate by management and approved by of board of directors. We determine the provision for loan losses monthly in connection with our monthly evaluation of the adequacy of our ALL. For a description of the factors we considered in determining the ALL see “—Principal Factors Affecting Our Financial Condition—Allowance for Loan Losses” and “—Critical Accounting Policies and Estimates—Allowance for Loan Losses.”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provision for loan losses was $2.9 million and $0.6 million for the three months ended March 31, 2022 and 2021, respectively. The increase of $2.3 million was primarily due to substantial growth in SBA 7(a) and Strategic Program loans, and an increase in net charge offs.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largest portion of our noninterest income is associated with our Strategic Program fees. Other sources of noninterest income include gain on sale of loans, SBA loan servicing fees, change in fair value on investment in BFG and other miscellaneous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Noninterest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2,603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2,449</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loan servicing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154.6%</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(210.6%)</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miscellaneous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r>
      <w:tr>
        <w:trPr>
          <w:trHeight w:val="27"/>
        </w:trPr>
        <w:tc>
          <w:tcPr>
            <w:tcW w:w="5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11,682</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6,079</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5,603</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92.2%</w:t>
            </w:r>
          </w:p>
        </w:tc>
      </w:tr>
      <w:tr>
        <w:trPr>
          <w:trHeight w:val="21"/>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three months ended March 31, 2022, total noninterest income increased $5.6 million, or 92.2%, to $11.7 million compared to the three months ended March 31, 2021. This increase was primarily due to the increase in Strategic Program fees, gain on sale of loans, and SBA loan servicing fees. The increase in Strategic Program fees was primarily due to the increase in loan origination volume in the Strategic Program. The increase in gain on sale of loans was primarily due to the increase in the number of SBA 7(a) loans sold during the three months ended March 31, 2022. The increase in SBA loan servicing fees was primarily due to the increase in SBA 7(a) loans serviced for others during the period. These increases were partially offset by a decrease in the change in fair value on investment in BFG due primarily to the softening of comparable company values used in determining BFG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has increased as we have grown and as we have expanded and modernized our operational infrastructure and implemented our plan to build an efficient, technology-driven banking operation with significant capacity for growth.</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59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5"/>
        </w:trPr>
        <w:tc>
          <w:tcPr>
            <w:tcW w:w="7280" w:type="dxa"/>
            <w:vAlign w:val="bottom"/>
            <w:gridSpan w:val="5"/>
          </w:tcPr>
          <w:p>
            <w:pPr>
              <w:spacing w:after="0"/>
              <w:rPr>
                <w:sz w:val="20"/>
                <w:szCs w:val="20"/>
                <w:color w:val="auto"/>
              </w:rPr>
            </w:pPr>
            <w:r>
              <w:rPr>
                <w:rFonts w:ascii="Arial" w:cs="Arial" w:eastAsia="Arial" w:hAnsi="Arial"/>
                <w:sz w:val="18"/>
                <w:szCs w:val="18"/>
                <w:color w:val="auto"/>
                <w:w w:val="91"/>
              </w:rPr>
              <w:t>The following table presents, for the periods indicated, the major categories of noninterest expense:</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Occupancy and equipment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Recovery of SBA servicing asset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7"/>
        </w:trPr>
        <w:tc>
          <w:tcPr>
            <w:tcW w:w="3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three months ended March 31, 2022, total noninterest expense increased $2.4 million, or 35.8%, to $9.0 million compared to the three months ended March 31, 2021. This increase was primarily due to the increase in salaries and employee benefits. For the three months ended March 31, 2022, salaries and employee benefits increased $2.2 million, or 44.9%, to $7.1 million compared to the three months ended March 31, 2021. This increase was primarily due to the increase in the number of employees during the three months ended March 31, 2022. The increase in employees during this timeframe coincided with an increase in Strategic Program loan volume and the expansion of our information technology and security division to support enhancements in our infrastructure, and an increase in contractual bonuses paid relating to the expansion of the Strategic Programs in 2022. For the three months ended March 31, 2022, other operating expense increased $0.1 million, or 8.8%, to $1.7 million compared to the three months ended March 31, 2021. This increase was primarily due to our initiative to develop new and upgrade existing technology, increased third party financial and business process reviews, increased marketing costs, and increased legal and professional fees, all with the intent of supporting of our growth. For the three months ended March 31, 2022, the increase in noninterest expense was partially offset by a the minor recovery and lack of additional impairment on the SBA servicing asset during the three months ended March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manage our loan portfolio based on factors that include concentrations per loan program and aggregated portfolio, industry selection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SBA 7(a) Loans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originate and service loans partially guaranteed by the SBA under its Section 7(a) loan program. SBA 7(a) loans are made to small businesses and professionals throughout the USA. As of March 31, 2022 and December 31, 2021, we had total SBA 7(a) loans of $126.8 million and $141.3 million, respectively, representing 46.5% and 53.2% of our total loans,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temporarily retaining a larger amount of the guaranteed portion of these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Paycheck Protection Program Loans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March 31, 2022 and December 31, 2021, we had total PPP loans of $1.0 million and $1.1 million, respectively, representing 0.4% of our total loans, respectively. The PPP loans also resulted in fees paid by the SBA to the originating bank for processing PPP loans, which fees are accreted into interest income over the life of the applicable loans. If a PPP loan is forgiven or paid off before maturity, the remaining unearned fee is recognized into income at that time. For the three months ended March 31, 2021, the Company recognized a total of $0.9 million in PPP-related accreted fees ($0.6 million of which were accelerated due to loan forgiveness).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was recognized during the three months ended March 31, 2022 and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deferred fees remained as of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non-real estate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Commercial non-real estate loans consist of loans and leases made to commercial enterprises that are not secured by real estate. As of March 31, 2022 and December 31, 2021, we had total commercial non-real estate loans of $3.3 million and $3.4 million, respectively, representing 1.2% and 1.3% of our total loans, respectively. Any loan,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Residential real estate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March 31, 2022 and December 31, 2021, we had total residential real estate loans of $30.8 million and $27.1 million, respectively, representing 11.3% and 10.2% of our total loans,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Program loans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through our Strategic Program service providers, issue, on a nationwide basis, unsecured consumer and secured or unsecured business loans to borrowers within certain approved credit profiles. As of March 31, 2022 and December 31, 2021, we had total Strategic Program loans of $101.8 million and $85.9 million, respectively, representing 37.4% and 32.3% of our total loans,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have generally sold most of these loans, but as our capital grows and FinView™ evolves, we may choose to hold more of the funded loans and/or receivables. We reserve the right to sell any portion of funded loans and/or receivables directly to the Strategic Program service providers or other investors. We retain the legal right to service all these loans, but contract with the Strategic Program service provider or another approved sub-servicer to service these loans on our behalf.</w:t>
      </w:r>
    </w:p>
    <w:p>
      <w:pPr>
        <w:sectPr>
          <w:pgSz w:w="11900" w:h="16838" w:orient="portrait"/>
          <w:cols w:equalWidth="0" w:num="1">
            <w:col w:w="11240"/>
          </w:cols>
          <w:pgMar w:left="320" w:top="122" w:right="33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real estate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Commercial real estate loans include loans to individuals, sole proprietorships, partnerships, corporations, or other business enterprises for commercial, industrial, agricultural, or professional purposes, secured by real estate primarily located in the Salt Lake City, Utah MSA, but not for personal expenditure purposes. As of March 31, 2022 and December 31, 2021, we had total commercial real estate loans of $4.2 million and $2.4 million, respectively, representing 1.5% and 0.9% of our total loans,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Consumer</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March 31, 2022 and December 31, 2021, we had total consumer loans of $4.7 million and $4.6 million, respectively, representing 1.7% of our total loans,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Portfolio Program Summary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our diversification efforts and FinView™,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 We believe that these efforts helped minimize our exposure to industries severely impacted by the Covid-19 pandemic.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loan portfolio by loan program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As of March 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As of December 31,</w:t>
            </w:r>
          </w:p>
        </w:tc>
        <w:tc>
          <w:tcPr>
            <w:tcW w:w="220" w:type="dxa"/>
            <w:vAlign w:val="bottom"/>
          </w:tcPr>
          <w:p>
            <w:pPr>
              <w:spacing w:after="0"/>
              <w:rPr>
                <w:sz w:val="18"/>
                <w:szCs w:val="18"/>
                <w:color w:val="auto"/>
              </w:rPr>
            </w:pPr>
          </w:p>
        </w:tc>
      </w:tr>
      <w:tr>
        <w:trPr>
          <w:trHeight w:val="241"/>
        </w:trPr>
        <w:tc>
          <w:tcPr>
            <w:tcW w:w="40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w w:val="84"/>
              </w:rPr>
              <w:t>2022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4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ind w:left="360"/>
              <w:spacing w:after="0" w:line="198" w:lineRule="exact"/>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0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r>
      <w:tr>
        <w:trPr>
          <w:trHeight w:val="241"/>
        </w:trPr>
        <w:tc>
          <w:tcPr>
            <w:tcW w:w="40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b w:val="1"/>
                <w:bCs w:val="1"/>
                <w:color w:val="auto"/>
              </w:rPr>
              <w:t>loans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2"/>
          </w:tcPr>
          <w:p>
            <w:pPr>
              <w:ind w:left="360"/>
              <w:spacing w:after="0"/>
              <w:rPr>
                <w:sz w:val="20"/>
                <w:szCs w:val="20"/>
                <w:color w:val="auto"/>
              </w:rPr>
            </w:pPr>
            <w:r>
              <w:rPr>
                <w:rFonts w:ascii="Arial" w:cs="Arial" w:eastAsia="Arial" w:hAnsi="Arial"/>
                <w:sz w:val="18"/>
                <w:szCs w:val="18"/>
                <w:b w:val="1"/>
                <w:bCs w:val="1"/>
                <w:color w:val="auto"/>
              </w:rPr>
              <w:t>loans</w:t>
            </w:r>
          </w:p>
        </w:tc>
        <w:tc>
          <w:tcPr>
            <w:tcW w:w="220" w:type="dxa"/>
            <w:vAlign w:val="bottom"/>
          </w:tcPr>
          <w:p>
            <w:pPr>
              <w:spacing w:after="0"/>
              <w:rPr>
                <w:sz w:val="20"/>
                <w:szCs w:val="20"/>
                <w:color w:val="auto"/>
              </w:rPr>
            </w:pPr>
          </w:p>
        </w:tc>
      </w:tr>
      <w:tr>
        <w:trPr>
          <w:trHeight w:val="216"/>
        </w:trPr>
        <w:tc>
          <w:tcPr>
            <w:tcW w:w="404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SBA</w:t>
            </w:r>
            <w:r>
              <w:rPr>
                <w:rFonts w:ascii="Arial" w:cs="Arial" w:eastAsia="Arial" w:hAnsi="Arial"/>
                <w:sz w:val="25"/>
                <w:szCs w:val="25"/>
                <w:color w:val="auto"/>
                <w:vertAlign w:val="superscript"/>
              </w:rPr>
              <w:t>(1)</w:t>
            </w:r>
          </w:p>
        </w:tc>
        <w:tc>
          <w:tcPr>
            <w:tcW w:w="1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127,778</w:t>
            </w: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3,285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3,428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30,772</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27,108</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101,819</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85,850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2,436</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4,711</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4,574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272,552</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8"/>
        <w:spacing w:after="0" w:line="263" w:lineRule="auto"/>
        <w:tabs>
          <w:tab w:leader="none" w:pos="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SBA loans as of March 31, 2022 and December 31, 2021 includes approximately $1.0 million and $1.1 million of PPP loans. SBA loans as of March 31, 2022 and December 31, 2021 include $53.2 million and $75.7 million, respectively, of SBA 7(a) loan balances that are guaranteed by the SBA.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Maturity and Sensitivity to Changes in Interest Rates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2022, including the impact of PPP loans, $107.7 million, or 54.2%, of the total held for investment loan balance matures in less than five years. Loans maturing in greater than five years totaled $91.1 million as of March 31, 2022. The variable rate portion of our total held for investment loan portfolio at March 31, 2022 was $155.1 million, or 78.0%. As of December 31, 2021, including the impact of PPP loans, $103.1 million, or 50.3%, of the total held for investment loan balance matures in less than five years. Loans maturing in greater than five years totaled $101.9 million as of December 31, 2021. The variable rate portion of our total held for investment loan portfolio at December 31, 2021 was $163.8 million, or 79.9%. The variable rate portion of the total held for investment loans reflects our strategy to minimize interest rate risk through the use of variable rate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maturities and sensitivity to interest rate changes for our loan portfolio at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r>
              <w:rPr>
                <w:rFonts w:ascii="Arial" w:cs="Arial" w:eastAsia="Arial" w:hAnsi="Arial"/>
                <w:sz w:val="18"/>
                <w:szCs w:val="18"/>
                <w:b w:val="1"/>
                <w:bCs w:val="1"/>
                <w:color w:val="auto"/>
              </w:rPr>
              <w:t>At March 31, 2022</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8"/>
                <w:szCs w:val="18"/>
                <w:b w:val="1"/>
                <w:bCs w:val="1"/>
                <w:color w:val="auto"/>
              </w:rPr>
              <w:t>Remaining Contractual Maturity Held for Investment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After Five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After One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Years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Year and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Through</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8"/>
              </w:rPr>
              <w:t>One Year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Through</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Fifteen</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Fifteen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w w:val="90"/>
              </w:rPr>
              <w:t>or Less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Five Years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Years</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Fixed rate loans:</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SBA</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4,169</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10,544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28,014</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4,418</w:t>
            </w:r>
          </w:p>
        </w:tc>
      </w:tr>
      <w:tr>
        <w:trPr>
          <w:trHeight w:val="216"/>
        </w:trPr>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Variable rate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52,542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126,130</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26,603</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r>
      <w:tr>
        <w:trPr>
          <w:trHeight w:val="223"/>
        </w:trPr>
        <w:tc>
          <w:tcPr>
            <w:tcW w:w="44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57"/>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47,934</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8"/>
        <w:spacing w:after="0" w:line="291" w:lineRule="auto"/>
        <w:tabs>
          <w:tab w:leader="none" w:pos="27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 of SBA fixed rate loans includes approximately $1.0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March 31, 2022, three PPP loans have been granted maturity date extensions.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r>
              <w:rPr>
                <w:rFonts w:ascii="Arial" w:cs="Arial" w:eastAsia="Arial" w:hAnsi="Arial"/>
                <w:sz w:val="18"/>
                <w:szCs w:val="18"/>
                <w:b w:val="1"/>
                <w:bCs w:val="1"/>
                <w:color w:val="auto"/>
              </w:rPr>
              <w:t>At December 31, 2021</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8"/>
                <w:szCs w:val="18"/>
                <w:b w:val="1"/>
                <w:bCs w:val="1"/>
                <w:color w:val="auto"/>
                <w:w w:val="93"/>
              </w:rPr>
              <w:t>Remaining Contractual Maturity Held for Investment</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3"/>
              </w:rPr>
              <w:t>After Five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After One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Years and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Year and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Through</w:t>
            </w:r>
          </w:p>
        </w:tc>
        <w:tc>
          <w:tcPr>
            <w:tcW w:w="26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After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One Year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Through</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Fifteen</w:t>
            </w:r>
          </w:p>
        </w:tc>
        <w:tc>
          <w:tcPr>
            <w:tcW w:w="26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Fifteen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or Less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Five Years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Years</w:t>
            </w:r>
          </w:p>
        </w:tc>
        <w:tc>
          <w:tcPr>
            <w:tcW w:w="26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Fixed rate loans:</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SBA</w:t>
            </w:r>
            <w:r>
              <w:rPr>
                <w:rFonts w:ascii="Arial" w:cs="Arial" w:eastAsia="Arial" w:hAnsi="Arial"/>
                <w:sz w:val="25"/>
                <w:szCs w:val="25"/>
                <w:color w:val="auto"/>
                <w:vertAlign w:val="superscript"/>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1,749</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3,428</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6,981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25,102</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2,212</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4,359</w:t>
            </w:r>
          </w:p>
        </w:tc>
      </w:tr>
      <w:tr>
        <w:trPr>
          <w:trHeight w:val="216"/>
        </w:trPr>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Variable rate loans: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58,493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140,643</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22,713</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r>
      <w:tr>
        <w:trPr>
          <w:trHeight w:val="223"/>
        </w:trPr>
        <w:tc>
          <w:tcPr>
            <w:tcW w:w="28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r>
      <w:tr>
        <w:trPr>
          <w:trHeight w:val="256"/>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56,314</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46,818</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59,155</w:t>
            </w: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205,040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8"/>
        <w:spacing w:after="0" w:line="291" w:lineRule="auto"/>
        <w:tabs>
          <w:tab w:leader="none" w:pos="2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SBA fixed rate loans includes approximately $1.1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December 31, 2021, three PPP loans have been granted maturity date extensions.</w:t>
      </w:r>
    </w:p>
    <w:p>
      <w:pPr>
        <w:sectPr>
          <w:pgSz w:w="11900" w:h="16838" w:orient="portrait"/>
          <w:cols w:equalWidth="0" w:num="1">
            <w:col w:w="11240"/>
          </w:cols>
          <w:pgMar w:left="320" w:top="122" w:right="339" w:bottom="0" w:gutter="0" w:footer="0" w:header="0"/>
        </w:sectPr>
      </w:pPr>
    </w:p>
    <w:bookmarkStart w:id="41" w:name="page42"/>
    <w:bookmarkEnd w:id="41"/>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our nonperforming assets and troubled debt restructurings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7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March 31, 2022</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31, 2021</w:t>
            </w:r>
          </w:p>
        </w:tc>
        <w:tc>
          <w:tcPr>
            <w:tcW w:w="160" w:type="dxa"/>
            <w:vAlign w:val="bottom"/>
          </w:tcPr>
          <w:p>
            <w:pPr>
              <w:spacing w:after="0"/>
              <w:rPr>
                <w:sz w:val="19"/>
                <w:szCs w:val="19"/>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Nonaccrual loans:</w:t>
            </w:r>
          </w:p>
        </w:tc>
        <w:tc>
          <w:tcPr>
            <w:tcW w:w="7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nonperforming loans</w:t>
            </w: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74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37"/>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accruing loans past due 90 days or more</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r>
      <w:tr>
        <w:trPr>
          <w:trHeight w:val="20"/>
        </w:trPr>
        <w:tc>
          <w:tcPr>
            <w:tcW w:w="7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460" w:type="dxa"/>
            <w:vAlign w:val="bottom"/>
          </w:tcPr>
          <w:p>
            <w:pPr>
              <w:spacing w:after="0"/>
              <w:rPr>
                <w:sz w:val="20"/>
                <w:szCs w:val="20"/>
                <w:color w:val="auto"/>
              </w:rPr>
            </w:pPr>
            <w:r>
              <w:rPr>
                <w:rFonts w:ascii="Arial" w:cs="Arial" w:eastAsia="Arial" w:hAnsi="Arial"/>
                <w:sz w:val="18"/>
                <w:szCs w:val="18"/>
                <w:color w:val="auto"/>
              </w:rPr>
              <w:t>Nonaccrual troubled debt restructuring</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
        </w:trPr>
        <w:tc>
          <w:tcPr>
            <w:tcW w:w="7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troubled debt restructurings</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 nonaccrual troubled debt restructurings</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7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Total nonperforming assets and troubled debt restructurings</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r>
      <w:tr>
        <w:trPr>
          <w:trHeight w:val="21"/>
        </w:trPr>
        <w:tc>
          <w:tcPr>
            <w:tcW w:w="7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 to total loans</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Total nonperforming loans to total assets</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 and troubled debt restructurings to total loans</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Total nonperforming assets and troubled debt restructurings to total assets</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74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Total nonperforming assets and troubled debt restructurings to total assets (less PPP loans) </w:t>
            </w:r>
            <w:r>
              <w:rPr>
                <w:rFonts w:ascii="Arial" w:cs="Arial" w:eastAsia="Arial" w:hAnsi="Arial"/>
                <w:sz w:val="25"/>
                <w:szCs w:val="25"/>
                <w:color w:val="auto"/>
                <w:vertAlign w:val="superscript"/>
              </w:rPr>
              <w:t>(1)</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202" w:lineRule="exact"/>
        <w:rPr>
          <w:sz w:val="20"/>
          <w:szCs w:val="20"/>
          <w:color w:val="auto"/>
        </w:rPr>
      </w:pPr>
    </w:p>
    <w:p>
      <w:pPr>
        <w:ind w:firstLine="8"/>
        <w:spacing w:after="0" w:line="277" w:lineRule="auto"/>
        <w:tabs>
          <w:tab w:leader="none" w:pos="2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“GAAP Reconciliation and Management Explanation of Non-GAAP Financial Measures” for a reconciliation of this measure to its most comparable GAAP measure.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total nonperforming assets and troubled debt restructurings at March 31, 2022 and December 31, 2021 were $0.8 million. Total nonperforming assets at March 31, 2022 and December 31, 2021 were composed of $0.7 million in nonaccrual loans and $0.1 million of troubled debt restructurings.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classify loans that experience insignificant payment delays and payment shortfalls as impaired. We consider an “insignificant period of time” from payment delays to be a period of 90 days or less, or 180 days or less in certain Strategic Programs. We will customarily attempt to provide a modification for a customer experiencing what we consider to be a short-term event that has temporarily impacted cash flow. In those cases, we will review the request to determine if the customer is experiencing cash flow strain and how the event has impacted the ability of the customer to repay in the long term. Short-term modifications are not classified as troubled debt restructurings because they do not meet the definition set by the FDIC or our accounting policy for identifying troubled debt restructurings. The FDIC issued statements in March and April of 2020 that encouraged banks to work with all borrowers, especially those from industry sectors particularly vulnerable to economic volatility. The FDIC clarified that prudent efforts to modify the terms on existing loans for affected customers will not be subject to examiner criticism, and that certain loan modifications made in response to Covid-19 are not troubled debt restructurings.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Interest income that would have been recorded for the three months ended March 31, 2022 and 2021 had nonaccrual loans been current throughout the period amounted to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amounts for each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 Profile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As an example, at the beginning of the Covid-19 pandemic we analyzed our portfolio to identify loans that were more likely to be vulnerable to the pandemic’s impact. We then proactively opened a dialogue with potentially affected borrowers to assess their needs and provide assistance. Through this process we were able to not only better understand our portfolio risks but were able to intercede with borrowers if needed.</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loan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 grading system to rank the quality of each loan. The grade is periodically evaluated and adjusted as performance dictates. Loan grades 1 through 4 are passing grades, grade 5 is special mention. Collectively, grades 6 (substandard), 7 (doubtful) and 8 (loss) represent classified loans within the portfolio.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Grade 1: Pass - Loans fully secured by deposit accounts. Loans where the borrower has strong sources of repayment, generally 5 years or more of consistent employment (or related field) and income history. Debt of the borrower is modest relative to the borrower’s financial strength and ability to pay with a DTI ratio of less than 25%. Cash flow is very strong as evidenced by significant discretionary income amounts. Borrower will consistently maintain 30% of the outstanding debts in deposit accounts with us, often with the right of offset, holds, etc. Loan to value ratios (LTV) will be 60% or less. Loans in this category require very minimal monitoring.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Grade 2: Pass - The borrower has good sources of repayment, generally 3 years or more of consistent employment (or related field) and income history. The debt of the borrower is reasonable relative to the borrower’s financial strength with a DTI ratio of less than 35%. Cash flow is strong as evidenced by exceptional discretionary income amounts. Borrowers will consistently maintain 20% of the outstanding debts in deposit accounts with us. LTV ratios will be 70% or less. These loans require minimal monitoring.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Grade 3: Pass - There is a comfortable primary source of repayment, generally 2 years or more of consistent employment (or related field) and income history. Borrowers may exhibit a mix of strengths and weaknesses. For example, they have either adequate cash flow with higher than desired leverage, or marginal cash flow with strong collateral and liquidity. Borrowers will have DTIs less than 45%. Borrowers will generally maintain deposit accounts with us, but the consistency and amount of the deposits are not as strong as Grades 1 and 2. LTV ratios will be within our guidelines. These loans will be monitored on a quarterly basis.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Grade 4: Pass Watch – There is adequate primary source of repayment, generally employment time or time in a related field is less than 2 years. Borrowers’ debt to income ratios may fall outside of our guidelines or there is minimal excess cash flow. There may be heavy reliance on collateral, or the loan is large, relative to the financial strength of the borrower. The loans may be maintenance intensive requiring closer monitoring.</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Grade 5: Special Mention – A loan in this category has a specific weakness or problem but does not currently present a significant risk of loss or default as to any material terms of the loan or financing agreement. A typical problem could include a documentation deficiency. If the deficiency is corrected the account will be re-graded.</w:t>
      </w:r>
    </w:p>
    <w:p>
      <w:pPr>
        <w:sectPr>
          <w:pgSz w:w="11900" w:h="16838" w:orient="portrait"/>
          <w:cols w:equalWidth="0" w:num="1">
            <w:col w:w="11240"/>
          </w:cols>
          <w:pgMar w:left="320" w:top="122"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Grade 6: Classified Substandard – A substandard loan has a developing or current weakness or weaknesses that could result in loss or default if deficiencies are not corrected, or adverse conditions arise.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Grade 7: Classified Doubtful – A doubtful loan has an existing weakness or weaknesses that make collection or liquidation in full, on the basis of currently existing facts and conditions, highly questionable and improbable.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Grade 8: Classified Loss – A loss loan has an existing weakness or weaknesses that render the loan uncollectible and of such little value that continuing to carry as an asset on our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 of the period presented, the loan balances by loan program as well as risk rating. No loans were classified as ‘Loss’ grade during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As of March 31, 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5"/>
              </w:rPr>
              <w:t>Special</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Classified/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Doubtful</w:t>
            </w:r>
          </w:p>
        </w:tc>
        <w:tc>
          <w:tcPr>
            <w:tcW w:w="16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Grade 1-4</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Grade 5</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Grade 6-7</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Grade 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125,366</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3,285</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30,572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30,772</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4,187</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4,187</w:t>
            </w:r>
          </w:p>
        </w:tc>
      </w:tr>
      <w:tr>
        <w:trPr>
          <w:trHeight w:val="22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4,711</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w:t>
            </w:r>
          </w:p>
        </w:tc>
      </w:tr>
      <w:tr>
        <w:trPr>
          <w:trHeight w:val="216"/>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 Risk Graded</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Strategic Program</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loans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168,121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272,552</w:t>
            </w:r>
          </w:p>
        </w:tc>
      </w:tr>
      <w:tr>
        <w:trPr>
          <w:trHeight w:val="21"/>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December 31, 2021</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5"/>
              </w:rPr>
              <w:t>Special</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Classified/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Doubtful</w:t>
            </w:r>
          </w:p>
        </w:tc>
        <w:tc>
          <w:tcPr>
            <w:tcW w:w="18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Grade 1-4</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Grade 5</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Grade 6-7</w:t>
            </w:r>
          </w:p>
        </w:tc>
        <w:tc>
          <w:tcPr>
            <w:tcW w:w="18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Grade 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Commercial, non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27,108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r>
      <w:tr>
        <w:trPr>
          <w:trHeight w:val="22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r>
      <w:tr>
        <w:trPr>
          <w:trHeight w:val="216"/>
        </w:trPr>
        <w:tc>
          <w:tcPr>
            <w:tcW w:w="46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Not Risk Graded</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tcBorders>
              <w:bottom w:val="single" w:sz="8" w:color="CCEEFF"/>
            </w:tcBorders>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Strategic Program</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loans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177,485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265,788</w:t>
            </w:r>
          </w:p>
        </w:tc>
      </w:tr>
      <w:tr>
        <w:trPr>
          <w:trHeight w:val="21"/>
        </w:trPr>
        <w:tc>
          <w:tcPr>
            <w:tcW w:w="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Strategic Program loan balance includes $73.8 million and $60.7 million of loans classified as held-for-sale as of March 31, 2022 and December 31,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have not adopted Financial Accounting Standards Board Accounting Standards Update No. 2016–13, </w:t>
      </w:r>
      <w:r>
        <w:rPr>
          <w:rFonts w:ascii="Arial" w:cs="Arial" w:eastAsia="Arial" w:hAnsi="Arial"/>
          <w:sz w:val="18"/>
          <w:szCs w:val="18"/>
          <w:i w:val="1"/>
          <w:iCs w:val="1"/>
          <w:color w:val="auto"/>
        </w:rPr>
        <w:t>Financial Instruments – 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w:t>
      </w:r>
      <w:r>
        <w:rPr>
          <w:rFonts w:ascii="Arial" w:cs="Arial" w:eastAsia="Arial" w:hAnsi="Arial"/>
          <w:sz w:val="18"/>
          <w:szCs w:val="18"/>
          <w:color w:val="auto"/>
        </w:rPr>
        <w:t>, commonly referred to as the “CECL model,” but plan to adopt the CECL model in the 2023 calendar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 a material estimate which could change significantly in the near-term in the event of rapidly shifting credit quality, is established through a provision for loan losses charged to earnings to account for losses that are inherent in the loan portfolio and estimated to occur, and is maintained at a level that we consider adequate to absorb potential losses in the loan portfolio. Loan losses are charged against the ALL when we believe that the collectability of the principal loan balance is unlikely. Subsequent recoveries, if any, are credited to the ALL when received.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judgment in determining the adequacy of the allowance is inherently subjective as it requires estimates that are susceptible to significant revision as more information becomes available and as situations and information change.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the ALL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ALL is reviewed by regulatory examinations.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ALL consists of the following two elements:</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Specific allowance for identified impaired loans. </w:t>
      </w:r>
      <w:r>
        <w:rPr>
          <w:rFonts w:ascii="Arial" w:cs="Arial" w:eastAsia="Arial" w:hAnsi="Arial"/>
          <w:sz w:val="18"/>
          <w:szCs w:val="18"/>
          <w:color w:val="auto"/>
        </w:rPr>
        <w:t>For such loans that are identified as impaired, an allowance is established when the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(or collateral value if the loan is collateral dependent) or observable market price of the impaired loan are lower than the carrying value of that loan.</w:t>
      </w:r>
    </w:p>
    <w:p>
      <w:pPr>
        <w:spacing w:after="0" w:line="183" w:lineRule="exact"/>
        <w:rPr>
          <w:rFonts w:ascii="Arial" w:cs="Arial" w:eastAsia="Arial" w:hAnsi="Arial"/>
          <w:sz w:val="18"/>
          <w:szCs w:val="18"/>
          <w:i w:val="1"/>
          <w:iCs w:val="1"/>
          <w:color w:val="auto"/>
        </w:rPr>
      </w:pPr>
    </w:p>
    <w:p>
      <w:pPr>
        <w:jc w:val="both"/>
        <w:ind w:left="3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Independent appraisals are obtained for all collateral dependent loans deemed impaired when collateral value is expected to exceed $5 thousand net of actual and/or anticipated liquidation-related expenses. After initially measured for impairment, new appraisals are ordered on at least an annual basis for all real estate secured loans deemed impaired. Non-real estate secured loan appraisal values are reevaluated and assessed throughout the year based upon interim changes in collateral and market conditions.</w:t>
      </w:r>
    </w:p>
    <w:p>
      <w:pPr>
        <w:spacing w:after="0" w:line="186" w:lineRule="exact"/>
        <w:rPr>
          <w:rFonts w:ascii="Arial" w:cs="Arial" w:eastAsia="Arial" w:hAnsi="Arial"/>
          <w:sz w:val="18"/>
          <w:szCs w:val="18"/>
          <w:i w:val="1"/>
          <w:iCs w:val="1"/>
          <w:color w:val="auto"/>
        </w:rPr>
      </w:pPr>
    </w:p>
    <w:p>
      <w:pPr>
        <w:jc w:val="both"/>
        <w:ind w:left="340" w:hanging="332"/>
        <w:spacing w:after="0" w:line="270" w:lineRule="auto"/>
        <w:tabs>
          <w:tab w:leader="none" w:pos="34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General valuation allowance. </w:t>
      </w:r>
      <w:r>
        <w:rPr>
          <w:rFonts w:ascii="Arial" w:cs="Arial" w:eastAsia="Arial" w:hAnsi="Arial"/>
          <w:sz w:val="17"/>
          <w:szCs w:val="17"/>
          <w:color w:val="auto"/>
        </w:rPr>
        <w:t>This component represents a valuation allowance on the remainder of the loan portfolio, after excluding impaired loans.</w:t>
      </w:r>
      <w:r>
        <w:rPr>
          <w:rFonts w:ascii="Arial" w:cs="Arial" w:eastAsia="Arial" w:hAnsi="Arial"/>
          <w:sz w:val="17"/>
          <w:szCs w:val="17"/>
          <w:i w:val="1"/>
          <w:iCs w:val="1"/>
          <w:color w:val="auto"/>
        </w:rPr>
        <w:t xml:space="preserve"> </w:t>
      </w:r>
      <w:r>
        <w:rPr>
          <w:rFonts w:ascii="Arial" w:cs="Arial" w:eastAsia="Arial" w:hAnsi="Arial"/>
          <w:sz w:val="17"/>
          <w:szCs w:val="17"/>
          <w:color w:val="auto"/>
        </w:rPr>
        <w:t>For this portion of the allowance, loans are reviewed based on industry, stage and structure and are assigned allowance percentages based on historical loan loss experience for similar loans with similar characteristics and trends adjusted for qualitative factors. Qualitative factors that, in management’s judgment, affect the collectability of the portfolio as of the evaluation date, may include changes in lending policies and procedures; changes in national and local economic and business conditions, including the condition of various market sectors; changes in the nature and volume of the portfolio; changes in the experience, ability and depth of lending management and staff; changes in the volume and severity of past due and classified loans and in the volume of nonaccruals, troubled debt restructurings, and other loan modifications; the existence and effect of any concentrations of credit and changes in the level of such concentrations; and the effect of external factors, such as competition and legal and regulatory requirements, on the level of estimated and inherent credit losses in our current portfolio.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ALL was $10.0 million at March 31, 2022 compared to $9.9 million at December 31, 2021, an increase of $0.1 million, or 1.3%. The increase was primarily due to increased retention of Strategic Program loans with higher loss reserving characteristics.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table presents a summary of changes in the ALL for the periods and dates indicated: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ALL: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 offs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non-real estate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Recoveries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believe that we have established our ALL in accordance with GAAP and that the ALL was adequate to provide for known and inherent losses in the portfolio at all times shown above, future provisions for loan losses will be subject to ongoing evaluations of the risks in our loan portfolio.</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the allocation of the ALL among loan categories and certain other information as of the dates indicated. The ALL related to Strategic Programs constitutes 63.3% and 66.5% of the total ALL while comprising 37.4% and 32.3% of total loans as of March 31, 2022 and December 31, 2021, respectively. This reflects the increased credit risks associated with certain retained Strategic Program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8"/>
                <w:szCs w:val="18"/>
                <w:b w:val="1"/>
                <w:bCs w:val="1"/>
                <w:color w:val="auto"/>
              </w:rPr>
              <w:t>March 31, 2022</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Loans in</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Category</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Loans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127,778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3,285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101,819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4,711</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272,552</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December 31, 2021</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Loans in</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Category</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Total Loans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85,850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4,574</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reflect the ratio of the ALL to nonperforming loan balances and net charge-offs to average loans outstanding by loan category, for the periods presented. The ratio of net charge-offs to average loans outstanding generally decreased or remained consistent for loan categories in the three months ended March 31, 2022 from the three months ended March 31, 2021. The increase in the ratio for Strategic Programs loans was primarily due to increases in charge-offs in the three months ended March 31, 2022 while the decreases in Commercial, non-real estate and Consumer were primarily due to lower charge-off amounts in the three months ended March 31, 2022.</w:t>
      </w:r>
    </w:p>
    <w:p>
      <w:pPr>
        <w:spacing w:after="0" w:line="184"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charge-offs to average loans outstanding by loan category</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9320" w:type="dxa"/>
            <w:vAlign w:val="bottom"/>
            <w:gridSpan w:val="2"/>
          </w:tcPr>
          <w:p>
            <w:pPr>
              <w:ind w:left="180"/>
              <w:spacing w:after="0"/>
              <w:rPr>
                <w:sz w:val="20"/>
                <w:szCs w:val="20"/>
                <w:color w:val="auto"/>
              </w:rPr>
            </w:pPr>
            <w:r>
              <w:rPr>
                <w:rFonts w:ascii="Arial" w:cs="Arial" w:eastAsia="Arial" w:hAnsi="Arial"/>
                <w:sz w:val="18"/>
                <w:szCs w:val="18"/>
                <w:color w:val="auto"/>
              </w:rPr>
              <w:t>Commercial, non-real estate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9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9320" w:type="dxa"/>
            <w:vAlign w:val="bottom"/>
            <w:gridSpan w:val="2"/>
          </w:tcPr>
          <w:p>
            <w:pPr>
              <w:ind w:left="180"/>
              <w:spacing w:after="0"/>
              <w:rPr>
                <w:sz w:val="20"/>
                <w:szCs w:val="20"/>
                <w:color w:val="auto"/>
              </w:rPr>
            </w:pPr>
            <w:r>
              <w:rPr>
                <w:rFonts w:ascii="Arial" w:cs="Arial" w:eastAsia="Arial" w:hAnsi="Arial"/>
                <w:sz w:val="18"/>
                <w:szCs w:val="18"/>
                <w:color w:val="auto"/>
              </w:rPr>
              <w:t>Strategic Program loans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9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932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640" w:type="dxa"/>
            <w:vAlign w:val="bottom"/>
            <w:gridSpan w:val="4"/>
          </w:tcPr>
          <w:p>
            <w:pPr>
              <w:jc w:val="right"/>
              <w:ind w:right="1200"/>
              <w:spacing w:after="0"/>
              <w:rPr>
                <w:sz w:val="20"/>
                <w:szCs w:val="20"/>
                <w:color w:val="auto"/>
              </w:rPr>
            </w:pPr>
            <w:r>
              <w:rPr>
                <w:rFonts w:ascii="Arial" w:cs="Arial" w:eastAsia="Arial" w:hAnsi="Arial"/>
                <w:sz w:val="18"/>
                <w:szCs w:val="18"/>
                <w:b w:val="1"/>
                <w:bCs w:val="1"/>
                <w:color w:val="auto"/>
              </w:rPr>
              <w:t>As of</w:t>
            </w:r>
          </w:p>
        </w:tc>
      </w:tr>
      <w:tr>
        <w:trPr>
          <w:trHeight w:val="198"/>
        </w:trPr>
        <w:tc>
          <w:tcPr>
            <w:tcW w:w="38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3"/>
              </w:rPr>
              <w:t>March 31,</w:t>
            </w: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ALL to nonperforming loans</w:t>
            </w:r>
          </w:p>
        </w:tc>
        <w:tc>
          <w:tcPr>
            <w:tcW w:w="47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1,499.1%</w:t>
            </w:r>
          </w:p>
        </w:tc>
      </w:tr>
      <w:tr>
        <w:trPr>
          <w:trHeight w:val="569"/>
        </w:trPr>
        <w:tc>
          <w:tcPr>
            <w:tcW w:w="3820" w:type="dxa"/>
            <w:vAlign w:val="bottom"/>
          </w:tcPr>
          <w:p>
            <w:pPr>
              <w:spacing w:after="0"/>
              <w:rPr>
                <w:sz w:val="24"/>
                <w:szCs w:val="24"/>
                <w:color w:val="auto"/>
              </w:rPr>
            </w:pPr>
          </w:p>
        </w:tc>
        <w:tc>
          <w:tcPr>
            <w:tcW w:w="4780" w:type="dxa"/>
            <w:vAlign w:val="bottom"/>
          </w:tcPr>
          <w:p>
            <w:pPr>
              <w:jc w:val="right"/>
              <w:ind w:right="2828"/>
              <w:spacing w:after="0"/>
              <w:rPr>
                <w:sz w:val="20"/>
                <w:szCs w:val="20"/>
                <w:color w:val="auto"/>
              </w:rPr>
            </w:pPr>
            <w:r>
              <w:rPr>
                <w:rFonts w:ascii="Arial" w:cs="Arial" w:eastAsia="Arial" w:hAnsi="Arial"/>
                <w:sz w:val="14"/>
                <w:szCs w:val="14"/>
                <w:color w:val="auto"/>
              </w:rPr>
              <w:t>48</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382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Interest-Bearing Deposits in Other Banks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interest-bearing deposits in other banks increased to $116.2 million at March 31, 2022 from $85.3 million at December 31, 2021, an increase of $30.9 million, or 36.2%. This increase was primarily due to the Company’s public stock offering and an increase in loan originations.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year presented, all securities were classified as held-to-maturity.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contractual maturities and weighted average yields of investment securities at March 31, 2022, and the amortized cost of those securities as of the indicated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9"/>
          </w:tcPr>
          <w:p>
            <w:pPr>
              <w:jc w:val="center"/>
              <w:ind w:right="480"/>
              <w:spacing w:after="0"/>
              <w:rPr>
                <w:sz w:val="20"/>
                <w:szCs w:val="20"/>
                <w:color w:val="auto"/>
              </w:rPr>
            </w:pPr>
            <w:r>
              <w:rPr>
                <w:rFonts w:ascii="Arial" w:cs="Arial" w:eastAsia="Arial" w:hAnsi="Arial"/>
                <w:sz w:val="18"/>
                <w:szCs w:val="18"/>
                <w:b w:val="1"/>
                <w:bCs w:val="1"/>
                <w:color w:val="auto"/>
                <w:w w:val="93"/>
              </w:rPr>
              <w:t>At March 31, 2022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10"/>
          </w:tcPr>
          <w:p>
            <w:pPr>
              <w:jc w:val="right"/>
              <w:ind w:right="830"/>
              <w:spacing w:after="0"/>
              <w:rPr>
                <w:sz w:val="20"/>
                <w:szCs w:val="20"/>
                <w:color w:val="auto"/>
              </w:rPr>
            </w:pPr>
            <w:r>
              <w:rPr>
                <w:rFonts w:ascii="Arial" w:cs="Arial" w:eastAsia="Arial" w:hAnsi="Arial"/>
                <w:sz w:val="18"/>
                <w:szCs w:val="18"/>
                <w:b w:val="1"/>
                <w:bCs w:val="1"/>
                <w:color w:val="auto"/>
              </w:rPr>
              <w:t>One Year or Less</w:t>
            </w:r>
          </w:p>
        </w:tc>
        <w:tc>
          <w:tcPr>
            <w:tcW w:w="23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9"/>
              </w:rPr>
              <w:t>After One to Five Years</w:t>
            </w:r>
          </w:p>
        </w:tc>
        <w:tc>
          <w:tcPr>
            <w:tcW w:w="100" w:type="dxa"/>
            <w:vAlign w:val="bottom"/>
          </w:tcPr>
          <w:p>
            <w:pPr>
              <w:spacing w:after="0"/>
              <w:rPr>
                <w:sz w:val="19"/>
                <w:szCs w:val="19"/>
                <w:color w:val="auto"/>
              </w:rPr>
            </w:pPr>
          </w:p>
        </w:tc>
      </w:tr>
      <w:tr>
        <w:trPr>
          <w:trHeight w:val="198"/>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38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45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Cost</w:t>
            </w:r>
          </w:p>
        </w:tc>
        <w:tc>
          <w:tcPr>
            <w:tcW w:w="138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2"/>
              </w:rPr>
              <w:t>Yield</w:t>
            </w:r>
          </w:p>
        </w:tc>
        <w:tc>
          <w:tcPr>
            <w:tcW w:w="13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Yield</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39"/>
        </w:trPr>
        <w:tc>
          <w:tcPr>
            <w:tcW w:w="4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right"/>
              <w:ind w:right="870"/>
              <w:spacing w:after="0"/>
              <w:rPr>
                <w:sz w:val="20"/>
                <w:szCs w:val="20"/>
                <w:color w:val="auto"/>
              </w:rPr>
            </w:pPr>
            <w:r>
              <w:rPr>
                <w:rFonts w:ascii="Arial" w:cs="Arial" w:eastAsia="Arial" w:hAnsi="Arial"/>
                <w:sz w:val="18"/>
                <w:szCs w:val="18"/>
                <w:b w:val="1"/>
                <w:bCs w:val="1"/>
                <w:color w:val="auto"/>
              </w:rPr>
              <w:t>At March 31, 2022</w:t>
            </w: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40" w:type="dxa"/>
            <w:vAlign w:val="bottom"/>
          </w:tcPr>
          <w:p>
            <w:pPr>
              <w:spacing w:after="0"/>
              <w:rPr>
                <w:sz w:val="19"/>
                <w:szCs w:val="19"/>
                <w:color w:val="auto"/>
              </w:rPr>
            </w:pPr>
          </w:p>
        </w:tc>
        <w:tc>
          <w:tcPr>
            <w:tcW w:w="2900" w:type="dxa"/>
            <w:vAlign w:val="bottom"/>
            <w:gridSpan w:val="10"/>
          </w:tcPr>
          <w:p>
            <w:pPr>
              <w:spacing w:after="0"/>
              <w:rPr>
                <w:sz w:val="20"/>
                <w:szCs w:val="20"/>
                <w:color w:val="auto"/>
              </w:rPr>
            </w:pPr>
            <w:r>
              <w:rPr>
                <w:rFonts w:ascii="Arial" w:cs="Arial" w:eastAsia="Arial" w:hAnsi="Arial"/>
                <w:sz w:val="18"/>
                <w:szCs w:val="18"/>
                <w:b w:val="1"/>
                <w:bCs w:val="1"/>
                <w:color w:val="auto"/>
              </w:rPr>
              <w:t>After Five to Ten Years Weighted</w:t>
            </w:r>
          </w:p>
        </w:tc>
        <w:tc>
          <w:tcPr>
            <w:tcW w:w="232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91"/>
              </w:rPr>
              <w:t>After Ten Years Weighted</w:t>
            </w:r>
          </w:p>
        </w:tc>
        <w:tc>
          <w:tcPr>
            <w:tcW w:w="380" w:type="dxa"/>
            <w:vAlign w:val="bottom"/>
            <w:gridSpan w:val="3"/>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gridSpan w:val="2"/>
          </w:tcPr>
          <w:p>
            <w:pPr>
              <w:spacing w:after="0"/>
              <w:rPr>
                <w:sz w:val="17"/>
                <w:szCs w:val="17"/>
                <w:color w:val="auto"/>
              </w:rPr>
            </w:pPr>
          </w:p>
        </w:tc>
        <w:tc>
          <w:tcPr>
            <w:tcW w:w="120" w:type="dxa"/>
            <w:vAlign w:val="bottom"/>
            <w:tcBorders>
              <w:top w:val="single" w:sz="8" w:color="auto"/>
            </w:tcBorders>
            <w:gridSpan w:val="2"/>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Weighted</w:t>
            </w:r>
          </w:p>
        </w:tc>
        <w:tc>
          <w:tcPr>
            <w:tcW w:w="380" w:type="dxa"/>
            <w:vAlign w:val="bottom"/>
            <w:gridSpan w:val="3"/>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3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0"/>
              </w:rPr>
              <w:t>Average</w:t>
            </w:r>
          </w:p>
        </w:tc>
        <w:tc>
          <w:tcPr>
            <w:tcW w:w="1380" w:type="dxa"/>
            <w:vAlign w:val="bottom"/>
            <w:gridSpan w:val="5"/>
          </w:tcPr>
          <w:p>
            <w:pPr>
              <w:jc w:val="center"/>
              <w:ind w:right="430"/>
              <w:spacing w:after="0"/>
              <w:rPr>
                <w:sz w:val="20"/>
                <w:szCs w:val="20"/>
                <w:color w:val="auto"/>
              </w:rPr>
            </w:pPr>
            <w:r>
              <w:rPr>
                <w:rFonts w:ascii="Arial" w:cs="Arial" w:eastAsia="Arial" w:hAnsi="Arial"/>
                <w:sz w:val="18"/>
                <w:szCs w:val="18"/>
                <w:b w:val="1"/>
                <w:bCs w:val="1"/>
                <w:color w:val="auto"/>
                <w:w w:val="93"/>
              </w:rPr>
              <w:t>Amortized</w:t>
            </w:r>
          </w:p>
        </w:tc>
        <w:tc>
          <w:tcPr>
            <w:tcW w:w="132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r>
      <w:tr>
        <w:trPr>
          <w:trHeight w:val="241"/>
        </w:trPr>
        <w:tc>
          <w:tcPr>
            <w:tcW w:w="45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gridSpan w:val="2"/>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gridSpan w:val="2"/>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yield of investment securities is the sum of all interest that the investments generate, divided by the sum of the book value.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calls, sales or maturities of securities during the three months ended March 31, 2022 and March 31,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2022, there were 13 securities, consisting of five collateralized mortgage obligations and eight mortgage-backed securities. One of these securities were in a gain position for greater than 12 months and twelve of these securities were in an unrealized loss position as of March 31, 2022. There were nine securities in an unrealized loss position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Deposits are the major source of funding for the Company, with the exception of the Company’s participation in the PPPLF, which added a significant amount of funding in 2020 (see discussion below in </w:t>
      </w:r>
      <w:r>
        <w:rPr>
          <w:rFonts w:ascii="Arial" w:cs="Arial" w:eastAsia="Arial" w:hAnsi="Arial"/>
          <w:sz w:val="17"/>
          <w:szCs w:val="17"/>
          <w:i w:val="1"/>
          <w:iCs w:val="1"/>
          <w:color w:val="auto"/>
        </w:rPr>
        <w:t>Liquidity and Capital Resources – Liquidity Management</w:t>
      </w:r>
      <w:r>
        <w:rPr>
          <w:rFonts w:ascii="Arial" w:cs="Arial" w:eastAsia="Arial" w:hAnsi="Arial"/>
          <w:sz w:val="17"/>
          <w:szCs w:val="17"/>
          <w:color w:val="auto"/>
        </w:rPr>
        <w:t>). We offer a variety of deposit products including interest and noninterest bearing demand accounts,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end of period and average balances and for the periods indicated (average balances have been calculated using daily averages):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2022</w:t>
            </w:r>
          </w:p>
        </w:tc>
        <w:tc>
          <w:tcPr>
            <w:tcW w:w="240" w:type="dxa"/>
            <w:vAlign w:val="bottom"/>
          </w:tcPr>
          <w:p>
            <w:pPr>
              <w:spacing w:after="0"/>
              <w:rPr>
                <w:sz w:val="20"/>
                <w:szCs w:val="20"/>
                <w:color w:val="auto"/>
              </w:rPr>
            </w:pPr>
          </w:p>
        </w:tc>
        <w:tc>
          <w:tcPr>
            <w:tcW w:w="23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Period end:</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demand deposits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110,548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Demand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Savings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7,089</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6,685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53,434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Time certificates of deposit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81,688</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98,184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7"/>
        </w:trPr>
        <w:tc>
          <w:tcPr>
            <w:tcW w:w="5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period end deposits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277,460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251,892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9"/>
          </w:tcPr>
          <w:p>
            <w:pPr>
              <w:ind w:left="800"/>
              <w:spacing w:after="0"/>
              <w:rPr>
                <w:sz w:val="20"/>
                <w:szCs w:val="20"/>
                <w:color w:val="auto"/>
              </w:rPr>
            </w:pPr>
            <w:r>
              <w:rPr>
                <w:rFonts w:ascii="Arial" w:cs="Arial" w:eastAsia="Arial" w:hAnsi="Arial"/>
                <w:sz w:val="18"/>
                <w:szCs w:val="18"/>
                <w:b w:val="1"/>
                <w:bCs w:val="1"/>
                <w:color w:val="auto"/>
                <w:w w:val="94"/>
              </w:rPr>
              <w:t>For the Three Months Ended March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126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Average: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demand deposits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89,111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Demand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Savings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6,851</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31,889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17,728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Time certificates of deposit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50,888</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r>
      <w:tr>
        <w:trPr>
          <w:trHeight w:val="27"/>
        </w:trPr>
        <w:tc>
          <w:tcPr>
            <w:tcW w:w="5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average deposits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270,287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deposits increased to $277.5 million at March 31, 2022 from $251.9 million at December 31, 2021, an increase of $25.6 million, or 10.2%. This increase was primarily due to an increase in money markets and noninterest-bearing demand deposits.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$187.9 million and $106.4 million for the three months ended March 31, 2022 and 2021, respectively. The maturity profile of our uninsured time deposits, those amounts that exceed the FDIC insurance limit, at March 31, 2022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8"/>
              </w:rPr>
              <w:t>March 31, 2022</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5"/>
              </w:rPr>
              <w:t>More than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three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More than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Three</w:t>
            </w: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months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six months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months</w:t>
            </w: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six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 twelve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twelve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or less</w:t>
            </w:r>
          </w:p>
        </w:tc>
        <w:tc>
          <w:tcPr>
            <w:tcW w:w="12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months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months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months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uninsured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r>
      <w:tr>
        <w:trPr>
          <w:trHeight w:val="568"/>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Management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23, 2021, we completed our IPO at a price of $10.50 per share. We raised approximately $36.1 million in net proceeds after deducting underwriting discounts and commissions of approximately $3.0 million and certain estimated offering expenses payable by us of approximately of $3.2 million. The net proceeds less $0.5 million in other related expenses, including legal fees totaled $35.6 million.</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primary source of funds to originate new loans (other than the PPPLF program used to fund PPP loans in 2020) is derived from deposits. Deposits are comprised of core and noncore deposits. We use brokered deposits and a rate listing service to advertise rates to banks, credit unions, and other institutional entities. We designate deposits obtained from this source as Institutional Deposits. To date, depositors of brokered and Institutional Deposits have been willing to place deposits with us at rates near the middle of the market. To attract deposits from local and nationwide consumer and commercial markets, we historically paid rates at the higher end of the market, which we have been able to pay due to our high margin and technology oriented business model. We utilize rate listing services and website advertising to attract deposits from consumer and commercial sources.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regularly evaluate new, core deposit products and in 2020, we launched a deposit product targeted to the needs of our PPP borrowers. We intend to have various term offerings to match our funding needs. Plans for 2022 include marketing commercial checking accounts to selected business customers and expanded roll out of our deposit product targeted to the needs of our SBA borrowers. These accounts offer small business cash management tools including ACH and wire capabilities, competitive interest rates, and personalized customer support. The commercial checking account is expected to be a no-fee based account with emphasis on electronic banking.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27.5% of total assets at March 31, 2022.</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primarily utilize short-term and long-term borrowings to supplement deposits to fund our lending and investment activities, each of which is discussed below. At March 31, 2022, we had the ability to access $9.6 million from the Federal Reserve Bank’s Discount Window on a collateralized basis. Through Zions Bank, the Bank had an available unsecured line available of $1.0 million. The Bank had an available unsecured line of credit with Bankers’ Bank of the West to borrow up to $1.05 million in overnight funds. We also maintain a $3.9 million line of credit with Federal Home Loan Bank, secured by specific pledged loans. We had no outstanding balances on such unsecured or secured lines of credit as of March 31, 2022. In long term borrowings, we had $1.0 million outstanding at March 31, 2022 related to the PPPLF. The PPPLF is secured by pledged PPP loans.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liquid assets are cash and cash equivalents. The levels of these assets depend on our operating, financing, lending and investing activities during any given period. At March 31, 2022, liquid assets (defined as cash and due from banks and interest bearing deposits), consisting of cash and due from banks, totaled $116.6 million. We believe that our liquid assets combined with the available lines of credit provide adequate liquidity to meet our current financial obligations for at least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equity increased $9.5 million to $125.0 million at March 31, 2022 compared to $115.4 million at December 31, 2021. The increase in shareholders’ equity was primarily attributable to net income recognized of $9.4 million. Stock options exercised, and stock-based compensation increased additional paid-in capital aggregately by approximately $0.1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several indicators of capital strength. The most commonly used measure is average common equity to average assets, which was 29.9% and 25.7% for the three months ended March 31, 2022 and December 31, 2021,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return on average equity was 31.4% and 43.1% for the three months ended March 31, 2022 and 2021, respectively. Our return on average assets was 9.4% and 6.5% for the three months ended March 31, 2022 and 2021,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as temporarily amended by Section 4012 of the CARES Act, the Bank must maintain a leverage ratio greater than 8.5% for 2021 and 9.0% for 2022.</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and December 31, 2021,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regulatory capital ratios for the Bank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4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Pr>
          <w:p>
            <w:pPr>
              <w:spacing w:after="0"/>
              <w:rPr>
                <w:sz w:val="20"/>
                <w:szCs w:val="20"/>
                <w:color w:val="auto"/>
              </w:rPr>
            </w:pPr>
          </w:p>
        </w:tc>
      </w:tr>
      <w:tr>
        <w:trPr>
          <w:trHeight w:val="198"/>
        </w:trPr>
        <w:tc>
          <w:tcPr>
            <w:tcW w:w="5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Well-</w:t>
            </w:r>
          </w:p>
        </w:tc>
        <w:tc>
          <w:tcPr>
            <w:tcW w:w="44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Well-</w:t>
            </w:r>
          </w:p>
        </w:tc>
        <w:tc>
          <w:tcPr>
            <w:tcW w:w="520" w:type="dxa"/>
            <w:vAlign w:val="bottom"/>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Capitalized</w:t>
            </w: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Capitalized</w:t>
            </w:r>
          </w:p>
        </w:tc>
      </w:tr>
      <w:tr>
        <w:trPr>
          <w:trHeight w:val="241"/>
        </w:trPr>
        <w:tc>
          <w:tcPr>
            <w:tcW w:w="5200" w:type="dxa"/>
            <w:vAlign w:val="bottom"/>
          </w:tcPr>
          <w:p>
            <w:pPr>
              <w:spacing w:after="0"/>
              <w:rPr>
                <w:sz w:val="20"/>
                <w:szCs w:val="20"/>
                <w:color w:val="auto"/>
              </w:rPr>
            </w:pPr>
            <w:r>
              <w:rPr>
                <w:rFonts w:ascii="Arial" w:cs="Arial" w:eastAsia="Arial" w:hAnsi="Arial"/>
                <w:sz w:val="18"/>
                <w:szCs w:val="18"/>
                <w:i w:val="1"/>
                <w:iCs w:val="1"/>
                <w:color w:val="auto"/>
              </w:rPr>
              <w:t>Capital Ratios</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Requirement</w:t>
            </w:r>
          </w:p>
        </w:tc>
        <w:tc>
          <w:tcPr>
            <w:tcW w:w="4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Requirement</w:t>
            </w:r>
          </w:p>
        </w:tc>
        <w:tc>
          <w:tcPr>
            <w:tcW w:w="52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(under CBLR)</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1540" w:type="dxa"/>
            <w:vAlign w:val="bottom"/>
            <w:gridSpan w:val="2"/>
            <w:shd w:val="clear" w:color="auto" w:fill="CCEEFF"/>
          </w:tcPr>
          <w:p>
            <w:pPr>
              <w:jc w:val="right"/>
              <w:ind w:right="120"/>
              <w:spacing w:after="0" w:line="216" w:lineRule="exact"/>
              <w:rPr>
                <w:sz w:val="20"/>
                <w:szCs w:val="20"/>
                <w:color w:val="auto"/>
              </w:rPr>
            </w:pPr>
            <w:r>
              <w:rPr>
                <w:rFonts w:ascii="Arial" w:cs="Arial" w:eastAsia="Arial" w:hAnsi="Arial"/>
                <w:sz w:val="16"/>
                <w:szCs w:val="16"/>
                <w:color w:val="auto"/>
              </w:rPr>
              <w:t>9.0%</w:t>
            </w:r>
            <w:r>
              <w:rPr>
                <w:rFonts w:ascii="Arial" w:cs="Arial" w:eastAsia="Arial" w:hAnsi="Arial"/>
                <w:sz w:val="25"/>
                <w:szCs w:val="25"/>
                <w:color w:val="auto"/>
                <w:vertAlign w:val="superscript"/>
              </w:rPr>
              <w:t>(1)</w:t>
            </w:r>
          </w:p>
        </w:tc>
        <w:tc>
          <w:tcPr>
            <w:tcW w:w="16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6"/>
                <w:szCs w:val="16"/>
                <w:color w:val="auto"/>
              </w:rPr>
              <w:t>8.5%</w:t>
            </w:r>
            <w:r>
              <w:rPr>
                <w:rFonts w:ascii="Arial" w:cs="Arial" w:eastAsia="Arial" w:hAnsi="Arial"/>
                <w:sz w:val="25"/>
                <w:szCs w:val="25"/>
                <w:color w:val="auto"/>
                <w:vertAlign w:val="superscript"/>
              </w:rPr>
              <w:t>(2)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Well-Capitalized Requirement for years 2022 and 2021 were 9.0% and 8.5%.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March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One to</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More</w:t>
            </w: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2"/>
              </w:rPr>
              <w:t>Less than</w:t>
            </w: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Three</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Three to</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Than Five</w:t>
            </w:r>
          </w:p>
        </w:tc>
      </w:tr>
      <w:tr>
        <w:trPr>
          <w:trHeight w:val="241"/>
        </w:trPr>
        <w:tc>
          <w:tcPr>
            <w:tcW w:w="45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8"/>
              </w:rPr>
              <w:t>One Year</w:t>
            </w:r>
          </w:p>
        </w:tc>
        <w:tc>
          <w:tcPr>
            <w:tcW w:w="2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Five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without stated maturity</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135,249</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135,249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81,688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28,967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35,080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16,901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r>
      <w:tr>
        <w:trPr>
          <w:trHeight w:val="216"/>
        </w:trPr>
        <w:tc>
          <w:tcPr>
            <w:tcW w:w="45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Long term borrowings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3,073</w:t>
            </w:r>
          </w:p>
        </w:tc>
      </w:tr>
      <w:tr>
        <w:trPr>
          <w:trHeight w:val="256"/>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225,871</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165,501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Balances in this category pertain to the PPPLF and are fully-collateralized with PPP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if required, we would maintain an allowance for off-balance sheet credit risk which would be recorded in other liabilities on the consolidated balance sheets.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commitments to extend credit as of the dates indicated are summarized below. Since commitments associated with commitments to extend credit may expire unused, the amounts shown do not necessarily reflect the actual future cash funding requirements.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As of March 31,</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4"/>
              </w:rPr>
              <w:t>As of December 31,</w:t>
            </w:r>
          </w:p>
        </w:tc>
      </w:tr>
      <w:tr>
        <w:trPr>
          <w:trHeight w:val="241"/>
        </w:trPr>
        <w:tc>
          <w:tcPr>
            <w:tcW w:w="82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Revolving, open-end lines of credit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22,167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15,402</w:t>
            </w:r>
          </w:p>
        </w:tc>
      </w:tr>
      <w:tr>
        <w:trPr>
          <w:trHeight w:val="22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unused commitments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Total commitments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23,646</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r>
      <w:tr>
        <w:trPr>
          <w:trHeight w:val="20"/>
        </w:trPr>
        <w:tc>
          <w:tcPr>
            <w:tcW w:w="8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management’s discussion and analysis of results of operations and financial condition is based upon our unaudited interim consolidated financial statements, which have been prepared in accordance with GAAP. The preparation of these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There have been no significant changes during the three months ended March 31, 2022 to the items that we disclosed as our critical accounting policies and estimates in “Management’s Discussion and Analysis of Financial Condition and Results of Operations” in the 2021 Form 10-K.</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Accounting policies, as described in detail in the notes to our consolidated financial statements, included in the 2021 Form 10-K, are an integral part of our financial statements. A thorough understanding of these accounting policies is essential when reviewing our reported results of operations and our financial position. We believe that those critical accounting policies and estimates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Management Explanation of Non-GAAP Financial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the financial measures included in this Report are not measures of financial performance recognized by GAAP. This non-GAAP financial measure is “total nonperforming assets and troubled debt restructurings to total assets (less PPP loans).” Our management uses this non-GAAP financial measures in its analysis of our performance.</w:t>
      </w:r>
    </w:p>
    <w:p>
      <w:pPr>
        <w:spacing w:after="0" w:line="184" w:lineRule="exact"/>
        <w:rPr>
          <w:sz w:val="20"/>
          <w:szCs w:val="20"/>
          <w:color w:val="auto"/>
        </w:rPr>
      </w:pPr>
    </w:p>
    <w:p>
      <w:pPr>
        <w:jc w:val="both"/>
        <w:ind w:left="500" w:hanging="492"/>
        <w:spacing w:after="0" w:line="255"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nonperforming assets and troubled debt restructurings to total assets (less PPP loans)” is defined as the sum of nonperforming assets and troubled debt restructurings divided by total assets minus PPP loans. The most directly comparable GAAP financial measure is the sum of nonperforming assets and troubled debt restructurings to total assets. We believe this measure is important because we believe that PPP loans will not be included in nonperforming assets or troubled debt restructurings since PPP loans are 100% guaranteed by the SBA. We believe that the non-GAAP measure more accurately discloses the proportion of nonperforming assets and troubled debt restructurings to total assets consistently with periods prior to the presence of PPP loans.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measures as a substitute for results determined in accordance with GAAP, and they are not necessarily comparable to non-GAAP financial measures that other companies use. The following table provides a reconciliation of these non-GAAP financial measures to the most closely related GAAP measure.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i w:val="1"/>
                <w:iCs w:val="1"/>
                <w:color w:val="auto"/>
              </w:rPr>
              <w:t>Total nonperforming assets and troubled debt restructurings to total assets (less PPP loans)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8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As of</w:t>
            </w: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5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March 31, 2022</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31, 2021</w:t>
            </w:r>
          </w:p>
        </w:tc>
        <w:tc>
          <w:tcPr>
            <w:tcW w:w="160" w:type="dxa"/>
            <w:vAlign w:val="bottom"/>
          </w:tcPr>
          <w:p>
            <w:pPr>
              <w:spacing w:after="0"/>
              <w:rPr>
                <w:sz w:val="19"/>
                <w:szCs w:val="19"/>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 and troubled debt restructuring</w:t>
            </w:r>
          </w:p>
        </w:tc>
        <w:tc>
          <w:tcPr>
            <w:tcW w:w="4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424,484</w:t>
            </w:r>
          </w:p>
        </w:tc>
        <w:tc>
          <w:tcPr>
            <w:tcW w:w="2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380,214</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w:t>
            </w:r>
          </w:p>
        </w:tc>
      </w:tr>
      <w:tr>
        <w:trPr>
          <w:trHeight w:val="27"/>
        </w:trPr>
        <w:tc>
          <w:tcPr>
            <w:tcW w:w="8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Total assets less PPP loans</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423,493</w:t>
            </w:r>
          </w:p>
        </w:tc>
        <w:tc>
          <w:tcPr>
            <w:tcW w:w="2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379,123</w:t>
            </w:r>
          </w:p>
        </w:tc>
      </w:tr>
      <w:tr>
        <w:trPr>
          <w:trHeight w:val="21"/>
        </w:trPr>
        <w:tc>
          <w:tcPr>
            <w:tcW w:w="8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 and troubled debt restructurings to total assets (less PPP loans)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filer category of “smaller reporting company,” as defined in Rule 12b-2 of the Exchange Act, the Company is not required to provide information requested by Part I, Item 3 of this Report.</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defined in Rule 13a-15(e) under the Exchange Act as of the end of the period covered by this Report. Based on that evaluation, the Company’s Chief Executive Officer and Chief Financial Officer concluded that the Company’s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controls over financial reporting (as such term is defined in Rules 13a-15(f) and 15d-15(f) under the Exchange Act) during the fiscal quarter to which this Report relates that have materially affected, or are reasonably likely to materially affect, the Company’s internal controls over financial reporting.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pacing w:after="0" w:line="1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section supplements and updates certain of the information found under Part I, Item 1A. “Risk Factors” of the 2021 Form 10-K based on information currently known to us and recent developments since the date of the 2021 Form 10-K filing. The matters discussed below should be read in conjunction with the risk factors set forth in the 2021 Form 10-K. The risks and uncertainties that we face are not limited to those described below and those set forth in the 2021 Form 10-K. Additional risks and uncertainties not presently known to us or that we currently believe to be immaterial may also adversely affect our business and the trading price of our securities, particularly in light of the fast-changing nature of the COVID-19 pandemic, containment measures, continued outbreaks and new variants, and the related impacts to economic and operating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terrorism, geopolitical and other external events could impact our ability to conduct business.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discussed in more detail in the 2021 Form 10-K, acts of terrorism, geopolitical and other external events could impact our ability to conduct business. Political and social conditions, fiscal and monetary policies, trade wars and tariffs, labor shortages, prolonged or recurring government shutdowns, regional or domestic hostilities, economic sanctions and the prospect or occurrence of more widespread conflicts could also negatively affect our business, operations and partners, consumer and business spending, including travel patterns and business investment, and demand for credit. The U.S., the U.K., the EU and other countries have each imposed export controls on certain products and financial and economic sanctions on certain industry sectors and parties in and associated with Russia, and additional sanction packages to constrain Russia have been and continue to be proposed and adopted. The conflict in Ukraine has led to economic uncertainty and market disruptions, including significant volatility in commodity and energy prices and credit and capital markets. The broader consequences of this conflict are difficult to predict at this time, but may include further sanctions, regional instability and geopolitical shifts, increased prevalence and sophistication of cyberattacks against us, our customers, service providers and other third parties, potential retaliatory action by customers or the Russian government against companies such as us, heightened regulatory scrutiny related to sanctions compliance, increased inflation, further increases or fluctuations in commodity and energy prices, decreases in global travel, further disruptions to the global supply chain and the availability of certain natural resources and other adverse effects on macroeconomic conditions. The duration of the conflict in Ukraine and the extent to which it may intensify or expand beyond Ukraine are currently unknown, and such events could exacerbate or heighten many of the other risk factors described in Part I, Item 1A. “Risk Factors” of the 2021 Form 10-K and have a material adverse effect on our business, financial condition and results of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unregistered sales of the Company’s stock during the first quarter of 2022. The Company did not repurchase any of its shares during the first quarter of 2022 and does not have any authorized share repurchase programs.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gridSpan w:val="8"/>
          </w:tcPr>
          <w:p>
            <w:pPr>
              <w:spacing w:after="0"/>
              <w:rPr>
                <w:sz w:val="20"/>
                <w:szCs w:val="20"/>
                <w:color w:val="auto"/>
              </w:rPr>
            </w:pPr>
            <w:r>
              <w:rPr>
                <w:rFonts w:ascii="Arial" w:cs="Arial" w:eastAsia="Arial" w:hAnsi="Arial"/>
                <w:sz w:val="18"/>
                <w:szCs w:val="18"/>
                <w:color w:val="auto"/>
              </w:rPr>
              <w:t>Exhibits.</w:t>
            </w:r>
          </w:p>
        </w:tc>
        <w:tc>
          <w:tcPr>
            <w:tcW w:w="10360" w:type="dxa"/>
            <w:vAlign w:val="bottom"/>
          </w:tcPr>
          <w:p>
            <w:pPr>
              <w:spacing w:after="0"/>
              <w:rPr>
                <w:sz w:val="20"/>
                <w:szCs w:val="20"/>
                <w:color w:val="auto"/>
              </w:rPr>
            </w:pPr>
          </w:p>
        </w:tc>
      </w:tr>
      <w:tr>
        <w:trPr>
          <w:trHeight w:val="439"/>
        </w:trPr>
        <w:tc>
          <w:tcPr>
            <w:tcW w:w="880" w:type="dxa"/>
            <w:vAlign w:val="bottom"/>
            <w:gridSpan w:val="8"/>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103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360" w:type="dxa"/>
            <w:vAlign w:val="bottom"/>
            <w:tcBorders>
              <w:top w:val="single" w:sz="8" w:color="auto"/>
            </w:tcBorders>
          </w:tcPr>
          <w:p>
            <w:pPr>
              <w:spacing w:after="0"/>
              <w:rPr>
                <w:sz w:val="18"/>
                <w:szCs w:val="18"/>
                <w:color w:val="auto"/>
              </w:rPr>
            </w:pPr>
          </w:p>
        </w:tc>
      </w:tr>
      <w:tr>
        <w:trPr>
          <w:trHeight w:val="176"/>
        </w:trPr>
        <w:tc>
          <w:tcPr>
            <w:tcW w:w="560" w:type="dxa"/>
            <w:vAlign w:val="bottom"/>
            <w:gridSpan w:val="5"/>
            <w:shd w:val="clear" w:color="auto" w:fill="CCEEFF"/>
          </w:tcPr>
          <w:p>
            <w:pPr>
              <w:jc w:val="center"/>
              <w:ind w:left="130"/>
              <w:spacing w:after="0" w:line="176" w:lineRule="exact"/>
              <w:rPr>
                <w:rFonts w:ascii="Arial" w:cs="Arial" w:eastAsia="Arial" w:hAnsi="Arial"/>
                <w:sz w:val="18"/>
                <w:szCs w:val="18"/>
                <w:color w:val="0000EE"/>
                <w:w w:val="87"/>
              </w:rPr>
            </w:pPr>
            <w:hyperlink r:id="rId6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Fourth Amended and Restated Articles of Incorporation (incorporated by reference to Exhibit 3.1 of the Registrant’s Registration Statement on</w:t>
            </w:r>
          </w:p>
        </w:tc>
      </w:tr>
      <w:tr>
        <w:trPr>
          <w:trHeight w:val="236"/>
        </w:trPr>
        <w:tc>
          <w:tcPr>
            <w:tcW w:w="2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S-1 filed with the Securities and Exchange Commission on July 30, 2021 (File No. 333-257929)).</w:t>
            </w:r>
          </w:p>
        </w:tc>
      </w:tr>
      <w:tr>
        <w:trPr>
          <w:trHeight w:val="176"/>
        </w:trPr>
        <w:tc>
          <w:tcPr>
            <w:tcW w:w="560" w:type="dxa"/>
            <w:vAlign w:val="bottom"/>
            <w:gridSpan w:val="5"/>
          </w:tcPr>
          <w:p>
            <w:pPr>
              <w:jc w:val="center"/>
              <w:ind w:left="130"/>
              <w:spacing w:after="0" w:line="176" w:lineRule="exact"/>
              <w:rPr>
                <w:rFonts w:ascii="Arial" w:cs="Arial" w:eastAsia="Arial" w:hAnsi="Arial"/>
                <w:sz w:val="18"/>
                <w:szCs w:val="18"/>
                <w:color w:val="0000EE"/>
                <w:w w:val="87"/>
              </w:rPr>
            </w:pPr>
            <w:hyperlink r:id="rId6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60" w:type="dxa"/>
            <w:vAlign w:val="bottom"/>
          </w:tcPr>
          <w:p>
            <w:pPr>
              <w:spacing w:after="0" w:line="176" w:lineRule="exact"/>
              <w:rPr>
                <w:sz w:val="20"/>
                <w:szCs w:val="20"/>
                <w:color w:val="auto"/>
              </w:rPr>
            </w:pPr>
            <w:r>
              <w:rPr>
                <w:rFonts w:ascii="Arial" w:cs="Arial" w:eastAsia="Arial" w:hAnsi="Arial"/>
                <w:sz w:val="18"/>
                <w:szCs w:val="18"/>
                <w:color w:val="auto"/>
                <w:w w:val="91"/>
              </w:rPr>
              <w:t>Amended and Restated Bylaws (incorporated by reference to Exhibit 3.2 of the Registrant’s Registration Statement on Form S-1 filed with the</w:t>
            </w:r>
          </w:p>
        </w:tc>
      </w:tr>
      <w:tr>
        <w:trPr>
          <w:trHeight w:val="237"/>
        </w:trPr>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Securities and Exchange Commission on July 30, 2021 (File No. 333-257929)).</w:t>
            </w:r>
          </w:p>
        </w:tc>
      </w:tr>
      <w:tr>
        <w:trPr>
          <w:trHeight w:val="175"/>
        </w:trPr>
        <w:tc>
          <w:tcPr>
            <w:tcW w:w="560" w:type="dxa"/>
            <w:vAlign w:val="bottom"/>
            <w:gridSpan w:val="5"/>
            <w:shd w:val="clear" w:color="auto" w:fill="CCEEFF"/>
          </w:tcPr>
          <w:p>
            <w:pPr>
              <w:jc w:val="center"/>
              <w:ind w:left="130"/>
              <w:spacing w:after="0" w:line="176" w:lineRule="exact"/>
              <w:rPr>
                <w:rFonts w:ascii="Arial" w:cs="Arial" w:eastAsia="Arial" w:hAnsi="Arial"/>
                <w:sz w:val="18"/>
                <w:szCs w:val="18"/>
                <w:color w:val="0000EE"/>
                <w:w w:val="87"/>
              </w:rPr>
            </w:pPr>
            <w:hyperlink r:id="rId6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Specimen common stock certificate (incorporated by reference to Exhibit 4.1 of the Registrant’s Registration Statement on Form S-1 filed with</w:t>
            </w:r>
          </w:p>
        </w:tc>
      </w:tr>
      <w:tr>
        <w:trPr>
          <w:trHeight w:val="237"/>
        </w:trPr>
        <w:tc>
          <w:tcPr>
            <w:tcW w:w="2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Securities and Exchange Commission on July 15, 2021 (File No. 333-257929)).</w:t>
            </w:r>
          </w:p>
        </w:tc>
      </w:tr>
      <w:tr>
        <w:trPr>
          <w:trHeight w:val="176"/>
        </w:trPr>
        <w:tc>
          <w:tcPr>
            <w:tcW w:w="600" w:type="dxa"/>
            <w:vAlign w:val="bottom"/>
            <w:gridSpan w:val="6"/>
          </w:tcPr>
          <w:p>
            <w:pPr>
              <w:jc w:val="center"/>
              <w:ind w:left="110"/>
              <w:spacing w:after="0" w:line="17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60" w:type="dxa"/>
            <w:vAlign w:val="bottom"/>
          </w:tcPr>
          <w:p>
            <w:pPr>
              <w:spacing w:after="0" w:line="176" w:lineRule="exact"/>
              <w:rPr>
                <w:sz w:val="20"/>
                <w:szCs w:val="20"/>
                <w:color w:val="auto"/>
              </w:rPr>
            </w:pPr>
            <w:r>
              <w:rPr>
                <w:rFonts w:ascii="Arial" w:cs="Arial" w:eastAsia="Arial" w:hAnsi="Arial"/>
                <w:sz w:val="18"/>
                <w:szCs w:val="18"/>
                <w:color w:val="auto"/>
              </w:rPr>
              <w:t>Amendment to Employment Agreement, dated March 14, 2022, by and between David Tilis and FinWise Bancorp</w:t>
            </w: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176"/>
        </w:trPr>
        <w:tc>
          <w:tcPr>
            <w:tcW w:w="780" w:type="dxa"/>
            <w:vAlign w:val="bottom"/>
            <w:gridSpan w:val="7"/>
            <w:shd w:val="clear" w:color="auto" w:fill="CCEEFF"/>
          </w:tcPr>
          <w:p>
            <w:pPr>
              <w:jc w:val="center"/>
              <w:spacing w:after="0" w:line="17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100" w:type="dxa"/>
            <w:vAlign w:val="bottom"/>
            <w:shd w:val="clear" w:color="auto" w:fill="CCEEFF"/>
          </w:tcPr>
          <w:p>
            <w:pPr>
              <w:spacing w:after="0"/>
              <w:rPr>
                <w:sz w:val="15"/>
                <w:szCs w:val="15"/>
                <w:color w:val="auto"/>
              </w:rPr>
            </w:pPr>
          </w:p>
        </w:tc>
        <w:tc>
          <w:tcPr>
            <w:tcW w:w="10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Second Amendment to Employment Agreement, dated March 31, 2022, by and between David Tilis and FinWise Bancorp</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gridSpan w:val="7"/>
          </w:tcPr>
          <w:p>
            <w:pPr>
              <w:jc w:val="center"/>
              <w:spacing w:after="0" w:line="17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100" w:type="dxa"/>
            <w:vAlign w:val="bottom"/>
          </w:tcPr>
          <w:p>
            <w:pPr>
              <w:spacing w:after="0"/>
              <w:rPr>
                <w:sz w:val="15"/>
                <w:szCs w:val="15"/>
                <w:color w:val="auto"/>
              </w:rPr>
            </w:pPr>
          </w:p>
        </w:tc>
        <w:tc>
          <w:tcPr>
            <w:tcW w:w="10360" w:type="dxa"/>
            <w:vAlign w:val="bottom"/>
          </w:tcPr>
          <w:p>
            <w:pPr>
              <w:spacing w:after="0" w:line="176" w:lineRule="exact"/>
              <w:rPr>
                <w:sz w:val="20"/>
                <w:szCs w:val="20"/>
                <w:color w:val="auto"/>
              </w:rPr>
            </w:pPr>
            <w:r>
              <w:rPr>
                <w:rFonts w:ascii="Arial" w:cs="Arial" w:eastAsia="Arial" w:hAnsi="Arial"/>
                <w:sz w:val="18"/>
                <w:szCs w:val="18"/>
                <w:color w:val="auto"/>
              </w:rPr>
              <w:t>Third Amendment to Employment Agreement, dated April 29, 2022, by and between David Tilis and FinWise Bancorp</w:t>
            </w:r>
          </w:p>
        </w:tc>
      </w:tr>
      <w:tr>
        <w:trPr>
          <w:trHeight w:val="21"/>
        </w:trPr>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175"/>
        </w:trPr>
        <w:tc>
          <w:tcPr>
            <w:tcW w:w="780" w:type="dxa"/>
            <w:vAlign w:val="bottom"/>
            <w:gridSpan w:val="7"/>
            <w:shd w:val="clear" w:color="auto" w:fill="CCEEFF"/>
          </w:tcPr>
          <w:p>
            <w:pPr>
              <w:jc w:val="center"/>
              <w:spacing w:after="0" w:line="17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100" w:type="dxa"/>
            <w:vAlign w:val="bottom"/>
            <w:shd w:val="clear" w:color="auto" w:fill="CCEEFF"/>
          </w:tcPr>
          <w:p>
            <w:pPr>
              <w:spacing w:after="0"/>
              <w:rPr>
                <w:sz w:val="15"/>
                <w:szCs w:val="15"/>
                <w:color w:val="auto"/>
              </w:rPr>
            </w:pPr>
          </w:p>
        </w:tc>
        <w:tc>
          <w:tcPr>
            <w:tcW w:w="10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Rule 13a-14(a) Certification of the Principal Executive Officer.</w:t>
            </w:r>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gridSpan w:val="7"/>
          </w:tcPr>
          <w:p>
            <w:pPr>
              <w:jc w:val="center"/>
              <w:spacing w:after="0" w:line="176"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100" w:type="dxa"/>
            <w:vAlign w:val="bottom"/>
          </w:tcPr>
          <w:p>
            <w:pPr>
              <w:spacing w:after="0"/>
              <w:rPr>
                <w:sz w:val="15"/>
                <w:szCs w:val="15"/>
                <w:color w:val="auto"/>
              </w:rPr>
            </w:pPr>
          </w:p>
        </w:tc>
        <w:tc>
          <w:tcPr>
            <w:tcW w:w="10360" w:type="dxa"/>
            <w:vAlign w:val="bottom"/>
          </w:tcPr>
          <w:p>
            <w:pPr>
              <w:spacing w:after="0" w:line="176" w:lineRule="exact"/>
              <w:rPr>
                <w:sz w:val="20"/>
                <w:szCs w:val="20"/>
                <w:color w:val="auto"/>
              </w:rPr>
            </w:pPr>
            <w:r>
              <w:rPr>
                <w:rFonts w:ascii="Arial" w:cs="Arial" w:eastAsia="Arial" w:hAnsi="Arial"/>
                <w:sz w:val="18"/>
                <w:szCs w:val="18"/>
                <w:color w:val="auto"/>
              </w:rPr>
              <w:t>Rule 13a-14(a) Certification of the Principal Financial Officer.</w:t>
            </w:r>
          </w:p>
        </w:tc>
      </w:tr>
      <w:tr>
        <w:trPr>
          <w:trHeight w:val="21"/>
        </w:trPr>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176"/>
        </w:trPr>
        <w:tc>
          <w:tcPr>
            <w:tcW w:w="780" w:type="dxa"/>
            <w:vAlign w:val="bottom"/>
            <w:gridSpan w:val="7"/>
            <w:shd w:val="clear" w:color="auto" w:fill="CCEEFF"/>
          </w:tcPr>
          <w:p>
            <w:pPr>
              <w:jc w:val="center"/>
              <w:spacing w:after="0" w:line="17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100" w:type="dxa"/>
            <w:vAlign w:val="bottom"/>
            <w:shd w:val="clear" w:color="auto" w:fill="CCEEFF"/>
          </w:tcPr>
          <w:p>
            <w:pPr>
              <w:spacing w:after="0"/>
              <w:rPr>
                <w:sz w:val="15"/>
                <w:szCs w:val="15"/>
                <w:color w:val="auto"/>
              </w:rPr>
            </w:pPr>
          </w:p>
        </w:tc>
        <w:tc>
          <w:tcPr>
            <w:tcW w:w="10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36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880" w:type="dxa"/>
            <w:vAlign w:val="bottom"/>
            <w:gridSpan w:val="8"/>
          </w:tcPr>
          <w:p>
            <w:pPr>
              <w:jc w:val="center"/>
              <w:ind w:right="100"/>
              <w:spacing w:after="0" w:line="201" w:lineRule="exact"/>
              <w:rPr>
                <w:sz w:val="20"/>
                <w:szCs w:val="20"/>
                <w:color w:val="auto"/>
              </w:rPr>
            </w:pPr>
            <w:r>
              <w:rPr>
                <w:rFonts w:ascii="Arial" w:cs="Arial" w:eastAsia="Arial" w:hAnsi="Arial"/>
                <w:sz w:val="18"/>
                <w:szCs w:val="18"/>
                <w:color w:val="auto"/>
                <w:w w:val="97"/>
              </w:rPr>
              <w:t>101.INS*</w:t>
            </w:r>
          </w:p>
        </w:tc>
        <w:tc>
          <w:tcPr>
            <w:tcW w:w="10360" w:type="dxa"/>
            <w:vAlign w:val="bottom"/>
          </w:tcPr>
          <w:p>
            <w:pPr>
              <w:spacing w:after="0" w:line="201" w:lineRule="exact"/>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 are embedded</w:t>
            </w:r>
          </w:p>
        </w:tc>
      </w:tr>
      <w:tr>
        <w:trPr>
          <w:trHeight w:val="230"/>
        </w:trPr>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880" w:type="dxa"/>
            <w:vAlign w:val="bottom"/>
            <w:gridSpan w:val="8"/>
            <w:shd w:val="clear" w:color="auto" w:fill="CCEEFF"/>
          </w:tcPr>
          <w:p>
            <w:pPr>
              <w:jc w:val="center"/>
              <w:ind w:right="80"/>
              <w:spacing w:after="0"/>
              <w:rPr>
                <w:sz w:val="20"/>
                <w:szCs w:val="20"/>
                <w:color w:val="auto"/>
              </w:rPr>
            </w:pPr>
            <w:r>
              <w:rPr>
                <w:rFonts w:ascii="Arial" w:cs="Arial" w:eastAsia="Arial" w:hAnsi="Arial"/>
                <w:sz w:val="18"/>
                <w:szCs w:val="18"/>
                <w:color w:val="auto"/>
                <w:w w:val="94"/>
              </w:rPr>
              <w:t>101.SCH*</w:t>
            </w: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880" w:type="dxa"/>
            <w:vAlign w:val="bottom"/>
            <w:gridSpan w:val="8"/>
          </w:tcPr>
          <w:p>
            <w:pPr>
              <w:jc w:val="center"/>
              <w:ind w:right="80"/>
              <w:spacing w:after="0"/>
              <w:rPr>
                <w:sz w:val="20"/>
                <w:szCs w:val="20"/>
                <w:color w:val="auto"/>
              </w:rPr>
            </w:pPr>
            <w:r>
              <w:rPr>
                <w:rFonts w:ascii="Arial" w:cs="Arial" w:eastAsia="Arial" w:hAnsi="Arial"/>
                <w:sz w:val="18"/>
                <w:szCs w:val="18"/>
                <w:color w:val="auto"/>
                <w:w w:val="98"/>
              </w:rPr>
              <w:t>101.CAL*</w:t>
            </w:r>
          </w:p>
        </w:tc>
        <w:tc>
          <w:tcPr>
            <w:tcW w:w="1036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880" w:type="dxa"/>
            <w:vAlign w:val="bottom"/>
            <w:gridSpan w:val="8"/>
            <w:shd w:val="clear" w:color="auto" w:fill="CCEEFF"/>
          </w:tcPr>
          <w:p>
            <w:pPr>
              <w:jc w:val="center"/>
              <w:ind w:right="100"/>
              <w:spacing w:after="0"/>
              <w:rPr>
                <w:sz w:val="20"/>
                <w:szCs w:val="20"/>
                <w:color w:val="auto"/>
              </w:rPr>
            </w:pPr>
            <w:r>
              <w:rPr>
                <w:rFonts w:ascii="Arial" w:cs="Arial" w:eastAsia="Arial" w:hAnsi="Arial"/>
                <w:sz w:val="18"/>
                <w:szCs w:val="18"/>
                <w:color w:val="auto"/>
                <w:w w:val="94"/>
              </w:rPr>
              <w:t>101.DEF*</w:t>
            </w: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880" w:type="dxa"/>
            <w:vAlign w:val="bottom"/>
            <w:gridSpan w:val="8"/>
          </w:tcPr>
          <w:p>
            <w:pPr>
              <w:jc w:val="center"/>
              <w:ind w:right="80"/>
              <w:spacing w:after="0"/>
              <w:rPr>
                <w:sz w:val="20"/>
                <w:szCs w:val="20"/>
                <w:color w:val="auto"/>
              </w:rPr>
            </w:pPr>
            <w:r>
              <w:rPr>
                <w:rFonts w:ascii="Arial" w:cs="Arial" w:eastAsia="Arial" w:hAnsi="Arial"/>
                <w:sz w:val="18"/>
                <w:szCs w:val="18"/>
                <w:color w:val="auto"/>
                <w:w w:val="99"/>
              </w:rPr>
              <w:t>101.LAB*</w:t>
            </w:r>
          </w:p>
        </w:tc>
        <w:tc>
          <w:tcPr>
            <w:tcW w:w="1036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880" w:type="dxa"/>
            <w:vAlign w:val="bottom"/>
            <w:gridSpan w:val="8"/>
            <w:shd w:val="clear" w:color="auto" w:fill="CCEEFF"/>
          </w:tcPr>
          <w:p>
            <w:pPr>
              <w:jc w:val="center"/>
              <w:ind w:right="100"/>
              <w:spacing w:after="0"/>
              <w:rPr>
                <w:sz w:val="20"/>
                <w:szCs w:val="20"/>
                <w:color w:val="auto"/>
              </w:rPr>
            </w:pPr>
            <w:r>
              <w:rPr>
                <w:rFonts w:ascii="Arial" w:cs="Arial" w:eastAsia="Arial" w:hAnsi="Arial"/>
                <w:sz w:val="18"/>
                <w:szCs w:val="18"/>
                <w:color w:val="auto"/>
                <w:w w:val="93"/>
              </w:rPr>
              <w:t>101.PRE*</w:t>
            </w: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600" w:type="dxa"/>
            <w:vAlign w:val="bottom"/>
            <w:gridSpan w:val="6"/>
          </w:tcPr>
          <w:p>
            <w:pPr>
              <w:jc w:val="center"/>
              <w:ind w:left="110"/>
              <w:spacing w:after="0"/>
              <w:rPr>
                <w:sz w:val="20"/>
                <w:szCs w:val="20"/>
                <w:color w:val="auto"/>
              </w:rPr>
            </w:pPr>
            <w:r>
              <w:rPr>
                <w:rFonts w:ascii="Arial" w:cs="Arial" w:eastAsia="Arial" w:hAnsi="Arial"/>
                <w:sz w:val="18"/>
                <w:szCs w:val="18"/>
                <w:color w:val="auto"/>
                <w:w w:val="97"/>
              </w:rPr>
              <w:t>104*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 in Exhibit 101)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FinWise Bancorp</w:t>
      </w:r>
    </w:p>
    <w:p>
      <w:pPr>
        <w:spacing w:after="0" w:line="221" w:lineRule="exact"/>
        <w:rPr>
          <w:sz w:val="20"/>
          <w:szCs w:val="20"/>
          <w:color w:val="auto"/>
        </w:rPr>
      </w:pPr>
    </w:p>
    <w:p>
      <w:pPr>
        <w:spacing w:after="0"/>
        <w:tabs>
          <w:tab w:leader="none" w:pos="5620" w:val="left"/>
          <w:tab w:leader="none" w:pos="782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Kent Landvatter</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spacing w:after="0"/>
        <w:tabs>
          <w:tab w:leader="none" w:pos="5620" w:val="left"/>
          <w:tab w:leader="none" w:pos="786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Javvis Jacobson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4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22" w:right="85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 EMPLOYMENT AGREEMENT</w:t>
      </w:r>
    </w:p>
    <w:p>
      <w:pPr>
        <w:spacing w:after="0" w:line="23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THIS AMENDMENT TO EMPLOYMENT (the “Amendment”) is made and entered into this 31</w:t>
      </w:r>
      <w:r>
        <w:rPr>
          <w:rFonts w:ascii="Arial" w:cs="Arial" w:eastAsia="Arial" w:hAnsi="Arial"/>
          <w:sz w:val="35"/>
          <w:szCs w:val="35"/>
          <w:color w:val="auto"/>
          <w:vertAlign w:val="superscript"/>
        </w:rPr>
        <w:t>st</w:t>
      </w:r>
      <w:r>
        <w:rPr>
          <w:rFonts w:ascii="Arial" w:cs="Arial" w:eastAsia="Arial" w:hAnsi="Arial"/>
          <w:sz w:val="22"/>
          <w:szCs w:val="22"/>
          <w:color w:val="auto"/>
        </w:rPr>
        <w:t xml:space="preserve"> day of March, 2022 (the “Effective Date”), by and among FinWise Bancorp, a Utah community bank holding company ("Holding Company"), its wholly-owned subsidiary, FinWise Bank f/k/a Utah Community Bank, a Utah corporation (the “Bank”) and David Tilis, and individual ("Executive”). Holding Company, Bank and Executive are sometimes individually referred to hereafter as a “Party” and collectively referred to as the “Parties.” Capitalized terms not defined in this Amendment shall have the meaning set forth in the Employment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Executive entered into an Employment Agreement, dated January 1, 2018 (the "Agreement"), whereby Executive would be employed under the terms and subject to the conditions set forth therein;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Agreement was amended on March 14, 2022 to extend the term of the Agreement until March 31, 2022;</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desire to amend Section 2 as set forth herein to extend the term to April 30, 2022.</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FOR AND IN CONSIDERATION of the mutual promises and covenants hereinafter set forth, this Amendment and for other good and valuable consideration, the receipt and adequacy of which is hereby acknowledged, the parties hereto agree to amend and confirm the Agreement as follows:</w:t>
      </w:r>
    </w:p>
    <w:p>
      <w:pPr>
        <w:spacing w:after="0" w:line="213" w:lineRule="exact"/>
        <w:rPr>
          <w:sz w:val="20"/>
          <w:szCs w:val="20"/>
          <w:color w:val="auto"/>
        </w:rPr>
      </w:pPr>
    </w:p>
    <w:p>
      <w:pPr>
        <w:ind w:left="1360" w:hanging="704"/>
        <w:spacing w:after="0"/>
        <w:tabs>
          <w:tab w:leader="none" w:pos="13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Section 2 of the Agreement is hereby amended with the following:</w:t>
      </w:r>
    </w:p>
    <w:p>
      <w:pPr>
        <w:spacing w:after="0" w:line="233" w:lineRule="exact"/>
        <w:rPr>
          <w:sz w:val="20"/>
          <w:szCs w:val="20"/>
          <w:color w:val="auto"/>
        </w:rPr>
      </w:pPr>
    </w:p>
    <w:p>
      <w:pPr>
        <w:jc w:val="both"/>
        <w:ind w:left="1300" w:right="660" w:firstLine="648"/>
        <w:spacing w:after="0"/>
        <w:rPr>
          <w:sz w:val="20"/>
          <w:szCs w:val="20"/>
          <w:color w:val="auto"/>
        </w:rPr>
      </w:pPr>
      <w:r>
        <w:rPr>
          <w:rFonts w:ascii="Arial" w:cs="Arial" w:eastAsia="Arial" w:hAnsi="Arial"/>
          <w:sz w:val="22"/>
          <w:szCs w:val="22"/>
          <w:color w:val="auto"/>
        </w:rPr>
        <w:t>Subject to the terms hereof the term of this agreement, Executive’s employment under this Agreement shall commence on January 1, 2018 (the “Effective Date”) and shall continue until April 30, 2022 (the “Term”) unless earlier terminated pursuant to the provisions hereof.</w:t>
      </w:r>
    </w:p>
    <w:p>
      <w:pPr>
        <w:spacing w:after="0" w:line="213" w:lineRule="exact"/>
        <w:rPr>
          <w:sz w:val="20"/>
          <w:szCs w:val="20"/>
          <w:color w:val="auto"/>
        </w:rPr>
      </w:pPr>
    </w:p>
    <w:p>
      <w:pPr>
        <w:ind w:right="260" w:firstLine="656"/>
        <w:spacing w:after="0" w:line="246" w:lineRule="auto"/>
        <w:tabs>
          <w:tab w:leader="none" w:pos="1350"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Effect of Amendment</w:t>
      </w:r>
      <w:r>
        <w:rPr>
          <w:rFonts w:ascii="Arial" w:cs="Arial" w:eastAsia="Arial" w:hAnsi="Arial"/>
          <w:sz w:val="21"/>
          <w:szCs w:val="21"/>
          <w:color w:val="auto"/>
        </w:rPr>
        <w:t>. This Amendment is incorporated in and supersedes all contrary terms of the Agreement and the First Amendment Employment with respect to the items addressed herein. Except as specifically modified by this Amendment, all other terms and provisions in the Agreement as amended, shall remain in full force and effect. The Agreement and this Amendment contain the entire understanding and agreement of the Parties related to the subject matter hereof and thereof, and supersede all prior and contemporaneous oral and written agreements or understanding with respect to the subject matter hereof and thereof. In the event of any conflict between the provisions of this Amendment and the provisions of the Agreement, this Amendment will control.</w:t>
      </w:r>
    </w:p>
    <w:p>
      <w:pPr>
        <w:spacing w:after="0" w:line="211" w:lineRule="exact"/>
        <w:rPr>
          <w:rFonts w:ascii="Arial" w:cs="Arial" w:eastAsia="Arial" w:hAnsi="Arial"/>
          <w:sz w:val="21"/>
          <w:szCs w:val="21"/>
          <w:color w:val="auto"/>
        </w:rPr>
      </w:pPr>
    </w:p>
    <w:p>
      <w:pPr>
        <w:ind w:right="300" w:firstLine="656"/>
        <w:spacing w:after="0"/>
        <w:tabs>
          <w:tab w:leader="none" w:pos="135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Each party represents and warrants that it has the power and authority to execute this Amendment. This Amendment may be signed in counterpart or duplicate copies, and any signed counterpart or duplicate copy shall be equivalent to a signed original for all purposes.</w:t>
      </w:r>
    </w:p>
    <w:p>
      <w:pPr>
        <w:spacing w:after="0" w:line="200" w:lineRule="exact"/>
        <w:rPr>
          <w:sz w:val="20"/>
          <w:szCs w:val="20"/>
          <w:color w:val="auto"/>
        </w:rPr>
      </w:pPr>
    </w:p>
    <w:p>
      <w:pPr>
        <w:spacing w:after="0" w:line="25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IN WITNESS WHEREOF, Holding Company, Bank and Executive have hereto caused this Agreement to be executed on or as of the day and year above first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EXECUTIVE:</w:t>
            </w:r>
          </w:p>
        </w:tc>
        <w:tc>
          <w:tcPr>
            <w:tcW w:w="440" w:type="dxa"/>
            <w:vAlign w:val="bottom"/>
          </w:tcPr>
          <w:p>
            <w:pPr>
              <w:spacing w:after="0"/>
              <w:rPr>
                <w:sz w:val="17"/>
                <w:szCs w:val="17"/>
                <w:color w:val="auto"/>
              </w:rPr>
            </w:pPr>
          </w:p>
        </w:tc>
        <w:tc>
          <w:tcPr>
            <w:tcW w:w="5840" w:type="dxa"/>
            <w:vAlign w:val="bottom"/>
            <w:gridSpan w:val="4"/>
          </w:tcPr>
          <w:p>
            <w:pPr>
              <w:ind w:left="240"/>
              <w:spacing w:after="0"/>
              <w:rPr>
                <w:sz w:val="20"/>
                <w:szCs w:val="20"/>
                <w:color w:val="auto"/>
              </w:rPr>
            </w:pPr>
            <w:r>
              <w:rPr>
                <w:rFonts w:ascii="Arial" w:cs="Arial" w:eastAsia="Arial" w:hAnsi="Arial"/>
                <w:sz w:val="18"/>
                <w:szCs w:val="18"/>
                <w:b w:val="1"/>
                <w:bCs w:val="1"/>
                <w:color w:val="auto"/>
              </w:rPr>
              <w:t>HOLDING COMPANY:</w:t>
            </w:r>
          </w:p>
        </w:tc>
      </w:tr>
      <w:tr>
        <w:trPr>
          <w:trHeight w:val="20"/>
        </w:trPr>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40" w:type="dxa"/>
            <w:vAlign w:val="bottom"/>
            <w:gridSpan w:val="4"/>
          </w:tcPr>
          <w:p>
            <w:pPr>
              <w:ind w:left="240"/>
              <w:spacing w:after="0"/>
              <w:rPr>
                <w:sz w:val="20"/>
                <w:szCs w:val="20"/>
                <w:color w:val="auto"/>
              </w:rPr>
            </w:pPr>
            <w:r>
              <w:rPr>
                <w:rFonts w:ascii="Arial" w:cs="Arial" w:eastAsia="Arial" w:hAnsi="Arial"/>
                <w:sz w:val="18"/>
                <w:szCs w:val="18"/>
                <w:b w:val="1"/>
                <w:bCs w:val="1"/>
                <w:color w:val="auto"/>
              </w:rPr>
              <w:t>FinWise Bancorp, a Utah bank holding company</w:t>
            </w:r>
          </w:p>
        </w:tc>
      </w:tr>
      <w:tr>
        <w:trPr>
          <w:trHeight w:val="453"/>
        </w:trPr>
        <w:tc>
          <w:tcPr>
            <w:tcW w:w="4960" w:type="dxa"/>
            <w:vAlign w:val="bottom"/>
            <w:gridSpan w:val="4"/>
          </w:tcPr>
          <w:p>
            <w:pPr>
              <w:spacing w:after="0"/>
              <w:rPr>
                <w:sz w:val="20"/>
                <w:szCs w:val="20"/>
                <w:color w:val="auto"/>
              </w:rPr>
            </w:pPr>
            <w:r>
              <w:rPr>
                <w:rFonts w:ascii="Arial" w:cs="Arial" w:eastAsia="Arial" w:hAnsi="Arial"/>
                <w:sz w:val="18"/>
                <w:szCs w:val="18"/>
                <w:color w:val="auto"/>
              </w:rPr>
              <w:t>/s/ David Tilis</w:t>
            </w:r>
          </w:p>
        </w:tc>
        <w:tc>
          <w:tcPr>
            <w:tcW w:w="440" w:type="dxa"/>
            <w:vAlign w:val="bottom"/>
          </w:tcPr>
          <w:p>
            <w:pPr>
              <w:spacing w:after="0"/>
              <w:rPr>
                <w:sz w:val="24"/>
                <w:szCs w:val="24"/>
                <w:color w:val="auto"/>
              </w:rPr>
            </w:pPr>
          </w:p>
        </w:tc>
        <w:tc>
          <w:tcPr>
            <w:tcW w:w="5840" w:type="dxa"/>
            <w:vAlign w:val="bottom"/>
            <w:gridSpan w:val="4"/>
          </w:tcPr>
          <w:p>
            <w:pPr>
              <w:ind w:left="240"/>
              <w:spacing w:after="0"/>
              <w:rPr>
                <w:sz w:val="20"/>
                <w:szCs w:val="20"/>
                <w:color w:val="auto"/>
              </w:rPr>
            </w:pPr>
            <w:r>
              <w:rPr>
                <w:rFonts w:ascii="Arial" w:cs="Arial" w:eastAsia="Arial" w:hAnsi="Arial"/>
                <w:sz w:val="18"/>
                <w:szCs w:val="18"/>
                <w:color w:val="auto"/>
              </w:rPr>
              <w:t>By: /s/ Kent Landvatter</w:t>
            </w:r>
          </w:p>
        </w:tc>
      </w:tr>
      <w:tr>
        <w:trPr>
          <w:trHeight w:val="230"/>
        </w:trPr>
        <w:tc>
          <w:tcPr>
            <w:tcW w:w="49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David Tilis</w:t>
            </w:r>
          </w:p>
        </w:tc>
        <w:tc>
          <w:tcPr>
            <w:tcW w:w="440" w:type="dxa"/>
            <w:vAlign w:val="bottom"/>
          </w:tcPr>
          <w:p>
            <w:pPr>
              <w:spacing w:after="0"/>
              <w:rPr>
                <w:sz w:val="20"/>
                <w:szCs w:val="20"/>
                <w:color w:val="auto"/>
              </w:rPr>
            </w:pPr>
          </w:p>
        </w:tc>
        <w:tc>
          <w:tcPr>
            <w:tcW w:w="5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Its:</w:t>
            </w: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President</w:t>
            </w:r>
          </w:p>
        </w:tc>
      </w:tr>
      <w:tr>
        <w:trPr>
          <w:trHeight w:val="404"/>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BANK:</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6"/>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FinWise Bank, a Utah community bank</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53"/>
        </w:trPr>
        <w:tc>
          <w:tcPr>
            <w:tcW w:w="4960" w:type="dxa"/>
            <w:vAlign w:val="bottom"/>
            <w:gridSpan w:val="4"/>
          </w:tcPr>
          <w:p>
            <w:pPr>
              <w:spacing w:after="0"/>
              <w:rPr>
                <w:sz w:val="20"/>
                <w:szCs w:val="20"/>
                <w:color w:val="auto"/>
              </w:rPr>
            </w:pPr>
            <w:r>
              <w:rPr>
                <w:rFonts w:ascii="Arial" w:cs="Arial" w:eastAsia="Arial" w:hAnsi="Arial"/>
                <w:sz w:val="18"/>
                <w:szCs w:val="18"/>
                <w:color w:val="auto"/>
              </w:rPr>
              <w:t>By: /s/ Kent Landvatter</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30"/>
        </w:trPr>
        <w:tc>
          <w:tcPr>
            <w:tcW w:w="340" w:type="dxa"/>
            <w:vAlign w:val="bottom"/>
          </w:tcPr>
          <w:p>
            <w:pPr>
              <w:spacing w:after="0" w:line="202" w:lineRule="exact"/>
              <w:rPr>
                <w:sz w:val="20"/>
                <w:szCs w:val="20"/>
                <w:color w:val="auto"/>
              </w:rPr>
            </w:pPr>
            <w:r>
              <w:rPr>
                <w:rFonts w:ascii="Arial" w:cs="Arial" w:eastAsia="Arial" w:hAnsi="Arial"/>
                <w:sz w:val="18"/>
                <w:szCs w:val="18"/>
                <w:color w:val="auto"/>
              </w:rPr>
              <w:t>Its:</w:t>
            </w:r>
          </w:p>
        </w:tc>
        <w:tc>
          <w:tcPr>
            <w:tcW w:w="4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President</w:t>
            </w:r>
          </w:p>
        </w:tc>
        <w:tc>
          <w:tcPr>
            <w:tcW w:w="4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635"/>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2</w:t>
            </w: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00"/>
        </w:trPr>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AMENDMENT TO EMPLOYMENT AGREEMENT</w:t>
      </w:r>
    </w:p>
    <w:p>
      <w:pPr>
        <w:spacing w:after="0" w:line="23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THIS THIRD AMENDMENT TO EMPLOYMENT AGREEMENT (the “Amendment”) is made and entered into this 29</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April, 2022 (the “Effective Date”), by and among FinWise Bancorp, a Utah community bank holding company ("Holding Company"), its wholly-owned subsidiary, FinWise Bank f/k/a Utah Community Bank, a Utah corporation (the “Bank”) and David Tilis, an individual ("Executive”). Holding Company, Bank and Executive are sometimes individually referred to hereafter as a “Party” and collectively referred to as the “Parties.” Capitalized terms not defined in this Amendment shall have the meaning set forth in the Employment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Executive entered into an Employment Agreement, dated January 1, 2018 (the "Agreement"), whereby Executive would be employed under the terms and subject to the conditions set forth therein;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Agreement was amended on March 14, 2022 to extend the term of the Agreement until March 31, 2022;</w:t>
      </w:r>
    </w:p>
    <w:p>
      <w:pPr>
        <w:spacing w:after="0" w:line="26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WHEREAS, the Agreement was subsequently amended on March 31, 2022 to extend the term of the Agreement until April 30, 2022;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Parties desire to amend Section 2 of the Agreement as set forth herein to extend the term to May 16,</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2022.</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FOR AND IN CONSIDERATION of the mutual promises and covenants hereinafter set forth, this Amendment and for other good and valuable consideration, the receipt and adequacy of which is hereby acknowledged, the parties hereto agree to amend and confirm the Agreement as follows:</w:t>
      </w:r>
    </w:p>
    <w:p>
      <w:pPr>
        <w:spacing w:after="0" w:line="213" w:lineRule="exact"/>
        <w:rPr>
          <w:sz w:val="20"/>
          <w:szCs w:val="20"/>
          <w:color w:val="auto"/>
        </w:rPr>
      </w:pPr>
    </w:p>
    <w:p>
      <w:pPr>
        <w:ind w:left="1360" w:hanging="704"/>
        <w:spacing w:after="0"/>
        <w:tabs>
          <w:tab w:leader="none" w:pos="136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Section 2 of the Agreement is hereby amended with the following:</w:t>
      </w:r>
    </w:p>
    <w:p>
      <w:pPr>
        <w:spacing w:after="0" w:line="233" w:lineRule="exact"/>
        <w:rPr>
          <w:sz w:val="20"/>
          <w:szCs w:val="20"/>
          <w:color w:val="auto"/>
        </w:rPr>
      </w:pPr>
    </w:p>
    <w:p>
      <w:pPr>
        <w:jc w:val="both"/>
        <w:ind w:left="1300" w:right="660" w:firstLine="648"/>
        <w:spacing w:after="0"/>
        <w:rPr>
          <w:sz w:val="20"/>
          <w:szCs w:val="20"/>
          <w:color w:val="auto"/>
        </w:rPr>
      </w:pPr>
      <w:r>
        <w:rPr>
          <w:rFonts w:ascii="Arial" w:cs="Arial" w:eastAsia="Arial" w:hAnsi="Arial"/>
          <w:sz w:val="22"/>
          <w:szCs w:val="22"/>
          <w:color w:val="auto"/>
        </w:rPr>
        <w:t>Subject to the terms hereof the term of this agreement, Executive’s employment under this Agreement shall commence on January 1, 2018 (the “Effective Date”) and shall continue until May 16, 2022 (the “Term”) unless earlier terminated pursuant to the provisions hereof.</w:t>
      </w:r>
    </w:p>
    <w:p>
      <w:pPr>
        <w:spacing w:after="0" w:line="213" w:lineRule="exact"/>
        <w:rPr>
          <w:sz w:val="20"/>
          <w:szCs w:val="20"/>
          <w:color w:val="auto"/>
        </w:rPr>
      </w:pPr>
    </w:p>
    <w:p>
      <w:pPr>
        <w:ind w:right="200" w:firstLine="656"/>
        <w:spacing w:after="0" w:line="246" w:lineRule="auto"/>
        <w:tabs>
          <w:tab w:leader="none" w:pos="135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Effect of Amendment</w:t>
      </w:r>
      <w:r>
        <w:rPr>
          <w:rFonts w:ascii="Arial" w:cs="Arial" w:eastAsia="Arial" w:hAnsi="Arial"/>
          <w:sz w:val="21"/>
          <w:szCs w:val="21"/>
          <w:color w:val="auto"/>
        </w:rPr>
        <w:t>. This Amendment is incorporated in and supersedes all contrary terms of the Agreement and all amendments thereto with respect to the items addressed herein. Except as specifically modified by this Amendment, all other terms and provisions in the Agreement as amended, shall remain in full force and effect. The Agreement and this Amendment contain the entire understanding and agreement of the Parties related to the subject matter hereof and thereof, and supersede all prior and contemporaneous oral and written agreements or understanding with respect to the subject matter hereof and thereof. In the event of any conflict between the provisions of this Amendment and the provisions of the Agreement, this Amendment will control.</w:t>
      </w:r>
    </w:p>
    <w:p>
      <w:pPr>
        <w:spacing w:after="0" w:line="211" w:lineRule="exact"/>
        <w:rPr>
          <w:rFonts w:ascii="Arial" w:cs="Arial" w:eastAsia="Arial" w:hAnsi="Arial"/>
          <w:sz w:val="21"/>
          <w:szCs w:val="21"/>
          <w:color w:val="auto"/>
        </w:rPr>
      </w:pPr>
    </w:p>
    <w:p>
      <w:pPr>
        <w:ind w:right="300" w:firstLine="656"/>
        <w:spacing w:after="0"/>
        <w:tabs>
          <w:tab w:leader="none" w:pos="135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Each party represents and warrants that it has the power and authority to execute this Amendment. This Amendment may be signed in counterpart or duplicate copies, and any signed counterpart or duplicate copy shall be equivalent to a signed original for all purposes.</w:t>
      </w:r>
    </w:p>
    <w:p>
      <w:pPr>
        <w:spacing w:after="0" w:line="200" w:lineRule="exact"/>
        <w:rPr>
          <w:sz w:val="20"/>
          <w:szCs w:val="20"/>
          <w:color w:val="auto"/>
        </w:rPr>
      </w:pPr>
    </w:p>
    <w:p>
      <w:pPr>
        <w:spacing w:after="0" w:line="25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IN WITNESS WHEREOF, Holding Company, Bank and Executive have hereto caused this Agreement to be executed on or as of the day and year above first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EXECUTIVE:</w:t>
            </w:r>
          </w:p>
        </w:tc>
        <w:tc>
          <w:tcPr>
            <w:tcW w:w="6280" w:type="dxa"/>
            <w:vAlign w:val="bottom"/>
            <w:gridSpan w:val="4"/>
          </w:tcPr>
          <w:p>
            <w:pPr>
              <w:ind w:left="680"/>
              <w:spacing w:after="0"/>
              <w:rPr>
                <w:sz w:val="20"/>
                <w:szCs w:val="20"/>
                <w:color w:val="auto"/>
              </w:rPr>
            </w:pPr>
            <w:r>
              <w:rPr>
                <w:rFonts w:ascii="Arial" w:cs="Arial" w:eastAsia="Arial" w:hAnsi="Arial"/>
                <w:sz w:val="18"/>
                <w:szCs w:val="18"/>
                <w:b w:val="1"/>
                <w:bCs w:val="1"/>
                <w:color w:val="auto"/>
              </w:rPr>
              <w:t>HOLDING COMPANY:</w:t>
            </w:r>
          </w:p>
        </w:tc>
      </w:tr>
      <w:tr>
        <w:trPr>
          <w:trHeight w:val="20"/>
        </w:trPr>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280" w:type="dxa"/>
            <w:vAlign w:val="bottom"/>
            <w:gridSpan w:val="4"/>
          </w:tcPr>
          <w:p>
            <w:pPr>
              <w:ind w:left="680"/>
              <w:spacing w:after="0"/>
              <w:rPr>
                <w:sz w:val="20"/>
                <w:szCs w:val="20"/>
                <w:color w:val="auto"/>
              </w:rPr>
            </w:pPr>
            <w:r>
              <w:rPr>
                <w:rFonts w:ascii="Arial" w:cs="Arial" w:eastAsia="Arial" w:hAnsi="Arial"/>
                <w:sz w:val="18"/>
                <w:szCs w:val="18"/>
                <w:b w:val="1"/>
                <w:bCs w:val="1"/>
                <w:color w:val="auto"/>
              </w:rPr>
              <w:t>FinWise Bancorp, a Utah bank holding company</w:t>
            </w:r>
          </w:p>
        </w:tc>
      </w:tr>
      <w:tr>
        <w:trPr>
          <w:trHeight w:val="453"/>
        </w:trPr>
        <w:tc>
          <w:tcPr>
            <w:tcW w:w="4960" w:type="dxa"/>
            <w:vAlign w:val="bottom"/>
            <w:gridSpan w:val="4"/>
          </w:tcPr>
          <w:p>
            <w:pPr>
              <w:spacing w:after="0"/>
              <w:rPr>
                <w:sz w:val="20"/>
                <w:szCs w:val="20"/>
                <w:color w:val="auto"/>
              </w:rPr>
            </w:pPr>
            <w:r>
              <w:rPr>
                <w:rFonts w:ascii="Arial" w:cs="Arial" w:eastAsia="Arial" w:hAnsi="Arial"/>
                <w:sz w:val="18"/>
                <w:szCs w:val="18"/>
                <w:color w:val="auto"/>
              </w:rPr>
              <w:t>/s/ David Tilis</w:t>
            </w:r>
          </w:p>
        </w:tc>
        <w:tc>
          <w:tcPr>
            <w:tcW w:w="6280" w:type="dxa"/>
            <w:vAlign w:val="bottom"/>
            <w:gridSpan w:val="4"/>
          </w:tcPr>
          <w:p>
            <w:pPr>
              <w:ind w:left="680"/>
              <w:spacing w:after="0"/>
              <w:rPr>
                <w:sz w:val="20"/>
                <w:szCs w:val="20"/>
                <w:color w:val="auto"/>
              </w:rPr>
            </w:pPr>
            <w:r>
              <w:rPr>
                <w:rFonts w:ascii="Arial" w:cs="Arial" w:eastAsia="Arial" w:hAnsi="Arial"/>
                <w:sz w:val="18"/>
                <w:szCs w:val="18"/>
                <w:color w:val="auto"/>
              </w:rPr>
              <w:t>By: /s/ Kent Landvatter</w:t>
            </w:r>
          </w:p>
        </w:tc>
      </w:tr>
      <w:tr>
        <w:trPr>
          <w:trHeight w:val="230"/>
        </w:trPr>
        <w:tc>
          <w:tcPr>
            <w:tcW w:w="49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David Tilis</w:t>
            </w:r>
          </w:p>
        </w:tc>
        <w:tc>
          <w:tcPr>
            <w:tcW w:w="100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Its:</w:t>
            </w: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President</w:t>
            </w:r>
          </w:p>
        </w:tc>
      </w:tr>
      <w:tr>
        <w:trPr>
          <w:trHeight w:val="404"/>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BANK:</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7"/>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FinWise Bank, a Utah community bank</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52"/>
        </w:trPr>
        <w:tc>
          <w:tcPr>
            <w:tcW w:w="4960" w:type="dxa"/>
            <w:vAlign w:val="bottom"/>
            <w:gridSpan w:val="4"/>
          </w:tcPr>
          <w:p>
            <w:pPr>
              <w:spacing w:after="0"/>
              <w:rPr>
                <w:sz w:val="20"/>
                <w:szCs w:val="20"/>
                <w:color w:val="auto"/>
              </w:rPr>
            </w:pPr>
            <w:r>
              <w:rPr>
                <w:rFonts w:ascii="Arial" w:cs="Arial" w:eastAsia="Arial" w:hAnsi="Arial"/>
                <w:sz w:val="18"/>
                <w:szCs w:val="18"/>
                <w:color w:val="auto"/>
              </w:rPr>
              <w:t>By: /s/ Kent Landvatter</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30"/>
        </w:trPr>
        <w:tc>
          <w:tcPr>
            <w:tcW w:w="340" w:type="dxa"/>
            <w:vAlign w:val="bottom"/>
          </w:tcPr>
          <w:p>
            <w:pPr>
              <w:spacing w:after="0" w:line="202" w:lineRule="exact"/>
              <w:rPr>
                <w:sz w:val="20"/>
                <w:szCs w:val="20"/>
                <w:color w:val="auto"/>
              </w:rPr>
            </w:pPr>
            <w:r>
              <w:rPr>
                <w:rFonts w:ascii="Arial" w:cs="Arial" w:eastAsia="Arial" w:hAnsi="Arial"/>
                <w:sz w:val="18"/>
                <w:szCs w:val="18"/>
                <w:color w:val="auto"/>
              </w:rPr>
              <w:t>Its:</w:t>
            </w:r>
          </w:p>
        </w:tc>
        <w:tc>
          <w:tcPr>
            <w:tcW w:w="4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635"/>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2</w:t>
            </w: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00"/>
        </w:trPr>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Kent Landvatter, certify that:</w:t>
      </w:r>
    </w:p>
    <w:p>
      <w:pPr>
        <w:spacing w:after="0" w:line="24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FinWise Bancorp;</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May 16, 2022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33438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Javvis Jacobson, certify that:</w:t>
      </w:r>
    </w:p>
    <w:p>
      <w:pPr>
        <w:spacing w:after="0" w:line="24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FinWise Bancorp;</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May 16, 2022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3515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Javvis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ind w:left="340" w:right="2700"/>
        <w:spacing w:after="0" w:line="243"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FinWise Bancorp (the “Company”) on Form 10-Q for the period ended March 31, 2022,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21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foregoing certification is being furnished solely pursuant to the requirements of 18 U.S.C. § 1350 and is not being filed as a part of the Report or as a separate disclosure document.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172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 May 16, 2022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34327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Javvis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 May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upperLetter"/>
      <w:start w:val="68"/>
    </w:lvl>
  </w:abstractNum>
  <w:abstractNum w:abstractNumId="6">
    <w:nsid w:val="DED7263"/>
    <w:multiLevelType w:val="hybridMultilevel"/>
    <w:lvl w:ilvl="0">
      <w:lvlJc w:val="left"/>
      <w:lvlText w:val="%1"/>
      <w:numFmt w:val="upperLetter"/>
      <w:start w:val="68"/>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60" Type="http://schemas.openxmlformats.org/officeDocument/2006/relationships/hyperlink" Target="https://www.sec.gov/Archives/edgar/data/1856365/000114036121026281/nt10024103x7_ex3-1.htm" TargetMode="External"/><Relationship Id="rId61" Type="http://schemas.openxmlformats.org/officeDocument/2006/relationships/hyperlink" Target="https://www.sec.gov/Archives/edgar/data/1856365/000114036121026281/nt10024103x7_ex3-2.htm" TargetMode="External"/><Relationship Id="rId62" Type="http://schemas.openxmlformats.org/officeDocument/2006/relationships/hyperlink" Target="https://www.sec.gov/Archives/edgar/data/1856365/000114036121024467/nt10024103x6_ex4-1.htm" TargetMode="External"/><Relationship Id="rId63" Type="http://schemas.openxmlformats.org/officeDocument/2006/relationships/hyperlink" Target="https://www.sec.gov/Archives/edgar/data/1856365/000114036122011928/brhc10035698_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2022-05-16T16:58:25Z</dcterms:created>
  <dcterms:modified xsi:type="dcterms:W3CDTF">2022-05-16T16:58:25Z</dcterms:modified>
</cp:coreProperties>
</file>