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440" w:right="319" w:bottom="1108" w:gutter="0" w:footer="0" w:header="0"/>
        </w:sectPr>
      </w:pPr>
    </w:p>
    <w:p>
      <w:pPr>
        <w:spacing w:after="0" w:line="22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001-40721</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83-0356689</w:t>
      </w:r>
    </w:p>
    <w:p>
      <w:pPr>
        <w:spacing w:after="0" w:line="67" w:lineRule="exact"/>
        <w:rPr>
          <w:sz w:val="24"/>
          <w:szCs w:val="24"/>
          <w:color w:val="auto"/>
        </w:rPr>
      </w:pPr>
    </w:p>
    <w:p>
      <w:pPr>
        <w:sectPr>
          <w:pgSz w:w="11900" w:h="16838" w:orient="portrait"/>
          <w:cols w:equalWidth="0" w:num="3">
            <w:col w:w="4500" w:space="720"/>
            <w:col w:w="2980" w:space="720"/>
            <w:col w:w="2340"/>
          </w:cols>
          <w:pgMar w:left="320" w:top="1440" w:right="319" w:bottom="1108"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40" w:space="720"/>
            <w:col w:w="2720" w:space="720"/>
            <w:col w:w="3160"/>
          </w:cols>
          <w:pgMar w:left="320" w:top="1440" w:right="319" w:bottom="1108"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organization)</w:t>
      </w:r>
    </w:p>
    <w:p>
      <w:pPr>
        <w:spacing w:after="0" w:line="33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756 East Winchester St., Suite 100</w:t>
      </w:r>
    </w:p>
    <w:p>
      <w:pPr>
        <w:sectPr>
          <w:pgSz w:w="11900" w:h="16838" w:orient="portrait"/>
          <w:cols w:equalWidth="0" w:num="1">
            <w:col w:w="11260"/>
          </w:cols>
          <w:pgMar w:left="320" w:top="1440" w:right="319" w:bottom="1108" w:gutter="0" w:footer="0" w:header="0"/>
          <w:type w:val="continuous"/>
        </w:sectPr>
      </w:pPr>
    </w:p>
    <w:p>
      <w:pPr>
        <w:spacing w:after="0" w:line="75"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Murray, Utah</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84107</w:t>
      </w:r>
    </w:p>
    <w:p>
      <w:pPr>
        <w:spacing w:after="0" w:line="67" w:lineRule="exact"/>
        <w:rPr>
          <w:sz w:val="24"/>
          <w:szCs w:val="24"/>
          <w:color w:val="auto"/>
        </w:rPr>
      </w:pPr>
    </w:p>
    <w:p>
      <w:pPr>
        <w:sectPr>
          <w:pgSz w:w="11900" w:h="16838" w:orient="portrait"/>
          <w:cols w:equalWidth="0" w:num="2">
            <w:col w:w="8060" w:space="720"/>
            <w:col w:w="2480"/>
          </w:cols>
          <w:pgMar w:left="320" w:top="1440" w:right="319" w:bottom="1108"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920" w:space="720"/>
            <w:col w:w="2620"/>
          </w:cols>
          <w:pgMar w:left="320" w:top="1440" w:right="319" w:bottom="1108" w:gutter="0" w:footer="0" w:header="0"/>
          <w:type w:val="continuous"/>
        </w:sectPr>
      </w:pPr>
    </w:p>
    <w:p>
      <w:pPr>
        <w:spacing w:after="0" w:line="11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(801) 501-7200</w:t>
      </w:r>
    </w:p>
    <w:p>
      <w:pPr>
        <w:spacing w:after="0" w:line="18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6"/>
          <w:szCs w:val="16"/>
          <w:color w:val="auto"/>
          <w:highlight w:val="black"/>
        </w:rPr>
      </w:pPr>
    </w:p>
    <w:p>
      <w:pPr>
        <w:ind w:left="580" w:hanging="554"/>
        <w:spacing w:after="0"/>
        <w:tabs>
          <w:tab w:leader="none" w:pos="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ind w:left="79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560" w:type="dxa"/>
            <w:vAlign w:val="bottom"/>
            <w:tcBorders>
              <w:top w:val="single" w:sz="8" w:color="auto"/>
              <w:left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Title of each class</w:t>
            </w:r>
          </w:p>
        </w:tc>
        <w:tc>
          <w:tcPr>
            <w:tcW w:w="274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Trading Symbol(s)</w:t>
            </w:r>
          </w:p>
        </w:tc>
        <w:tc>
          <w:tcPr>
            <w:tcW w:w="39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48"/>
        </w:trPr>
        <w:tc>
          <w:tcPr>
            <w:tcW w:w="20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20" w:type="dxa"/>
            <w:vAlign w:val="bottom"/>
            <w:tcBorders>
              <w:top w:val="single" w:sz="8" w:color="auto"/>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r>
      <w:tr>
        <w:trPr>
          <w:trHeight w:val="236"/>
        </w:trPr>
        <w:tc>
          <w:tcPr>
            <w:tcW w:w="4560" w:type="dxa"/>
            <w:vAlign w:val="bottom"/>
            <w:tcBorders>
              <w:left w:val="single" w:sz="8" w:color="auto"/>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74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FINW</w:t>
            </w:r>
          </w:p>
        </w:tc>
        <w:tc>
          <w:tcPr>
            <w:tcW w:w="39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20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318"/>
        </w:trPr>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13"/>
        </w:trPr>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108" w:gutter="0" w:footer="0" w:header="0"/>
          <w:type w:val="continuous"/>
        </w:sectPr>
      </w:pPr>
    </w:p>
    <w:bookmarkStart w:id="1" w:name="page2"/>
    <w:bookmarkEnd w:id="1"/>
    <w:p>
      <w:pPr>
        <w:ind w:left="980" w:right="600" w:hanging="971"/>
        <w:spacing w:after="0" w:line="287"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56"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On June 25, 2026, at the 2026 Annual Meeting of Shareholders (the "Annual Meeting") of FinWise Bancorp ("FinWise" or the "Company"), the Company shareholders approved the increase in the number of shares of our common stock available for awards under the FinWise Bancorp 2019 Stock Plan (the "2019 Plan") by 750,000 shares to 2,530,000 shares. The increase was embodied (subject to shareholder approval) in an amendment of the 2019 Plan that was approved by FinWise's Board of Directors on April 28, 2026. Our named executive officers expect to continue to participate in the 2019 Plan. For a description of the principal features of the 2019 Plan, please see Proposal No. 2 in our proxy statement for the Annual Meeting filed with the Securities and Exchange Commission on April 28, 2026, which description is incorporated herein by reference. Such description is qualified in its entirety by reference to the full text of the 2019 Plan, as amended, which is filed as Exhibit 10.1 hereto and incorporated by reference into this Item 5.02.</w:t>
      </w:r>
    </w:p>
    <w:p>
      <w:pPr>
        <w:spacing w:after="0" w:line="1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2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20"/>
          <w:szCs w:val="20"/>
          <w:color w:val="auto"/>
        </w:rPr>
        <w:t>At the Annual Meeting, shareholders of record as of April 28, 2026, the Record Date for the Annual Meeting, were entitled to vote 13,706,039 shares of the Company's common stock (the "Common Stock"), each having one vote per share. A total of 11,183,721 shares of Common Stock were represented at the Annual Meeting in person or by proxy.</w:t>
      </w:r>
    </w:p>
    <w:p>
      <w:pPr>
        <w:spacing w:after="0" w:line="14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At the Annual Meeting, the shareholders of the Company (i) elected two director nominees to hold office until the earlier of the 2029 Annual Meeting of Shareholders of the Company or until their successors are elected and qualified or until their earlier resignation or removal, (ii) approved the amendment to the 2019 Plan to increase the number of shares of our Common Stock available for issuance under the 2019 Plan by 750,000 shares to 2,530,000 shares and (iii) ratified the appointment of Baker Tilly US, LLP as the Company's independent registered public accounting firm for the fiscal year ending December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 Election of Directors</w:t>
      </w:r>
    </w:p>
    <w:p>
      <w:pPr>
        <w:spacing w:after="0" w:line="220"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shareholders of the Company elected each of the director nominees proposed by the Board of Directors. The final voting results were as follows: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tcBorders>
          </w:tcPr>
          <w:p>
            <w:pPr>
              <w:spacing w:after="0"/>
              <w:rPr>
                <w:sz w:val="19"/>
                <w:szCs w:val="19"/>
                <w:color w:val="auto"/>
              </w:rPr>
            </w:pPr>
          </w:p>
        </w:tc>
        <w:tc>
          <w:tcPr>
            <w:tcW w:w="17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Nominee</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For</w:t>
            </w:r>
          </w:p>
        </w:tc>
        <w:tc>
          <w:tcPr>
            <w:tcW w:w="28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6"/>
              </w:rPr>
              <w:t>Withheld</w:t>
            </w:r>
          </w:p>
        </w:tc>
        <w:tc>
          <w:tcPr>
            <w:tcW w:w="66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61"/>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r>
      <w:tr>
        <w:trPr>
          <w:trHeight w:val="256"/>
        </w:trPr>
        <w:tc>
          <w:tcPr>
            <w:tcW w:w="28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Gerald E. Cunningham</w:t>
            </w:r>
          </w:p>
        </w:tc>
        <w:tc>
          <w:tcPr>
            <w:tcW w:w="28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7,747,333</w:t>
            </w:r>
          </w:p>
        </w:tc>
        <w:tc>
          <w:tcPr>
            <w:tcW w:w="28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1,288,385</w:t>
            </w:r>
          </w:p>
        </w:tc>
        <w:tc>
          <w:tcPr>
            <w:tcW w:w="21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2,148,003</w:t>
            </w:r>
          </w:p>
        </w:tc>
        <w:tc>
          <w:tcPr>
            <w:tcW w:w="700" w:type="dxa"/>
            <w:vAlign w:val="bottom"/>
            <w:tcBorders>
              <w:right w:val="single" w:sz="8" w:color="auto"/>
            </w:tcBorders>
          </w:tcPr>
          <w:p>
            <w:pPr>
              <w:spacing w:after="0"/>
              <w:rPr>
                <w:sz w:val="22"/>
                <w:szCs w:val="22"/>
                <w:color w:val="auto"/>
              </w:rPr>
            </w:pPr>
          </w:p>
        </w:tc>
      </w:tr>
      <w:tr>
        <w:trPr>
          <w:trHeight w:val="35"/>
        </w:trPr>
        <w:tc>
          <w:tcPr>
            <w:tcW w:w="1060" w:type="dxa"/>
            <w:vAlign w:val="bottom"/>
            <w:tcBorders>
              <w:left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r>
        <w:trPr>
          <w:trHeight w:val="256"/>
        </w:trPr>
        <w:tc>
          <w:tcPr>
            <w:tcW w:w="28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Lisa Ann Nievaard</w:t>
            </w:r>
          </w:p>
        </w:tc>
        <w:tc>
          <w:tcPr>
            <w:tcW w:w="28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6,681,199</w:t>
            </w:r>
          </w:p>
        </w:tc>
        <w:tc>
          <w:tcPr>
            <w:tcW w:w="28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2,354,519</w:t>
            </w:r>
          </w:p>
        </w:tc>
        <w:tc>
          <w:tcPr>
            <w:tcW w:w="210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2,148,003</w:t>
            </w:r>
          </w:p>
        </w:tc>
        <w:tc>
          <w:tcPr>
            <w:tcW w:w="700" w:type="dxa"/>
            <w:vAlign w:val="bottom"/>
            <w:tcBorders>
              <w:right w:val="single" w:sz="8" w:color="auto"/>
            </w:tcBorders>
          </w:tcPr>
          <w:p>
            <w:pPr>
              <w:spacing w:after="0"/>
              <w:rPr>
                <w:sz w:val="22"/>
                <w:szCs w:val="22"/>
                <w:color w:val="auto"/>
              </w:rPr>
            </w:pPr>
          </w:p>
        </w:tc>
      </w:tr>
      <w:tr>
        <w:trPr>
          <w:trHeight w:val="35"/>
        </w:trPr>
        <w:tc>
          <w:tcPr>
            <w:tcW w:w="1060" w:type="dxa"/>
            <w:vAlign w:val="bottom"/>
            <w:tcBorders>
              <w:left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bl>
    <w:p>
      <w:pPr>
        <w:spacing w:after="0" w:line="24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Proposal 2: Approval of an Amendment and Restatement of the FinWise Bancorp 2019 Stock Plan in order to Increase the Number of Shares of Common Stock Available for Issuance Under the Plan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shareholders of the Company approved the amendment to the 2019 Plan effecting the increase in the number of shares of our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available for awards under the 2019 Plan by 750,000 shares to 2,530,000 shares. The voting results were as follows: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080" w:type="dxa"/>
            <w:vAlign w:val="bottom"/>
            <w:tcBorders>
              <w:top w:val="single" w:sz="8" w:color="auto"/>
            </w:tcBorders>
          </w:tcPr>
          <w:p>
            <w:pPr>
              <w:spacing w:after="0"/>
              <w:rPr>
                <w:sz w:val="19"/>
                <w:szCs w:val="19"/>
                <w:color w:val="auto"/>
              </w:rPr>
            </w:pPr>
          </w:p>
        </w:tc>
        <w:tc>
          <w:tcPr>
            <w:tcW w:w="1720" w:type="dxa"/>
            <w:vAlign w:val="bottom"/>
            <w:tcBorders>
              <w:top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Against</w:t>
            </w:r>
          </w:p>
        </w:tc>
        <w:tc>
          <w:tcPr>
            <w:tcW w:w="1080" w:type="dxa"/>
            <w:vAlign w:val="bottom"/>
            <w:tcBorders>
              <w:top w:val="single" w:sz="8" w:color="auto"/>
            </w:tcBorders>
          </w:tcPr>
          <w:p>
            <w:pPr>
              <w:spacing w:after="0"/>
              <w:rPr>
                <w:sz w:val="19"/>
                <w:szCs w:val="19"/>
                <w:color w:val="auto"/>
              </w:rPr>
            </w:pPr>
          </w:p>
        </w:tc>
        <w:tc>
          <w:tcPr>
            <w:tcW w:w="1740" w:type="dxa"/>
            <w:vAlign w:val="bottom"/>
            <w:tcBorders>
              <w:top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20"/>
                <w:szCs w:val="20"/>
                <w:color w:val="auto"/>
                <w:w w:val="99"/>
              </w:rPr>
              <w:t>Abstain</w:t>
            </w:r>
          </w:p>
        </w:tc>
        <w:tc>
          <w:tcPr>
            <w:tcW w:w="660" w:type="dxa"/>
            <w:vAlign w:val="bottom"/>
            <w:tcBorders>
              <w:top w:val="single" w:sz="8" w:color="auto"/>
            </w:tcBorders>
          </w:tcPr>
          <w:p>
            <w:pPr>
              <w:spacing w:after="0"/>
              <w:rPr>
                <w:sz w:val="19"/>
                <w:szCs w:val="19"/>
                <w:color w:val="auto"/>
              </w:rPr>
            </w:pPr>
          </w:p>
        </w:tc>
        <w:tc>
          <w:tcPr>
            <w:tcW w:w="2140" w:type="dxa"/>
            <w:vAlign w:val="bottom"/>
            <w:tcBorders>
              <w:top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61"/>
        </w:trPr>
        <w:tc>
          <w:tcPr>
            <w:tcW w:w="1280" w:type="dxa"/>
            <w:vAlign w:val="bottom"/>
            <w:tcBorders>
              <w:left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r>
      <w:tr>
        <w:trPr>
          <w:trHeight w:val="256"/>
        </w:trPr>
        <w:tc>
          <w:tcPr>
            <w:tcW w:w="2840" w:type="dxa"/>
            <w:vAlign w:val="bottom"/>
            <w:tcBorders>
              <w:left w:val="single" w:sz="8" w:color="auto"/>
              <w:right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20"/>
                <w:szCs w:val="20"/>
                <w:color w:val="auto"/>
              </w:rPr>
              <w:t>7,097,563</w:t>
            </w:r>
          </w:p>
        </w:tc>
        <w:tc>
          <w:tcPr>
            <w:tcW w:w="2800" w:type="dxa"/>
            <w:vAlign w:val="bottom"/>
            <w:tcBorders>
              <w:right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20"/>
                <w:szCs w:val="20"/>
                <w:color w:val="auto"/>
              </w:rPr>
              <w:t>1,938,155</w:t>
            </w:r>
          </w:p>
        </w:tc>
        <w:tc>
          <w:tcPr>
            <w:tcW w:w="108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20"/>
                <w:szCs w:val="20"/>
                <w:color w:val="auto"/>
                <w:w w:val="99"/>
              </w:rPr>
              <w:t>—</w:t>
            </w:r>
          </w:p>
        </w:tc>
        <w:tc>
          <w:tcPr>
            <w:tcW w:w="21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2,148,003</w:t>
            </w:r>
          </w:p>
        </w:tc>
        <w:tc>
          <w:tcPr>
            <w:tcW w:w="700" w:type="dxa"/>
            <w:vAlign w:val="bottom"/>
            <w:tcBorders>
              <w:right w:val="single" w:sz="8" w:color="auto"/>
            </w:tcBorders>
          </w:tcPr>
          <w:p>
            <w:pPr>
              <w:spacing w:after="0"/>
              <w:rPr>
                <w:sz w:val="22"/>
                <w:szCs w:val="22"/>
                <w:color w:val="auto"/>
              </w:rPr>
            </w:pPr>
          </w:p>
        </w:tc>
      </w:tr>
      <w:tr>
        <w:trPr>
          <w:trHeight w:val="35"/>
        </w:trPr>
        <w:tc>
          <w:tcPr>
            <w:tcW w:w="128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r>
    </w:tbl>
    <w:p>
      <w:pPr>
        <w:spacing w:after="0" w:line="24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20"/>
          <w:szCs w:val="20"/>
          <w:b w:val="1"/>
          <w:bCs w:val="1"/>
          <w:color w:val="auto"/>
        </w:rPr>
        <w:t>Proposal 3: Ratification of the Appointment of Baker Tilly US, LLP as the Company's Independent Registered Public Accounting Firm for Fiscal Year 2026</w:t>
      </w:r>
    </w:p>
    <w:p>
      <w:pPr>
        <w:spacing w:after="0" w:line="115"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The shareholders of the Company ratified the appointment of Baker Tilly US, LLP as the Company's independent registered public accounting firm for the fiscal year ending December 31, 2026. The final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4"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tcBorders>
          </w:tcPr>
          <w:p>
            <w:pPr>
              <w:spacing w:after="0"/>
              <w:rPr>
                <w:sz w:val="19"/>
                <w:szCs w:val="19"/>
                <w:color w:val="auto"/>
              </w:rPr>
            </w:pPr>
          </w:p>
        </w:tc>
        <w:tc>
          <w:tcPr>
            <w:tcW w:w="2020" w:type="dxa"/>
            <w:vAlign w:val="bottom"/>
            <w:tcBorders>
              <w:top w:val="single" w:sz="8" w:color="auto"/>
              <w:right w:val="single" w:sz="8" w:color="auto"/>
            </w:tcBorders>
            <w:gridSpan w:val="2"/>
          </w:tcPr>
          <w:p>
            <w:pPr>
              <w:jc w:val="center"/>
              <w:ind w:right="1740"/>
              <w:spacing w:after="0"/>
              <w:rPr>
                <w:sz w:val="20"/>
                <w:szCs w:val="20"/>
                <w:color w:val="auto"/>
              </w:rPr>
            </w:pPr>
            <w:r>
              <w:rPr>
                <w:rFonts w:ascii="Times New Roman" w:cs="Times New Roman" w:eastAsia="Times New Roman" w:hAnsi="Times New Roman"/>
                <w:sz w:val="20"/>
                <w:szCs w:val="20"/>
                <w:color w:val="auto"/>
              </w:rPr>
              <w:t>For</w:t>
            </w:r>
          </w:p>
        </w:tc>
        <w:tc>
          <w:tcPr>
            <w:tcW w:w="3740" w:type="dxa"/>
            <w:vAlign w:val="bottom"/>
            <w:tcBorders>
              <w:top w:val="single" w:sz="8" w:color="auto"/>
              <w:right w:val="single" w:sz="8" w:color="auto"/>
            </w:tcBorders>
            <w:gridSpan w:val="3"/>
          </w:tcPr>
          <w:p>
            <w:pPr>
              <w:ind w:left="1560"/>
              <w:spacing w:after="0"/>
              <w:rPr>
                <w:sz w:val="20"/>
                <w:szCs w:val="20"/>
                <w:color w:val="auto"/>
              </w:rPr>
            </w:pPr>
            <w:r>
              <w:rPr>
                <w:rFonts w:ascii="Times New Roman" w:cs="Times New Roman" w:eastAsia="Times New Roman" w:hAnsi="Times New Roman"/>
                <w:sz w:val="20"/>
                <w:szCs w:val="20"/>
                <w:color w:val="auto"/>
              </w:rPr>
              <w:t>Against</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Abstain</w:t>
            </w:r>
          </w:p>
        </w:tc>
      </w:tr>
      <w:tr>
        <w:trPr>
          <w:trHeight w:val="61"/>
        </w:trPr>
        <w:tc>
          <w:tcPr>
            <w:tcW w:w="1740" w:type="dxa"/>
            <w:vAlign w:val="bottom"/>
            <w:tcBorders>
              <w:left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r>
        <w:trPr>
          <w:trHeight w:val="256"/>
        </w:trPr>
        <w:tc>
          <w:tcPr>
            <w:tcW w:w="3760" w:type="dxa"/>
            <w:vAlign w:val="bottom"/>
            <w:tcBorders>
              <w:left w:val="single" w:sz="8" w:color="auto"/>
              <w:right w:val="single" w:sz="8" w:color="auto"/>
            </w:tcBorders>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10,357,336</w:t>
            </w:r>
          </w:p>
        </w:tc>
        <w:tc>
          <w:tcPr>
            <w:tcW w:w="3740" w:type="dxa"/>
            <w:vAlign w:val="bottom"/>
            <w:tcBorders>
              <w:right w:val="single" w:sz="8" w:color="auto"/>
            </w:tcBorders>
            <w:gridSpan w:val="3"/>
          </w:tcPr>
          <w:p>
            <w:pPr>
              <w:ind w:left="1540"/>
              <w:spacing w:after="0"/>
              <w:rPr>
                <w:sz w:val="20"/>
                <w:szCs w:val="20"/>
                <w:color w:val="auto"/>
              </w:rPr>
            </w:pPr>
            <w:r>
              <w:rPr>
                <w:rFonts w:ascii="Times New Roman" w:cs="Times New Roman" w:eastAsia="Times New Roman" w:hAnsi="Times New Roman"/>
                <w:sz w:val="20"/>
                <w:szCs w:val="20"/>
                <w:color w:val="auto"/>
              </w:rPr>
              <w:t>752,192</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74,193</w:t>
            </w:r>
          </w:p>
        </w:tc>
        <w:tc>
          <w:tcPr>
            <w:tcW w:w="1580" w:type="dxa"/>
            <w:vAlign w:val="bottom"/>
            <w:tcBorders>
              <w:right w:val="single" w:sz="8" w:color="auto"/>
            </w:tcBorders>
          </w:tcPr>
          <w:p>
            <w:pPr>
              <w:spacing w:after="0"/>
              <w:rPr>
                <w:sz w:val="22"/>
                <w:szCs w:val="22"/>
                <w:color w:val="auto"/>
              </w:rPr>
            </w:pPr>
          </w:p>
        </w:tc>
      </w:tr>
      <w:tr>
        <w:trPr>
          <w:trHeight w:val="35"/>
        </w:trPr>
        <w:tc>
          <w:tcPr>
            <w:tcW w:w="17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Exhibits</w:t>
            </w:r>
          </w:p>
        </w:tc>
        <w:tc>
          <w:tcPr>
            <w:tcW w:w="9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507"/>
        </w:trPr>
        <w:tc>
          <w:tcPr>
            <w:tcW w:w="2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No.</w:t>
            </w:r>
          </w:p>
        </w:tc>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140" w:type="dxa"/>
            <w:vAlign w:val="bottom"/>
          </w:tcPr>
          <w:p>
            <w:pPr>
              <w:spacing w:after="0"/>
              <w:rPr>
                <w:sz w:val="24"/>
                <w:szCs w:val="24"/>
                <w:color w:val="auto"/>
              </w:rPr>
            </w:pPr>
          </w:p>
        </w:tc>
        <w:tc>
          <w:tcPr>
            <w:tcW w:w="2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FinWise Bancorp 2019 Stock Plan.</w:t>
            </w:r>
          </w:p>
        </w:tc>
        <w:tc>
          <w:tcPr>
            <w:tcW w:w="362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140" w:type="dxa"/>
            <w:vAlign w:val="bottom"/>
          </w:tcPr>
          <w:p>
            <w:pPr>
              <w:spacing w:after="0"/>
              <w:rPr>
                <w:sz w:val="24"/>
                <w:szCs w:val="2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FinWise Bancorp has duly caused this report to be signed on its behalf by the undersigned hereunto duly authorized.</w:t>
      </w:r>
    </w:p>
    <w:p>
      <w:pPr>
        <w:spacing w:after="0" w:line="16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DATE: June 25, 2026</w:t>
      </w:r>
      <w:r>
        <w:rPr>
          <w:sz w:val="20"/>
          <w:szCs w:val="20"/>
          <w:color w:val="auto"/>
        </w:rPr>
        <w:tab/>
      </w:r>
      <w:r>
        <w:rPr>
          <w:rFonts w:ascii="Times New Roman" w:cs="Times New Roman" w:eastAsia="Times New Roman" w:hAnsi="Times New Roman"/>
          <w:sz w:val="19"/>
          <w:szCs w:val="19"/>
          <w:b w:val="1"/>
          <w:bCs w:val="1"/>
          <w:color w:val="auto"/>
        </w:rPr>
        <w:t>FINWISE BANCORP</w:t>
      </w:r>
    </w:p>
    <w:p>
      <w:pPr>
        <w:spacing w:after="0" w:line="3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Michael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40005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Michael O'Brien</w:t>
      </w:r>
    </w:p>
    <w:p>
      <w:pPr>
        <w:spacing w:after="0" w:line="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 Corporate Counsel, Corporate Secretary and Executive Vice</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President</w:t>
      </w:r>
    </w:p>
    <w:p>
      <w:pPr>
        <w:sectPr>
          <w:pgSz w:w="11900" w:h="16838" w:orient="portrait"/>
          <w:cols w:equalWidth="0" w:num="1">
            <w:col w:w="11260"/>
          </w:cols>
          <w:pgMar w:left="320" w:top="134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FINWISE BANCORP</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STOCK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July 26, 2021, June 9, 2022, June 27, 2024, and June 25, 2026</w:t>
      </w:r>
    </w:p>
    <w:p>
      <w:pPr>
        <w:spacing w:after="0" w:line="209" w:lineRule="exact"/>
        <w:rPr>
          <w:sz w:val="20"/>
          <w:szCs w:val="20"/>
          <w:color w:val="auto"/>
        </w:rPr>
      </w:pPr>
    </w:p>
    <w:p>
      <w:pPr>
        <w:jc w:val="both"/>
        <w:ind w:firstLine="656"/>
        <w:spacing w:after="0" w:line="236" w:lineRule="auto"/>
        <w:tabs>
          <w:tab w:leader="none" w:pos="129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 of the Plan</w:t>
      </w:r>
      <w:r>
        <w:rPr>
          <w:rFonts w:ascii="Times New Roman" w:cs="Times New Roman" w:eastAsia="Times New Roman" w:hAnsi="Times New Roman"/>
          <w:sz w:val="21"/>
          <w:szCs w:val="21"/>
          <w:color w:val="auto"/>
        </w:rPr>
        <w:t>. The purposes of this Plan are to attract and retain the best available personnel for positions of substantial responsibility, to provide additional incentives to Employees, Directors and Consultants and to promote the success of the Company’s business. The Plan permits the grant of Options and Restricted Stock as the Administrator may determine.</w:t>
      </w:r>
    </w:p>
    <w:p>
      <w:pPr>
        <w:spacing w:after="0" w:line="38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shall apply:</w:t>
      </w:r>
    </w:p>
    <w:p>
      <w:pPr>
        <w:ind w:firstLine="1304"/>
        <w:spacing w:after="0" w:line="225" w:lineRule="auto"/>
        <w:tabs>
          <w:tab w:leader="none" w:pos="1941"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Committee or, to the extent that the Board shall be administering the Plan in accordance with Section 4 hereof, the Board.</w:t>
      </w:r>
    </w:p>
    <w:p>
      <w:pPr>
        <w:spacing w:after="0" w:line="145"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requirements relating to the administration of equity compensation plans under U.S. state corporate laws, U.S. federal and state securities laws, the Code, any stock exchange or quotation system on which the Common Stock is listed or quoted and the applicable laws of any other country or jurisdiction where Awards are granted under the Plan.</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or Restricted Stock.</w:t>
      </w:r>
    </w:p>
    <w:p>
      <w:pPr>
        <w:spacing w:after="0" w:line="179" w:lineRule="exact"/>
        <w:rPr>
          <w:rFonts w:ascii="Times New Roman" w:cs="Times New Roman" w:eastAsia="Times New Roman" w:hAnsi="Times New Roman"/>
          <w:sz w:val="22"/>
          <w:szCs w:val="22"/>
          <w:color w:val="010000"/>
        </w:rPr>
      </w:pPr>
    </w:p>
    <w:p>
      <w:pPr>
        <w:ind w:firstLine="1304"/>
        <w:spacing w:after="0" w:line="238" w:lineRule="auto"/>
        <w:tabs>
          <w:tab w:leader="none" w:pos="1939"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2"/>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occurrence of any of the following events:</w:t>
      </w:r>
    </w:p>
    <w:p>
      <w:pPr>
        <w:spacing w:after="0" w:line="183"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3"/>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except that any change in the beneficial ownership of the securities of the Company as a result of a private financing of the Company that is approved by the Board, shall not be deemed to be a Change of Control; or</w:t>
      </w:r>
    </w:p>
    <w:p>
      <w:pPr>
        <w:spacing w:after="0" w:line="13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3"/>
          <w:numId w:val="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the sale or disposition by the Company of all or substantially all of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Company’s assets; or</w:t>
      </w:r>
    </w:p>
    <w:p>
      <w:pPr>
        <w:spacing w:after="0" w:line="155" w:lineRule="exact"/>
        <w:rPr>
          <w:rFonts w:ascii="Times New Roman" w:cs="Times New Roman" w:eastAsia="Times New Roman" w:hAnsi="Times New Roman"/>
          <w:sz w:val="22"/>
          <w:szCs w:val="22"/>
          <w:color w:val="010000"/>
        </w:rPr>
      </w:pPr>
    </w:p>
    <w:p>
      <w:pPr>
        <w:jc w:val="both"/>
        <w:ind w:firstLine="1952"/>
        <w:spacing w:after="0" w:line="226" w:lineRule="auto"/>
        <w:tabs>
          <w:tab w:leader="none" w:pos="2592" w:val="left"/>
        </w:tabs>
        <w:numPr>
          <w:ilvl w:val="3"/>
          <w:numId w:val="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Company has filed a registration statement declared effective pursuant to Section 12(g) of the Exchange Act with respect to any of the Company’s securities, a change in the composition of the Board occurring within a two</w:t>
      </w:r>
    </w:p>
    <w:p>
      <w:pPr>
        <w:spacing w:after="0" w:line="1" w:lineRule="exact"/>
        <w:rPr>
          <w:rFonts w:ascii="Times New Roman" w:cs="Times New Roman" w:eastAsia="Times New Roman" w:hAnsi="Times New Roman"/>
          <w:sz w:val="21"/>
          <w:szCs w:val="21"/>
          <w:color w:val="010000"/>
        </w:rPr>
      </w:pPr>
    </w:p>
    <w:p>
      <w:pPr>
        <w:jc w:val="both"/>
        <w:ind w:firstLine="8"/>
        <w:spacing w:after="0" w:line="218" w:lineRule="auto"/>
        <w:tabs>
          <w:tab w:leader="none" w:pos="3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period, as a result of which fewer than a majority of the directors are Incumbent Directors. “Incumbent Directors” means directors who either (A) are Directors as of the effective date of the Plan, or (B) are elected, or nominated for election, to the Board with the affirmative votes of at least a majority of</w:t>
      </w:r>
    </w:p>
    <w:p>
      <w:pPr>
        <w:sectPr>
          <w:pgSz w:w="11900" w:h="16838" w:orient="portrait"/>
          <w:cols w:equalWidth="0" w:num="1">
            <w:col w:w="11240"/>
          </w:cols>
          <w:pgMar w:left="320" w:top="1418" w:right="339" w:bottom="1440" w:gutter="0" w:footer="0" w:header="0"/>
        </w:sectPr>
      </w:pPr>
    </w:p>
    <w:bookmarkStart w:id="4" w:name="page5"/>
    <w:bookmarkEnd w:id="4"/>
    <w:p>
      <w:pPr>
        <w:spacing w:after="0" w:line="236" w:lineRule="auto"/>
        <w:rPr>
          <w:sz w:val="20"/>
          <w:szCs w:val="20"/>
          <w:color w:val="auto"/>
        </w:rPr>
      </w:pPr>
      <w:r>
        <w:rPr>
          <w:rFonts w:ascii="Times New Roman" w:cs="Times New Roman" w:eastAsia="Times New Roman" w:hAnsi="Times New Roman"/>
          <w:sz w:val="22"/>
          <w:szCs w:val="22"/>
          <w:color w:val="auto"/>
        </w:rPr>
        <w:t>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150" w:lineRule="exact"/>
        <w:rPr>
          <w:sz w:val="20"/>
          <w:szCs w:val="20"/>
          <w:color w:val="auto"/>
        </w:rPr>
      </w:pPr>
    </w:p>
    <w:p>
      <w:pPr>
        <w:jc w:val="both"/>
        <w:ind w:firstLine="1952"/>
        <w:spacing w:after="0" w:line="217" w:lineRule="auto"/>
        <w:tabs>
          <w:tab w:leader="none" w:pos="258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a transaction shall not constitute a Change of Control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55" w:lineRule="exact"/>
        <w:rPr>
          <w:sz w:val="20"/>
          <w:szCs w:val="20"/>
          <w:color w:val="auto"/>
        </w:rPr>
      </w:pPr>
    </w:p>
    <w:p>
      <w:pPr>
        <w:ind w:firstLine="1304"/>
        <w:spacing w:after="0" w:line="238"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Any reference to a section of the Code herein shall be a reference to any successor or amended section of the Code.</w:t>
      </w:r>
    </w:p>
    <w:p>
      <w:pPr>
        <w:spacing w:after="0" w:line="146"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 or such other committee or subcommittee as the Board may designate to administer the Plan, or a committee formed by the abstention or recusal of a member of the Compensation Committee who is not a “non-employee director” within the meaning of Rule 16b-3 promulgated under the Exchange Act.</w:t>
      </w:r>
    </w:p>
    <w:p>
      <w:pPr>
        <w:spacing w:after="0" w:line="148"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FinWise Bancorp, a Utah corporation, previously known as All West Bancorporation.</w:t>
      </w:r>
    </w:p>
    <w:p>
      <w:pPr>
        <w:spacing w:after="0" w:line="190" w:lineRule="exact"/>
        <w:rPr>
          <w:rFonts w:ascii="Times New Roman" w:cs="Times New Roman" w:eastAsia="Times New Roman" w:hAnsi="Times New Roman"/>
          <w:sz w:val="21"/>
          <w:szCs w:val="21"/>
          <w:color w:val="010000"/>
        </w:rPr>
      </w:pPr>
    </w:p>
    <w:p>
      <w:pPr>
        <w:ind w:firstLine="1304"/>
        <w:spacing w:after="0" w:line="238"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person who is engaged by the Company or any Parent or Subsidiary to render consulting or advisory services to such entity.</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Section 22(e)(3) of the Code.</w:t>
      </w:r>
    </w:p>
    <w:p>
      <w:pPr>
        <w:spacing w:after="0" w:line="179"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Program</w:t>
      </w:r>
      <w:r>
        <w:rPr>
          <w:rFonts w:ascii="Times New Roman" w:cs="Times New Roman" w:eastAsia="Times New Roman" w:hAnsi="Times New Roman"/>
          <w:sz w:val="22"/>
          <w:szCs w:val="22"/>
          <w:color w:val="auto"/>
        </w:rPr>
        <w:t>” means a program under which (i) outstanding Options are surrendered or cancelled in exchange for Options of the same type (which may have lower or higher exercise prices and different terms), Options of a different type, and/or cash, and/or (ii) the exercise price of an outstanding Option is reduced. The terms and conditions of any Exchange Program shall be determined by the Administrator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ind w:left="1940" w:hanging="636"/>
        <w:spacing w:after="0"/>
        <w:tabs>
          <w:tab w:leader="none" w:pos="19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183"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Nasdaq Global Market, the Nasdaq Global Select Market or the Nasdaq Capital Market, its Fair Market Value shall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6"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Common Stock is regularly quoted by a recognized securities dealer but selling prices are not reported, its Fair Market Value shall be the mean between the high bid and low asked prices for the Common Stock on the day of determination (or, if no bids and asks were reported on that date, as applicable, on the last trading date such bids and asks were reported); or</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92"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absence of an established market for the Common Stock, the Fair Market Value thereof shall be determined in good faith by the Administrator.</w:t>
      </w:r>
    </w:p>
    <w:p>
      <w:pPr>
        <w:spacing w:after="0" w:line="146" w:lineRule="exact"/>
        <w:rPr>
          <w:rFonts w:ascii="Times New Roman" w:cs="Times New Roman" w:eastAsia="Times New Roman" w:hAnsi="Times New Roman"/>
          <w:sz w:val="22"/>
          <w:szCs w:val="22"/>
          <w:color w:val="010000"/>
        </w:rPr>
      </w:pPr>
    </w:p>
    <w:p>
      <w:pPr>
        <w:ind w:firstLine="1304"/>
        <w:spacing w:after="0" w:line="238" w:lineRule="auto"/>
        <w:tabs>
          <w:tab w:leader="none" w:pos="1944"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designated as an incentive stock option within the meaning of Section 422 of the Code and the regulations promulgated thereunder.</w:t>
      </w:r>
    </w:p>
    <w:p>
      <w:pPr>
        <w:spacing w:after="0" w:line="14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is not an Incentive Stock Option.</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means a “parent corporation,” whether now or hereafter existing, as defined in Section 424(e) of</w:t>
      </w:r>
    </w:p>
    <w:p>
      <w:pPr>
        <w:spacing w:after="0" w:line="2"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Code.</w:t>
      </w:r>
    </w:p>
    <w:p>
      <w:pPr>
        <w:spacing w:after="0" w:line="151"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17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FinWise Bancorp 2019 Stock Plan, previously known as the All West Bancorporation</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2019 Stock Plan.</w:t>
      </w:r>
    </w:p>
    <w:p>
      <w:pPr>
        <w:spacing w:after="0" w:line="151" w:lineRule="exact"/>
        <w:rPr>
          <w:rFonts w:ascii="Times New Roman" w:cs="Times New Roman" w:eastAsia="Times New Roman" w:hAnsi="Times New Roman"/>
          <w:sz w:val="22"/>
          <w:szCs w:val="22"/>
          <w:color w:val="010000"/>
        </w:rPr>
      </w:pPr>
    </w:p>
    <w:p>
      <w:pPr>
        <w:ind w:firstLine="1304"/>
        <w:spacing w:after="0" w:line="238"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 Restricted Stock award under Section 7 of the Plan, or issued pursuant to the early exercise of an Option.</w:t>
      </w:r>
    </w:p>
    <w:p>
      <w:pPr>
        <w:spacing w:after="0" w:line="146"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Purchase Agreement</w:t>
      </w:r>
      <w:r>
        <w:rPr>
          <w:rFonts w:ascii="Times New Roman" w:cs="Times New Roman" w:eastAsia="Times New Roman" w:hAnsi="Times New Roman"/>
          <w:sz w:val="22"/>
          <w:szCs w:val="22"/>
          <w:color w:val="auto"/>
        </w:rPr>
        <w:t>” means a written or electronic agreement between the Company and the Participant evidencing the terms and restrictions applying to Shares purchased under a Restricted Stock award. The Restricted Stock Purchase Agreement is subject to the terms and conditions of the Plan and the notice of grant.</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010000"/>
        </w:rPr>
        <w:t>(aa)</w:t>
      </w:r>
      <w:r>
        <w:rPr>
          <w:rFonts w:ascii="Times New Roman" w:cs="Times New Roman" w:eastAsia="Times New Roman" w:hAnsi="Times New Roman"/>
          <w:sz w:val="22"/>
          <w:szCs w:val="22"/>
          <w:color w:val="auto"/>
        </w:rPr>
        <w:tab/>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ectPr>
          <w:pgSz w:w="11900" w:h="16838" w:orient="portrait"/>
          <w:cols w:equalWidth="0" w:num="1">
            <w:col w:w="11240"/>
          </w:cols>
          <w:pgMar w:left="320" w:top="1391" w:right="339" w:bottom="1440" w:gutter="0" w:footer="0" w:header="0"/>
        </w:sectPr>
      </w:pP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(ab)</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means a share of the Common Stock, as adjusted in accordance with Section 11 below.</w:t>
      </w:r>
    </w:p>
    <w:p>
      <w:pPr>
        <w:spacing w:after="0" w:line="190" w:lineRule="exact"/>
        <w:rPr>
          <w:sz w:val="20"/>
          <w:szCs w:val="20"/>
          <w:color w:val="auto"/>
        </w:rPr>
      </w:pPr>
    </w:p>
    <w:p>
      <w:pPr>
        <w:sectPr>
          <w:pgSz w:w="11900" w:h="16838" w:orient="portrait"/>
          <w:cols w:equalWidth="0" w:num="2">
            <w:col w:w="1660" w:space="280"/>
            <w:col w:w="9300"/>
          </w:cols>
          <w:pgMar w:left="320" w:top="1391" w:right="339" w:bottom="1440" w:gutter="0" w:footer="0" w:header="0"/>
          <w:type w:val="continuous"/>
        </w:sectPr>
      </w:pP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010000"/>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Section</w:t>
      </w:r>
    </w:p>
    <w:p>
      <w:pPr>
        <w:spacing w:after="0" w:line="1" w:lineRule="exact"/>
        <w:rPr>
          <w:sz w:val="20"/>
          <w:szCs w:val="20"/>
          <w:color w:val="auto"/>
        </w:rPr>
      </w:pPr>
    </w:p>
    <w:p>
      <w:pPr>
        <w:sectPr>
          <w:pgSz w:w="11900" w:h="16838" w:orient="portrait"/>
          <w:cols w:equalWidth="0" w:num="2">
            <w:col w:w="1640" w:space="320"/>
            <w:col w:w="9280"/>
          </w:cols>
          <w:pgMar w:left="320" w:top="1391" w:right="339" w:bottom="1440" w:gutter="0" w:footer="0" w:header="0"/>
          <w:type w:val="continuous"/>
        </w:sectPr>
      </w:pPr>
    </w:p>
    <w:p>
      <w:pPr>
        <w:spacing w:after="0" w:line="236" w:lineRule="auto"/>
        <w:rPr>
          <w:sz w:val="20"/>
          <w:szCs w:val="20"/>
          <w:color w:val="auto"/>
        </w:rPr>
      </w:pPr>
      <w:r>
        <w:rPr>
          <w:rFonts w:ascii="Times New Roman" w:cs="Times New Roman" w:eastAsia="Times New Roman" w:hAnsi="Times New Roman"/>
          <w:sz w:val="22"/>
          <w:szCs w:val="22"/>
          <w:color w:val="auto"/>
        </w:rPr>
        <w:t>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91" w:right="339" w:bottom="1440" w:gutter="0" w:footer="0" w:header="0"/>
          <w:type w:val="continuous"/>
        </w:sectPr>
      </w:pPr>
    </w:p>
    <w:bookmarkStart w:id="6" w:name="page7"/>
    <w:bookmarkEnd w:id="6"/>
    <w:p>
      <w:pPr>
        <w:jc w:val="both"/>
        <w:ind w:firstLine="656"/>
        <w:spacing w:after="0" w:line="221"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the provisions of Section 11 of the Plan, the maximum aggregate number of Shares that may be subject to Awards and sold under the Plan is Two Million Five Hundred Thirty Thousand (2,530,000) Shares. The Shares may be authorized but unissued, or reacquired Common Stock.</w:t>
      </w:r>
    </w:p>
    <w:p>
      <w:pPr>
        <w:jc w:val="both"/>
        <w:ind w:firstLine="1296"/>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Award expires or becomes unexercisable without having been exercised in full, or is surrendered pursuant to an Exchange Program, the unpurchased Shares that were subject thereto shall become available for future grant or sale under the Plan (unless the Plan has terminated). However, Shares that have actually been issued under the Plan, upon exercise of an Award, shall not be returned to the Plan and shall not become available for future distribution under the Plan, except that if unvested Shares of Restricted Stock are repurchased by the Company at their original purchase price, such Shares shall become available for future grant under the Plan. Notwithstanding the foregoing, and subject to adjustment provided in Section 11, the maximum number of Shares that may be issued upon the exercise of Incentive Stock Options shall equal the aggregate Share number stated in the first paragraph of this Section, plus, to the extent allowable under Section 422 of the Code, any Shares that become available for issuance under the Plan under this second paragraph of this Section provided that the total number of shares issued as Incentive Stock Options shall not exceed One Million Seven Hundred Eighty Thousand (1,780,000) Shares (subject to adjustment provided in Section 11).</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jc w:val="both"/>
        <w:ind w:firstLine="1304"/>
        <w:spacing w:after="0" w:line="218" w:lineRule="auto"/>
        <w:tabs>
          <w:tab w:leader="none" w:pos="1941"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Plan shall be administered by the Committee. If the Committee does not exist, or for any other reason determined by the Board, the Board may take any action under the Plan that would otherwise be the responsibility of the Committee.</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subject to the approval of any relevant authorities, the Administrator shall have the authority in its discretion:</w:t>
      </w:r>
    </w:p>
    <w:p>
      <w:pPr>
        <w:spacing w:after="0" w:line="150"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Fair Market Value;</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select the Service Providers to whom Awards may from time to time be granted hereunder;</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number of Shares to be covered by each such Award granted hereunder;</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approve forms of agreement for use under the Plan;</w:t>
      </w:r>
    </w:p>
    <w:p>
      <w:pPr>
        <w:spacing w:after="0" w:line="179"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7"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terms and conditions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152"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institute an Exchange Program;</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2"/>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foreign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ind w:firstLine="1952"/>
        <w:spacing w:after="0" w:line="225" w:lineRule="auto"/>
        <w:tabs>
          <w:tab w:leader="none" w:pos="2592"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modify or amend each Award (subject to Section 19(c) of the Plan) including but not limited to the discretionary authority to extend the post-termination exercise period of Awards and to extend the maximum term of an Option (subject to Section 6(a) regarding Incentive Stock Options);</w:t>
      </w:r>
    </w:p>
    <w:p>
      <w:pPr>
        <w:spacing w:after="0" w:line="152"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 and</w:t>
      </w:r>
    </w:p>
    <w:p>
      <w:pPr>
        <w:spacing w:after="0" w:line="150"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All decisions, determinations and interpretations of the Administrator shall be final and binding on all Participants.</w:t>
      </w:r>
    </w:p>
    <w:p>
      <w:pPr>
        <w:spacing w:after="0" w:line="150" w:lineRule="exact"/>
        <w:rPr>
          <w:rFonts w:ascii="Times New Roman" w:cs="Times New Roman" w:eastAsia="Times New Roman" w:hAnsi="Times New Roman"/>
          <w:sz w:val="22"/>
          <w:szCs w:val="22"/>
          <w:color w:val="010000"/>
        </w:rPr>
      </w:pPr>
    </w:p>
    <w:p>
      <w:pPr>
        <w:ind w:firstLine="656"/>
        <w:spacing w:after="0" w:line="216"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and Restricted Stock may be granted to Service Providers. Incentive Stock Options may be granted only to Employees.</w:t>
      </w:r>
    </w:p>
    <w:p>
      <w:pPr>
        <w:ind w:left="1300" w:hanging="644"/>
        <w:spacing w:after="0" w:line="204"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jc w:val="both"/>
        <w:ind w:firstLine="1304"/>
        <w:spacing w:after="0" w:line="212" w:lineRule="auto"/>
        <w:tabs>
          <w:tab w:leader="none" w:pos="1941"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shall be stated in the Award Agreement; provided, however, that the term shall be no more than ten (10) years from the date of grant thereof. In the case of an Incentive Stock Option granted to a Participant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Award Agreement.</w:t>
      </w:r>
    </w:p>
    <w:p>
      <w:pPr>
        <w:spacing w:after="0" w:line="154"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Option Exercise Price and Consideration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upon exercise of an Option shall be such price as is determined by the Administrator, but shall be subject to the following:</w:t>
      </w:r>
    </w:p>
    <w:p>
      <w:pPr>
        <w:spacing w:after="0" w:line="150"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3"/>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an Incentive Stock Option</w:t>
      </w:r>
    </w:p>
    <w:p>
      <w:pPr>
        <w:spacing w:after="0" w:line="179" w:lineRule="exact"/>
        <w:rPr>
          <w:rFonts w:ascii="Times New Roman" w:cs="Times New Roman" w:eastAsia="Times New Roman" w:hAnsi="Times New Roman"/>
          <w:sz w:val="22"/>
          <w:szCs w:val="22"/>
          <w:color w:val="010000"/>
        </w:rPr>
      </w:pPr>
    </w:p>
    <w:p>
      <w:pPr>
        <w:jc w:val="both"/>
        <w:ind w:firstLine="3248"/>
        <w:spacing w:after="0" w:line="220" w:lineRule="auto"/>
        <w:tabs>
          <w:tab w:leader="none" w:pos="3880" w:val="left"/>
        </w:tabs>
        <w:numPr>
          <w:ilvl w:val="4"/>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granted to an Employee who, at the time of grant of such Option, owns stock representing more than ten percent (10%) of the voting power of all classes of stock of the Company or any Parent or Subsidiary, the exercise price shall be no less than one hundred and ten percent (110%) of the Fair Market Value per Share on the date of grant.</w:t>
      </w:r>
    </w:p>
    <w:p>
      <w:pPr>
        <w:spacing w:after="0" w:line="152" w:lineRule="exact"/>
        <w:rPr>
          <w:rFonts w:ascii="Times New Roman" w:cs="Times New Roman" w:eastAsia="Times New Roman" w:hAnsi="Times New Roman"/>
          <w:sz w:val="22"/>
          <w:szCs w:val="22"/>
          <w:color w:val="010000"/>
        </w:rPr>
      </w:pPr>
    </w:p>
    <w:p>
      <w:pPr>
        <w:ind w:firstLine="3248"/>
        <w:spacing w:after="0" w:line="236" w:lineRule="auto"/>
        <w:tabs>
          <w:tab w:leader="none" w:pos="3879" w:val="left"/>
        </w:tabs>
        <w:numPr>
          <w:ilvl w:val="4"/>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granted to any other Employee, the per Share exercise price shall be no less than one hundred percent (100%) of the Fair Market Value per Share on the date of grant.</w:t>
      </w:r>
    </w:p>
    <w:p>
      <w:pPr>
        <w:spacing w:after="0" w:line="150" w:lineRule="exact"/>
        <w:rPr>
          <w:rFonts w:ascii="Times New Roman" w:cs="Times New Roman" w:eastAsia="Times New Roman" w:hAnsi="Times New Roman"/>
          <w:sz w:val="22"/>
          <w:szCs w:val="22"/>
          <w:color w:val="010000"/>
        </w:rPr>
      </w:pPr>
    </w:p>
    <w:p>
      <w:pPr>
        <w:ind w:firstLine="2600"/>
        <w:spacing w:after="0" w:line="236" w:lineRule="auto"/>
        <w:tabs>
          <w:tab w:leader="none" w:pos="3231" w:val="left"/>
        </w:tabs>
        <w:numPr>
          <w:ilvl w:val="3"/>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Nonstatutory Stock Option, the per Share exercise price shall be no less than one hundred percent (100%) of the Fair Market Value per Share on the date of grant.</w:t>
      </w:r>
    </w:p>
    <w:p>
      <w:pPr>
        <w:spacing w:after="0" w:line="150" w:lineRule="exact"/>
        <w:rPr>
          <w:rFonts w:ascii="Times New Roman" w:cs="Times New Roman" w:eastAsia="Times New Roman" w:hAnsi="Times New Roman"/>
          <w:sz w:val="22"/>
          <w:szCs w:val="22"/>
          <w:color w:val="010000"/>
        </w:rPr>
      </w:pPr>
    </w:p>
    <w:p>
      <w:pPr>
        <w:ind w:firstLine="2600"/>
        <w:spacing w:after="0" w:line="236" w:lineRule="auto"/>
        <w:tabs>
          <w:tab w:leader="none" w:pos="3231" w:val="left"/>
        </w:tabs>
        <w:numPr>
          <w:ilvl w:val="3"/>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Options may be granted with a per Share exercise price other than as required above in accordance with and pursuant to a transaction described in Section 424 of the Code.</w:t>
      </w:r>
    </w:p>
    <w:p>
      <w:pPr>
        <w:spacing w:after="0" w:line="150"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6"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Forms of Consideration</w:t>
      </w:r>
      <w:r>
        <w:rPr>
          <w:rFonts w:ascii="Times New Roman" w:cs="Times New Roman" w:eastAsia="Times New Roman" w:hAnsi="Times New Roman"/>
          <w:sz w:val="22"/>
          <w:szCs w:val="22"/>
          <w:color w:val="auto"/>
        </w:rPr>
        <w:t>. The consideration to be paid for the Shares to be issued upon exercise of an Option, including the method of payment, shall be determined by the Administrator (and, in the case of an Incentive Stock Option,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11" w:lineRule="auto"/>
        <w:rPr>
          <w:sz w:val="20"/>
          <w:szCs w:val="20"/>
          <w:color w:val="auto"/>
        </w:rPr>
      </w:pPr>
      <w:r>
        <w:rPr>
          <w:rFonts w:ascii="Times New Roman" w:cs="Times New Roman" w:eastAsia="Times New Roman" w:hAnsi="Times New Roman"/>
          <w:sz w:val="22"/>
          <w:szCs w:val="22"/>
          <w:color w:val="auto"/>
        </w:rPr>
        <w:t>determined at the time of grant). Such consideration may consist of, without limitation, (1) cash, (2) check, (3) promissory note, to the extent permitted by Applicable Laws, (4) other Shares, provided that such Shares have a Fair Market Value on the date of surrender equal to the aggregate exercise price of the Shares as to which such Option shall be exercised and provided that accepting such Shares, in the sole discretion of the Administrator, shall not result in any adverse accounting consequences to the Company, (5) consideration received by the Company under a cashless exercise program implemented by the Company in connection with the Plan, (6) such other consideration and method of payment for the issuance of Shares to the extent permitted by Applicable Laws, or (7)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158" w:lineRule="exact"/>
        <w:rPr>
          <w:sz w:val="20"/>
          <w:szCs w:val="20"/>
          <w:color w:val="auto"/>
        </w:rPr>
      </w:pPr>
    </w:p>
    <w:p>
      <w:pPr>
        <w:ind w:left="1940" w:hanging="636"/>
        <w:spacing w:after="0"/>
        <w:tabs>
          <w:tab w:leader="none" w:pos="194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Procedure for Exercise; Rights as a Stockholder</w:t>
      </w:r>
      <w:r>
        <w:rPr>
          <w:rFonts w:ascii="Times New Roman" w:cs="Times New Roman" w:eastAsia="Times New Roman" w:hAnsi="Times New Roman"/>
          <w:sz w:val="22"/>
          <w:szCs w:val="22"/>
          <w:color w:val="auto"/>
        </w:rPr>
        <w:t>. Any Option granted hereunder shall be exercisable according to the terms hereof at such times and under such conditions as determined by the Administrator and set forth in the Award Agreement. An Option may not be exercised for a fraction of a Share.</w:t>
      </w:r>
    </w:p>
    <w:p>
      <w:pPr>
        <w:spacing w:after="0" w:line="180"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21"/>
          <w:szCs w:val="21"/>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11 of the Plan.</w:t>
      </w:r>
    </w:p>
    <w:p>
      <w:pPr>
        <w:spacing w:after="0" w:line="172" w:lineRule="exact"/>
        <w:rPr>
          <w:sz w:val="20"/>
          <w:szCs w:val="20"/>
          <w:color w:val="auto"/>
        </w:rPr>
      </w:pPr>
    </w:p>
    <w:p>
      <w:pPr>
        <w:jc w:val="both"/>
        <w:ind w:firstLine="1944"/>
        <w:spacing w:after="0" w:line="295" w:lineRule="auto"/>
        <w:rPr>
          <w:sz w:val="20"/>
          <w:szCs w:val="20"/>
          <w:color w:val="auto"/>
        </w:rPr>
      </w:pPr>
      <w:r>
        <w:rPr>
          <w:rFonts w:ascii="Times New Roman" w:cs="Times New Roman" w:eastAsia="Times New Roman" w:hAnsi="Times New Roman"/>
          <w:sz w:val="21"/>
          <w:szCs w:val="21"/>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08" w:lineRule="exact"/>
        <w:rPr>
          <w:sz w:val="20"/>
          <w:szCs w:val="20"/>
          <w:color w:val="auto"/>
        </w:rPr>
      </w:pPr>
    </w:p>
    <w:p>
      <w:pPr>
        <w:jc w:val="both"/>
        <w:ind w:firstLine="1952"/>
        <w:spacing w:after="0" w:line="212" w:lineRule="auto"/>
        <w:tabs>
          <w:tab w:leader="none" w:pos="2586"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such Participant may exercise his or her Option within such period of time as is specified in the Award Agreement, to the extent that the Option is vested on the date of termination (but in no event later than the expiration of the term of the Option as set forth in the Award Agreement). In the absence of a specified time in the Award Agreement, the Option shall remain exercisable for three (3) months following the Participant’s termination.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by the Administrator, the Option shall terminate, and the Shares covered by such Option shall revert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jc w:val="both"/>
        <w:ind w:firstLine="1952"/>
        <w:spacing w:after="0" w:line="222" w:lineRule="auto"/>
        <w:tabs>
          <w:tab w:leader="none" w:pos="2592" w:val="left"/>
        </w:tabs>
        <w:numPr>
          <w:ilvl w:val="2"/>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 of Participant</w:t>
      </w:r>
      <w:r>
        <w:rPr>
          <w:rFonts w:ascii="Times New Roman" w:cs="Times New Roman" w:eastAsia="Times New Roman" w:hAnsi="Times New Roman"/>
          <w:sz w:val="21"/>
          <w:szCs w:val="21"/>
          <w:color w:val="auto"/>
        </w:rPr>
        <w:t>. If a Participant ceases to be a Service Provider as a result of the Participant’s Disability, the Participant may exercise his or her Option within such longer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shall remain exercisable for twelve (12) months following the Participant’s termination. Unless the Administrator provides otherwise, if on the date of termination the Participant is not vested as to his or her entire Option, the Shares covered by the unvested portion of the Option shall revert to the Plan. If, after termination, the Participant does not exercise his or her Option within the time specified herein, the Option shall terminate, and the Shares covered by such Option shall revert to the Plan.</w:t>
      </w:r>
    </w:p>
    <w:p>
      <w:pPr>
        <w:spacing w:after="0" w:line="157" w:lineRule="exact"/>
        <w:rPr>
          <w:rFonts w:ascii="Times New Roman" w:cs="Times New Roman" w:eastAsia="Times New Roman" w:hAnsi="Times New Roman"/>
          <w:sz w:val="21"/>
          <w:szCs w:val="21"/>
          <w:color w:val="010000"/>
        </w:rPr>
      </w:pPr>
    </w:p>
    <w:p>
      <w:pPr>
        <w:jc w:val="both"/>
        <w:ind w:firstLine="1952"/>
        <w:spacing w:after="0" w:line="210" w:lineRule="auto"/>
        <w:tabs>
          <w:tab w:leader="none" w:pos="2580" w:val="left"/>
        </w:tabs>
        <w:numPr>
          <w:ilvl w:val="2"/>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such longer period of time as is specified in the Award Agreement, to the extent that the Option is vested on the date of death (but in no event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shall remain exercisable for twelve (12) months following the Participant’s termination. If, at the time of death, the Participant is not vested as to his or her entire Option, the Shares covered by the unvested portion of the Option shall immediately revert to the Plan. If the Option is not so exercised within the time specified herein, the Option shall terminate, and the Shares covered by such Option shall revert to the Plan.</w:t>
      </w:r>
    </w:p>
    <w:p>
      <w:pPr>
        <w:spacing w:after="0" w:line="157"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7" w:val="left"/>
        </w:tabs>
        <w:numPr>
          <w:ilvl w:val="2"/>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Incentive Stock Option Limit</w:t>
      </w:r>
      <w:r>
        <w:rPr>
          <w:rFonts w:ascii="Times New Roman" w:cs="Times New Roman" w:eastAsia="Times New Roman" w:hAnsi="Times New Roman"/>
          <w:sz w:val="22"/>
          <w:szCs w:val="22"/>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shall be treated as Nonstatutory Stock Options. For purposes of this Section 6(c)(v), Incentive Stock Options shall be taken into account in the order in which they were granted. The Fair Market Value of the Shares shall be determined as of the time the Option with respect to such Shares is granted.</w:t>
      </w:r>
    </w:p>
    <w:p>
      <w:pPr>
        <w:spacing w:after="0" w:line="14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jc w:val="both"/>
        <w:ind w:firstLine="1304"/>
        <w:spacing w:after="0" w:line="212" w:lineRule="auto"/>
        <w:tabs>
          <w:tab w:leader="none" w:pos="1941"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to Purchase</w:t>
      </w:r>
      <w:r>
        <w:rPr>
          <w:rFonts w:ascii="Times New Roman" w:cs="Times New Roman" w:eastAsia="Times New Roman" w:hAnsi="Times New Roman"/>
          <w:sz w:val="22"/>
          <w:szCs w:val="22"/>
          <w:color w:val="auto"/>
        </w:rPr>
        <w:t>. Restricted Stock may be issued either alone, in addition to, or in tandem with other awards granted under the Plan and/or cash awards made outside of the Plan. After the Administrator determines that it shall offer Restricted Stock under the Plan, it shall advise the offeree in writing or electronically of the terms, conditions and restrictions related to the offer, including the number of Shares that such person shall be entitled to purchase, the price to be paid (if any), and the time within which such person must accept such offer.</w:t>
      </w:r>
    </w:p>
    <w:p>
      <w:pPr>
        <w:spacing w:after="0" w:line="154"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Repurchase Option</w:t>
      </w:r>
      <w:r>
        <w:rPr>
          <w:rFonts w:ascii="Times New Roman" w:cs="Times New Roman" w:eastAsia="Times New Roman" w:hAnsi="Times New Roman"/>
          <w:sz w:val="22"/>
          <w:szCs w:val="22"/>
          <w:color w:val="auto"/>
        </w:rPr>
        <w:t>. Unless the Administrator determines otherwise, the Restricted Stock Purchase Agreement shall grant the Company a repurchase option exercisable within ninety (90) days of the voluntary or involuntary termination of the purchaser’s service with the Company for any reason (including death or Disability). Unless the Administrator provides otherwise,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 w:name="page11"/>
    <w:bookmarkEnd w:id="10"/>
    <w:p>
      <w:pPr>
        <w:ind w:firstLine="1304"/>
        <w:spacing w:after="0" w:line="236" w:lineRule="auto"/>
        <w:tabs>
          <w:tab w:leader="none" w:pos="1941" w:val="left"/>
        </w:tabs>
        <w:numPr>
          <w:ilvl w:val="2"/>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The Restricted Stock Purchase Agreement shall contain such other terms, provisions and conditions not inconsistent with the Plan as may be determined by the Administrator in its sole discretion.</w:t>
      </w:r>
    </w:p>
    <w:p>
      <w:pPr>
        <w:spacing w:after="0" w:line="150" w:lineRule="exact"/>
        <w:rPr>
          <w:rFonts w:ascii="Times New Roman" w:cs="Times New Roman" w:eastAsia="Times New Roman" w:hAnsi="Times New Roman"/>
          <w:sz w:val="22"/>
          <w:szCs w:val="22"/>
          <w:color w:val="010000"/>
        </w:rPr>
      </w:pPr>
    </w:p>
    <w:p>
      <w:pPr>
        <w:jc w:val="both"/>
        <w:ind w:right="20" w:firstLine="1304"/>
        <w:spacing w:after="0" w:line="220" w:lineRule="auto"/>
        <w:tabs>
          <w:tab w:leader="none" w:pos="1939" w:val="left"/>
        </w:tabs>
        <w:numPr>
          <w:ilvl w:val="2"/>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Once the Restricted Stock is issued, the purchaser shall have rights equivalent to those of a stockholder and shall be a stockholder when his or her purchase is entered upon the records of the duly authorized transfer agent of the Company. No adjustment shall be made for a dividend or other right for which the record date is prior to the date the Restricted Stock is issued, except as provided in Section 11 of the Plan.</w:t>
      </w:r>
    </w:p>
    <w:p>
      <w:pPr>
        <w:spacing w:after="0" w:line="152"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6"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Prior to the delivery of any Shares pursuant to an Award (or exercise thereof), the Company shall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The Administrator, in its sole discretion and pursuant to such procedures as it may specify from time to time, shall determine in what manner it shall allow a Participant to satisfy such tax withholding obligation and may permit the Participant to satisfy such tax withholding obligation, in whole or in part by one (1) or more of the following:</w:t>
      </w:r>
    </w:p>
    <w:p>
      <w:pPr>
        <w:spacing w:after="0" w:line="3" w:lineRule="exact"/>
        <w:rPr>
          <w:rFonts w:ascii="Times New Roman" w:cs="Times New Roman" w:eastAsia="Times New Roman" w:hAnsi="Times New Roman"/>
          <w:sz w:val="21"/>
          <w:szCs w:val="21"/>
          <w:color w:val="auto"/>
        </w:rPr>
      </w:pPr>
    </w:p>
    <w:p>
      <w:pPr>
        <w:jc w:val="both"/>
        <w:ind w:firstLine="8"/>
        <w:spacing w:after="0" w:line="204" w:lineRule="auto"/>
        <w:tabs>
          <w:tab w:leader="none" w:pos="31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cash (or by check), (b) electing to have the Company withhold otherwise deliverable Shares having a Fair Market Value equal to the minimum amount statutorily required to be withheld, or (c) selling a sufficient number of such Shares otherwise deliverable to a Participant through such means as the Company may determine in its sole discretion (whether through a broker or otherwise) equal to the minimum amount statutorily required to be withheld.</w:t>
      </w:r>
    </w:p>
    <w:p>
      <w:pPr>
        <w:spacing w:after="0" w:line="3" w:lineRule="exact"/>
        <w:rPr>
          <w:rFonts w:ascii="Times New Roman" w:cs="Times New Roman" w:eastAsia="Times New Roman" w:hAnsi="Times New Roman"/>
          <w:sz w:val="22"/>
          <w:szCs w:val="22"/>
          <w:color w:val="auto"/>
        </w:rPr>
      </w:pPr>
    </w:p>
    <w:p>
      <w:pPr>
        <w:jc w:val="both"/>
        <w:ind w:firstLine="656"/>
        <w:spacing w:after="0" w:line="204" w:lineRule="auto"/>
        <w:tabs>
          <w:tab w:leader="none" w:pos="129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w:t>
      </w:r>
    </w:p>
    <w:p>
      <w:pPr>
        <w:spacing w:after="0" w:line="2"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 Transfers</w:t>
      </w:r>
      <w:r>
        <w:rPr>
          <w:rFonts w:ascii="Times New Roman" w:cs="Times New Roman" w:eastAsia="Times New Roman" w:hAnsi="Times New Roman"/>
          <w:sz w:val="22"/>
          <w:szCs w:val="22"/>
          <w:color w:val="auto"/>
        </w:rPr>
        <w:t>.</w:t>
      </w:r>
    </w:p>
    <w:p>
      <w:pPr>
        <w:ind w:firstLine="1304"/>
        <w:spacing w:after="0" w:line="235" w:lineRule="auto"/>
        <w:tabs>
          <w:tab w:leader="none" w:pos="1941" w:val="left"/>
        </w:tabs>
        <w:numPr>
          <w:ilvl w:val="2"/>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the Administrator provides otherwise, or except as otherwise required by Applicable Laws, vesting of Awards granted hereunder to officers, Directors and Consultants shall be suspended during any unpaid leave of absence.</w:t>
      </w:r>
    </w:p>
    <w:p>
      <w:pPr>
        <w:spacing w:after="0" w:line="151"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9" w:val="left"/>
        </w:tabs>
        <w:numPr>
          <w:ilvl w:val="2"/>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Service Provider shall not cease to be a Service Provider in the case of (i) any leave of absence approved by the Company, or (ii) transfers between locations of the Company or between the Company, its Parent, any Subsidiary, or any successor.</w:t>
      </w:r>
    </w:p>
    <w:p>
      <w:pPr>
        <w:spacing w:after="0" w:line="152" w:lineRule="exact"/>
        <w:rPr>
          <w:rFonts w:ascii="Times New Roman" w:cs="Times New Roman" w:eastAsia="Times New Roman" w:hAnsi="Times New Roman"/>
          <w:sz w:val="22"/>
          <w:szCs w:val="22"/>
          <w:color w:val="010000"/>
        </w:rPr>
      </w:pPr>
    </w:p>
    <w:p>
      <w:pPr>
        <w:jc w:val="both"/>
        <w:ind w:firstLine="1304"/>
        <w:spacing w:after="0" w:line="206" w:lineRule="auto"/>
        <w:tabs>
          <w:tab w:leader="none" w:pos="1941" w:val="left"/>
        </w:tabs>
        <w:numPr>
          <w:ilvl w:val="2"/>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such leave, any Incentive Stock Option held by the Participant shall cease to be treated as an Incentive Stock Option and shall be treated for tax purposes as a Nonstatutory Stock Option.</w:t>
      </w:r>
    </w:p>
    <w:p>
      <w:pPr>
        <w:spacing w:after="0" w:line="138"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or Liquidation; Merger or Change of Control</w:t>
      </w:r>
      <w:r>
        <w:rPr>
          <w:rFonts w:ascii="Times New Roman" w:cs="Times New Roman" w:eastAsia="Times New Roman" w:hAnsi="Times New Roman"/>
          <w:sz w:val="22"/>
          <w:szCs w:val="22"/>
          <w:color w:val="auto"/>
        </w:rPr>
        <w:t>.</w:t>
      </w:r>
    </w:p>
    <w:p>
      <w:pPr>
        <w:jc w:val="both"/>
        <w:ind w:firstLine="1304"/>
        <w:spacing w:after="0" w:line="221" w:lineRule="auto"/>
        <w:tabs>
          <w:tab w:leader="none" w:pos="1941" w:val="left"/>
        </w:tabs>
        <w:numPr>
          <w:ilvl w:val="2"/>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 w:name="page12"/>
    <w:bookmarkEnd w:id="11"/>
    <w:p>
      <w:pPr>
        <w:jc w:val="both"/>
        <w:ind w:firstLine="1304"/>
        <w:spacing w:after="0" w:line="220" w:lineRule="auto"/>
        <w:tabs>
          <w:tab w:leader="none" w:pos="1939"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shall notify each Participant as soon as practicable prior to the effective date of such proposed transaction. To the extent it has not been previously exercised, an Award shall terminate immediately prior to the consummation of such proposed action.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Merger or Change of Control</w:t>
      </w:r>
      <w:r>
        <w:rPr>
          <w:rFonts w:ascii="Times New Roman" w:cs="Times New Roman" w:eastAsia="Times New Roman" w:hAnsi="Times New Roman"/>
          <w:sz w:val="22"/>
          <w:szCs w:val="22"/>
          <w:color w:val="auto"/>
        </w:rPr>
        <w:t>. In the event of a merger or Change of Control, each outstanding Award shall be treated as the Administrator determines, including, without limitation, that each Award be assumed or an equivalent award substituted by the successor corporation or a Parent or Subsidiary of the successor corporation. The Administrator shall not be required to treat all Awards similarly in the transaction.</w:t>
      </w:r>
    </w:p>
    <w:p>
      <w:pPr>
        <w:spacing w:after="0" w:line="17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color w:val="auto"/>
        </w:rPr>
        <w:t>Notwithstanding the foregoing, in the event that the successor corporation does not assume or substitute for the Award, the Administrator shall determine, in its sole discretion, whether any portion of any Award will vest with regard to Shares as to which such Award would not otherwise be vested or exercisable or whether restrictions on any portion of the Participant’s Restricted Stock shall lapse with regard to Shares as to which such restrictions would not otherwise have lapsed. In addition, if an Award is not assumed or substituted in the event of a merger or Change of Control and the Administrator determines to provide for such additional vesting or lapse of restrictions, the Administrator shall notify the Participant in writing or electronically of such determination and shall specify that the Award shall be exercisable for a period of time determined by the Administrator in its sole discretion, and any Award not assumed or substituted for shall terminate upon the expiration of such period for no consideration, unless otherwise determined by the Administrator.</w:t>
      </w:r>
    </w:p>
    <w:p>
      <w:pPr>
        <w:spacing w:after="0" w:line="180" w:lineRule="exact"/>
        <w:rPr>
          <w:sz w:val="20"/>
          <w:szCs w:val="20"/>
          <w:color w:val="auto"/>
        </w:rPr>
      </w:pPr>
    </w:p>
    <w:p>
      <w:pPr>
        <w:jc w:val="both"/>
        <w:ind w:firstLine="1944"/>
        <w:spacing w:after="0" w:line="247" w:lineRule="auto"/>
        <w:rPr>
          <w:sz w:val="20"/>
          <w:szCs w:val="20"/>
          <w:color w:val="auto"/>
        </w:rPr>
      </w:pPr>
      <w:r>
        <w:rPr>
          <w:rFonts w:ascii="Times New Roman" w:cs="Times New Roman" w:eastAsia="Times New Roman" w:hAnsi="Times New Roman"/>
          <w:sz w:val="22"/>
          <w:szCs w:val="22"/>
          <w:color w:val="auto"/>
        </w:rPr>
        <w:t>For the purposes of this Section 11(c), the Award shall be considered assumed if, following the merger or Change of Control, the option or right confers the right to purchase or receive, for each Share subject to the Award immediately prior to the merger or Change of Control, the consideration (whether stock, cash, or other securities or property) received in the merger or Change of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of Control is not solely common stock of the successor corporation or its Parent, the Administrator may, with the consent of the successor corporation, provide for the consideration to be received upon the exercise of the Award, for each Share subject to the Award, to be solely common stock of the successor corporation or its Parent equal in fair market value to the per share consideration received by holders of common stock in the merger or Change of Control.</w:t>
      </w:r>
    </w:p>
    <w:p>
      <w:pPr>
        <w:spacing w:after="0" w:line="177" w:lineRule="exact"/>
        <w:rPr>
          <w:sz w:val="20"/>
          <w:szCs w:val="20"/>
          <w:color w:val="auto"/>
        </w:rPr>
      </w:pPr>
    </w:p>
    <w:p>
      <w:pPr>
        <w:jc w:val="both"/>
        <w:ind w:firstLine="656"/>
        <w:spacing w:after="0" w:line="21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Granting Awards</w:t>
      </w:r>
      <w:r>
        <w:rPr>
          <w:rFonts w:ascii="Times New Roman" w:cs="Times New Roman" w:eastAsia="Times New Roman" w:hAnsi="Times New Roman"/>
          <w:sz w:val="22"/>
          <w:szCs w:val="22"/>
          <w:color w:val="auto"/>
        </w:rPr>
        <w:t>. The date of grant of an Award shall, for all purposes, be the date on which the Administrator makes the determination granting such Award, or such later date as is determined by the Administrator. Notice of the determination shall be given to each Service Provider to whom an Award is so granted within a reasonable time after the date of such grant.</w:t>
      </w:r>
    </w:p>
    <w:p>
      <w:pPr>
        <w:spacing w:after="0" w:line="2"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shall confer upon any participant any right with respect to continuing the Participant’s relationship as a Service Provider with the Company, nor shall it interfere in any way with his or her right or the Company’s right to terminate such relationship at any time, with or without cause, and with or without notice.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2" w:name="page13"/>
    <w:bookmarkEnd w:id="12"/>
    <w:p>
      <w:pPr>
        <w:ind w:left="1300" w:hanging="644"/>
        <w:spacing w:after="0"/>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jc w:val="both"/>
        <w:ind w:firstLine="1304"/>
        <w:spacing w:after="0" w:line="218" w:lineRule="auto"/>
        <w:tabs>
          <w:tab w:leader="none" w:pos="1941"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Administrator may in its discretion require the person exercising such Award to represent and warrant at the time of any such exercise that the Shares are being purchased only for investment and without any present intention to sell or distribute such Shares.</w:t>
      </w:r>
    </w:p>
    <w:p>
      <w:pPr>
        <w:spacing w:after="0" w:line="152"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 w:lineRule="exact"/>
        <w:rPr>
          <w:rFonts w:ascii="Times New Roman" w:cs="Times New Roman" w:eastAsia="Times New Roman" w:hAnsi="Times New Roman"/>
          <w:sz w:val="22"/>
          <w:szCs w:val="22"/>
          <w:color w:val="auto"/>
        </w:rPr>
      </w:pPr>
    </w:p>
    <w:p>
      <w:pPr>
        <w:ind w:firstLine="656"/>
        <w:spacing w:after="0" w:line="204"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The Company, during the term of this Plan, shall at all times reserve and keep available such number of Shares as shall be sufficient to satisfy the requirements of the Plan.</w:t>
      </w:r>
    </w:p>
    <w:p>
      <w:pPr>
        <w:spacing w:after="0" w:line="1" w:lineRule="exact"/>
        <w:rPr>
          <w:rFonts w:ascii="Times New Roman" w:cs="Times New Roman" w:eastAsia="Times New Roman" w:hAnsi="Times New Roman"/>
          <w:sz w:val="22"/>
          <w:szCs w:val="22"/>
          <w:color w:val="auto"/>
        </w:rPr>
      </w:pPr>
    </w:p>
    <w:p>
      <w:pPr>
        <w:ind w:left="1300" w:hanging="644"/>
        <w:spacing w:after="0" w:line="204" w:lineRule="auto"/>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shall be subject to approval by the stockholders of the Company within twelve</w:t>
      </w:r>
    </w:p>
    <w:p>
      <w:pPr>
        <w:ind w:firstLine="8"/>
        <w:spacing w:after="0" w:line="204" w:lineRule="auto"/>
        <w:tabs>
          <w:tab w:leader="none" w:pos="4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Such stockholder approval shall be obtained in the degree and manner required under Applicable Laws.</w:t>
      </w:r>
    </w:p>
    <w:p>
      <w:pPr>
        <w:spacing w:after="0" w:line="1"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Plan</w:t>
      </w:r>
      <w:r>
        <w:rPr>
          <w:rFonts w:ascii="Times New Roman" w:cs="Times New Roman" w:eastAsia="Times New Roman" w:hAnsi="Times New Roman"/>
          <w:sz w:val="21"/>
          <w:szCs w:val="21"/>
          <w:color w:val="auto"/>
        </w:rPr>
        <w:t>. The Plan was adopted by the Board on June 20, 2019 with respect to Six Hundred Thousand (600,000) post-stock split Shares, was approved by the stockholders of the Company in accordance with Section 17, and became effective upon its adoption by the Board. The Plan subsequently was amended and restated, effective July 26, 2021, which amendment and restatement was approved by the stockholders of the Company, to increase the number of Shares reserved for issuance under the Plan by an additional 180,000 post-stock split Shares and make certain other changes to the Plan. The Plan was further amended and restated, effective June 9, 2022, to increase the number of Shares reserved for issuance under the Plan by an additional 500,000 post-stock split Shares and make certain other changes to the Plan. The Plan was further amended and restated, effective June 27, 2024, to increase the number of Shares reserved for issuance under the Plan by an additional 500,000 post-stock split Shares. Unless sooner terminated under Section 19, the Plan shall continue in effect (i) until July 25, 2031 with respect to the initial 780,000 shares authorized under the Plan, (ii) until June 8, 2032 with respect to the 500,000 shares authorized under the Plan in 2022, (iii) until June 26, 2034 with respect to the 500,000 shares authorized under the Plan in 2024, and (iv) until June 25, 2036 with respect to the 750,000 shares authorized under the Plan in 2026.</w:t>
      </w:r>
    </w:p>
    <w:p>
      <w:pPr>
        <w:spacing w:after="0" w:line="8" w:lineRule="exact"/>
        <w:rPr>
          <w:rFonts w:ascii="Times New Roman" w:cs="Times New Roman" w:eastAsia="Times New Roman" w:hAnsi="Times New Roman"/>
          <w:sz w:val="21"/>
          <w:szCs w:val="21"/>
          <w:color w:val="auto"/>
        </w:rPr>
      </w:pPr>
    </w:p>
    <w:p>
      <w:pPr>
        <w:ind w:left="1300" w:hanging="644"/>
        <w:spacing w:after="0" w:line="204" w:lineRule="auto"/>
        <w:tabs>
          <w:tab w:leader="none" w:pos="13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ind w:left="1940" w:hanging="636"/>
        <w:spacing w:after="0"/>
        <w:tabs>
          <w:tab w:leader="none" w:pos="1940"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at any time amend, alter, suspend or terminate the Plan.</w:t>
      </w:r>
    </w:p>
    <w:p>
      <w:pPr>
        <w:spacing w:after="0" w:line="155"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Board shall obtain stockholder approval of any Plan amendment to the extent necessary and desirable to comply with Applicable Laws.</w:t>
      </w:r>
    </w:p>
    <w:p>
      <w:pPr>
        <w:spacing w:after="0" w:line="150"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2"/>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shall impair the rights of any Participant, unless mutually agreed otherwise between the Participant and the Administrator, which agreement must be in writing (which may include e-mail) and signed by the Participant and the Company. Termination of the Plan shall not affect the Administrator’s ability to exercise the powers granted to it hereunder with respect to Options granted under the Plan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sectPr>
      <w:pgSz w:w="11900" w:h="16838" w:orient="portrait"/>
      <w:cols w:equalWidth="0" w:num="1">
        <w:col w:w="11240"/>
      </w:cols>
      <w:pgMar w:left="32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
    <w:nsid w:val="66EF438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
    <w:nsid w:val="140E0F76"/>
    <w:multiLevelType w:val="hybridMultilevel"/>
    <w:lvl w:ilvl="0">
      <w:lvlJc w:val="left"/>
      <w:lvlText w:val="(%1)"/>
      <w:numFmt w:val="lowerRoman"/>
      <w:start w:val="4"/>
    </w:lvl>
  </w:abstractNum>
  <w:abstractNum w:abstractNumId="4">
    <w:nsid w:val="3352255A"/>
    <w:multiLevelType w:val="hybridMultilevel"/>
    <w:lvl w:ilvl="0">
      <w:lvlJc w:val="left"/>
      <w:lvlText w:val="(%1)"/>
      <w:numFmt w:val="lowerLetter"/>
      <w:start w:val="7"/>
    </w:lvl>
  </w:abstractNum>
  <w:abstractNum w:abstractNumId="5">
    <w:nsid w:val="109CF92E"/>
    <w:multiLevelType w:val="hybridMultilevel"/>
    <w:lvl w:ilvl="0">
      <w:lvlJc w:val="left"/>
      <w:lvlText w:val="(%1)"/>
      <w:numFmt w:val="lowerLetter"/>
      <w:start w:val="17"/>
    </w:lvl>
    <w:lvl w:ilvl="1">
      <w:lvlJc w:val="left"/>
      <w:lvlText w:val="(%2)"/>
      <w:numFmt w:val="lowerRoman"/>
      <w:start w:val="1"/>
    </w:lvl>
  </w:abstractNum>
  <w:abstractNum w:abstractNumId="6">
    <w:nsid w:val="DED72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upperLetter"/>
      <w:start w:val="1"/>
    </w:lvl>
    <w:lvl w:ilvl="4">
      <w:lvlJc w:val="left"/>
      <w:lvlText w:val="%5"/>
      <w:numFmt w:val="lowerLetter"/>
      <w:start w:val="1"/>
    </w:lvl>
  </w:abstractNum>
  <w:abstractNum w:abstractNumId="8">
    <w:nsid w:val="1BEFD7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9">
    <w:nsid w:val="41A7C4C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10">
    <w:nsid w:val="6B68079A"/>
    <w:multiLevelType w:val="hybridMultilevel"/>
    <w:lvl w:ilvl="0">
      <w:lvlJc w:val="left"/>
      <w:lvlText w:val="(%1)"/>
      <w:numFmt w:val="lowerLetter"/>
      <w:start w:val="3"/>
    </w:lvl>
    <w:lvl w:ilvl="1">
      <w:lvlJc w:val="left"/>
      <w:lvlText w:val="(%2)"/>
      <w:numFmt w:val="lowerLetter"/>
      <w:start w:val="9"/>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
    <w:nsid w:val="519B500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5">
    <w:nsid w:val="3F2DBA3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6">
    <w:nsid w:val="7C83E458"/>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decimal"/>
      <w:start w:val="12"/>
    </w:lvl>
  </w:abstractNum>
  <w:abstractNum w:abstractNumId="19">
    <w:nsid w:val="436C6125"/>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20">
    <w:nsid w:val="628C895D"/>
    <w:multiLevelType w:val="hybridMultilevel"/>
    <w:lvl w:ilvl="0">
      <w:lvlJc w:val="left"/>
      <w:lvlText w:val="(%1)"/>
      <w:numFmt w:val="decimal"/>
      <w:start w:val="12"/>
    </w:lvl>
    <w:lvl w:ilvl="1">
      <w:lvlJc w:val="left"/>
      <w:lvlText w:val="%2."/>
      <w:numFmt w:val="decimal"/>
      <w:start w:val="18"/>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2026-06-25T16:04:22Z</dcterms:created>
  <dcterms:modified xsi:type="dcterms:W3CDTF">2026-06-25T16:04:22Z</dcterms:modified>
</cp:coreProperties>
</file>