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132715</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161290</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780" w:hanging="3652"/>
        <w:spacing w:after="0" w:line="493" w:lineRule="auto"/>
        <w:tabs>
          <w:tab w:leader="none" w:pos="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80"/>
        <w:spacing w:after="0"/>
        <w:tabs>
          <w:tab w:leader="none" w:pos="674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-7620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FINWISE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141605</wp:posOffset>
            </wp:positionV>
            <wp:extent cx="12858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4"/>
              </w:rPr>
              <w:t>Utah</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83-0356689</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756 East Winchester, Suite 100</w:t>
            </w:r>
          </w:p>
        </w:tc>
        <w:tc>
          <w:tcPr>
            <w:tcW w:w="3120" w:type="dxa"/>
            <w:vAlign w:val="bottom"/>
          </w:tcPr>
          <w:p>
            <w:pPr>
              <w:spacing w:after="0"/>
              <w:rPr>
                <w:sz w:val="18"/>
                <w:szCs w:val="18"/>
                <w:color w:val="auto"/>
              </w:rPr>
            </w:pP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8"/>
              </w:rPr>
              <w:t>Murray, Utah</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84107</w:t>
            </w:r>
          </w:p>
        </w:tc>
      </w:t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(801) 501-7200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Trading</w:t>
            </w:r>
          </w:p>
        </w:tc>
        <w:tc>
          <w:tcPr>
            <w:tcW w:w="5060" w:type="dxa"/>
            <w:vAlign w:val="bottom"/>
          </w:tcPr>
          <w:p>
            <w:pPr>
              <w:spacing w:after="0"/>
              <w:rPr>
                <w:sz w:val="24"/>
                <w:szCs w:val="24"/>
                <w:color w:val="auto"/>
              </w:rPr>
            </w:pPr>
          </w:p>
        </w:tc>
      </w:tr>
      <w:tr>
        <w:trPr>
          <w:trHeight w:val="241"/>
        </w:trPr>
        <w:tc>
          <w:tcPr>
            <w:tcW w:w="4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Symbol(s)</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FINW</w:t>
            </w:r>
          </w:p>
        </w:tc>
        <w:tc>
          <w:tcPr>
            <w:tcW w:w="120" w:type="dxa"/>
            <w:vAlign w:val="bottom"/>
          </w:tcPr>
          <w:p>
            <w:pPr>
              <w:spacing w:after="0"/>
              <w:rPr>
                <w:sz w:val="20"/>
                <w:szCs w:val="20"/>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November 14, 2022, the registrant had 12,850,357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14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14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FINANCIAL INFORMATION</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7680" w:type="dxa"/>
            <w:vAlign w:val="bottom"/>
            <w:tcBorders>
              <w:top w:val="single" w:sz="8" w:color="CCEEFF"/>
            </w:tcBorders>
            <w:gridSpan w:val="7"/>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9"/>
              </w:rPr>
              <w:t>Consolidated Statements of Income</w:t>
            </w:r>
          </w:p>
        </w:tc>
        <w:tc>
          <w:tcPr>
            <w:tcW w:w="752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gridSpan w:val="17"/>
          </w:tcPr>
          <w:p>
            <w:pPr>
              <w:spacing w:after="0" w:line="176" w:lineRule="exact"/>
              <w:rPr>
                <w:sz w:val="20"/>
                <w:szCs w:val="20"/>
                <w:color w:val="auto"/>
              </w:rPr>
            </w:pPr>
            <w:r>
              <w:rPr>
                <w:rFonts w:ascii="Arial" w:cs="Arial" w:eastAsia="Arial" w:hAnsi="Arial"/>
                <w:sz w:val="18"/>
                <w:szCs w:val="18"/>
                <w:color w:val="0000EE"/>
              </w:rPr>
              <w:t>Consolidated Statement of Changes in Stockholders’ Equity</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Statements of Cash Flows</w:t>
            </w:r>
          </w:p>
        </w:tc>
        <w:tc>
          <w:tcPr>
            <w:tcW w:w="722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gridSpan w:val="17"/>
          </w:tcPr>
          <w:p>
            <w:pPr>
              <w:spacing w:after="0" w:line="176" w:lineRule="exact"/>
              <w:rPr>
                <w:sz w:val="20"/>
                <w:szCs w:val="20"/>
                <w:color w:val="auto"/>
              </w:rPr>
            </w:pPr>
            <w:r>
              <w:rPr>
                <w:rFonts w:ascii="Arial" w:cs="Arial" w:eastAsia="Arial" w:hAnsi="Arial"/>
                <w:sz w:val="18"/>
                <w:szCs w:val="18"/>
                <w:color w:val="0000EE"/>
              </w:rPr>
              <w:t>Notes to Unaudited Consolidated Financial Statements</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Risk Factors</w:t>
            </w:r>
          </w:p>
        </w:tc>
        <w:tc>
          <w:tcPr>
            <w:tcW w:w="8760" w:type="dxa"/>
            <w:vAlign w:val="bottom"/>
            <w:tcBorders>
              <w:top w:val="single" w:sz="8" w:color="CCEEFF"/>
            </w:tcBorders>
            <w:gridSpan w:val="13"/>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74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10080" w:type="dxa"/>
            <w:vAlign w:val="bottom"/>
            <w:gridSpan w:val="17"/>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0"/>
              </w:rPr>
              <w:t>Mine Safety Disclosures</w:t>
            </w:r>
          </w:p>
        </w:tc>
        <w:tc>
          <w:tcPr>
            <w:tcW w:w="8320" w:type="dxa"/>
            <w:vAlign w:val="bottom"/>
            <w:tcBorders>
              <w:bottom w:val="single" w:sz="8" w:color="CCEEFF"/>
            </w:tcBorders>
            <w:gridSpan w:val="1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10080" w:type="dxa"/>
            <w:vAlign w:val="bottom"/>
            <w:gridSpan w:val="17"/>
          </w:tcPr>
          <w:p>
            <w:pPr>
              <w:spacing w:after="0" w:line="176" w:lineRule="exact"/>
              <w:rPr>
                <w:sz w:val="20"/>
                <w:szCs w:val="20"/>
                <w:color w:val="auto"/>
              </w:rPr>
            </w:pPr>
            <w:r>
              <w:rPr>
                <w:rFonts w:ascii="Arial" w:cs="Arial" w:eastAsia="Arial" w:hAnsi="Arial"/>
                <w:sz w:val="18"/>
                <w:szCs w:val="18"/>
                <w:color w:val="0000EE"/>
              </w:rPr>
              <w:t>Other Information</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0000EE"/>
                <w:w w:val="90"/>
              </w:rPr>
              <w:t>Signatures</w:t>
            </w: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36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7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 including, but not limited to, the following:</w:t>
      </w:r>
    </w:p>
    <w:p>
      <w:pPr>
        <w:spacing w:after="0" w:line="170" w:lineRule="exact"/>
        <w:rPr>
          <w:sz w:val="20"/>
          <w:szCs w:val="20"/>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financial technology industry, the development and acceptance of which is subject to a high degree of uncertainty, as well as the continued evolution of the regulation of this industry;</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response of governmental authorities to the Covid-19 pandemic and our participation in Covid-19-related government programs such as the Paycheck Protection Program (“PPP”);</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17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allowance for loan losses (“ALL”);</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Small Business Administration (“SBA”) rules, regulations and loan products, including specifically the Section 7(a) program, changes in SBA standard operating procedures or changes to the status of the Bank as an SBA Preferred Lender;</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originate, sell and retain loans, including through our Strategic Programs;</w:t>
      </w:r>
    </w:p>
    <w:p>
      <w:pPr>
        <w:sectPr>
          <w:pgSz w:w="11900" w:h="16838" w:orient="portrait"/>
          <w:cols w:equalWidth="0" w:num="1">
            <w:col w:w="11240"/>
          </w:cols>
          <w:pgMar w:left="320" w:top="121" w:right="339" w:bottom="65"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existing merchant relationships;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capital, including sources of capital and the extent to which we may be required to raise additional capital to meet our goals;</w:t>
      </w:r>
    </w:p>
    <w:p>
      <w:pPr>
        <w:spacing w:after="0" w:line="24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 or to write-down assets;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equity and debt issuances; and</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listed from time to time in the Company’s filings with the Securities and Exchange Commission (the “SEC”), including, without limitation, this Report, the Company’s Annual Report on Form 10-K for the year ended December 31, 2021 (the “2021 Form 10-K”) and subsequent reports on Form 10-Q and Form 8-K.</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PART I</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FinWise Bancorp</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85,343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Investment securities held-to-maturity, at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 in Federal Home Loan Bank (FHLB) stock, at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198,102</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Deferred taxes,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SBA servicing asset,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 in FinWise Investments, LLC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Operating lease right-of-use (“ROU”)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385,569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380,214</w:t>
            </w:r>
          </w:p>
        </w:tc>
      </w:tr>
      <w:tr>
        <w:trPr>
          <w:trHeight w:val="20"/>
        </w:trPr>
        <w:tc>
          <w:tcPr>
            <w:tcW w:w="1020" w:type="dxa"/>
            <w:vAlign w:val="bottom"/>
            <w:gridSpan w:val="2"/>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2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w w:val="85"/>
              </w:rPr>
              <w:t>Deposits</w:t>
            </w:r>
          </w:p>
        </w:tc>
        <w:tc>
          <w:tcPr>
            <w:tcW w:w="2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110,548</w:t>
            </w:r>
          </w:p>
        </w:tc>
      </w:tr>
      <w:tr>
        <w:trPr>
          <w:trHeight w:val="223"/>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Interest-bearing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141,344</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232,838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PPP Liquidity Facility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11,549</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251,284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264,772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3"/>
          </w:tcPr>
          <w:p>
            <w:pPr>
              <w:spacing w:after="0" w:line="201" w:lineRule="exact"/>
              <w:rPr>
                <w:sz w:val="20"/>
                <w:szCs w:val="20"/>
                <w:color w:val="auto"/>
              </w:rPr>
            </w:pPr>
            <w:r>
              <w:rPr>
                <w:rFonts w:ascii="Arial" w:cs="Arial" w:eastAsia="Arial" w:hAnsi="Arial"/>
                <w:sz w:val="18"/>
                <w:szCs w:val="18"/>
                <w:color w:val="auto"/>
                <w:w w:val="92"/>
              </w:rPr>
              <w:t>Preferred stock, $0.001 par value, 4,000,000 authorized; no shares issued and outstanding as of September 30,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and December 31, 2021</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40,000,000 shares authorized; 12,864,821 and 12,772,010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54,836</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115,442</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385,569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380,214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20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interest income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12,823</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13,749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39,059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33,690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deposits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on PPP Liquidity Facility</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12,519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13,470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38,249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32,706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3,367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11,877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16,313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Occupancy and equipment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(Recovery) impairment of SBA servicing asset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7,116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11,180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28,745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2,738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12,784,298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8,255,953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12,727,555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8,177,575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13,324,059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8,810,829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13,404,564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8,545,501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8,716,110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18,274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42,040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60,323</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19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23"/>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9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8,746,110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18,647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50,482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69,138</w:t>
            </w:r>
          </w:p>
        </w:tc>
        <w:tc>
          <w:tcPr>
            <w:tcW w:w="100" w:type="dxa"/>
            <w:vAlign w:val="bottom"/>
          </w:tcPr>
          <w:p>
            <w:pPr>
              <w:spacing w:after="0"/>
              <w:rPr>
                <w:sz w:val="18"/>
                <w:szCs w:val="18"/>
                <w:color w:val="auto"/>
              </w:rPr>
            </w:pPr>
          </w:p>
        </w:tc>
      </w:tr>
      <w:tr>
        <w:trPr>
          <w:trHeight w:val="21"/>
        </w:trPr>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680" w:type="dxa"/>
            <w:vAlign w:val="bottom"/>
          </w:tcPr>
          <w:p>
            <w:pPr>
              <w:spacing w:after="0"/>
              <w:rPr>
                <w:sz w:val="24"/>
                <w:szCs w:val="24"/>
                <w:color w:val="auto"/>
              </w:rPr>
            </w:pPr>
          </w:p>
        </w:tc>
        <w:tc>
          <w:tcPr>
            <w:tcW w:w="470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8,660,334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29,010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45,872</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19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85,776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21,472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21,472</w:t>
            </w:r>
          </w:p>
        </w:tc>
      </w:tr>
      <w:tr>
        <w:trPr>
          <w:trHeight w:val="257"/>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9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8,746,110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50,482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1"/>
              </w:rPr>
              <w:t>FinWise Bancorp</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602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89"/>
              </w:rPr>
              <w:t>Consolidated Statements of Changes in Shareholders’ Equity (Unaudited)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70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87"/>
              </w:rPr>
              <w:t>(in thousands, except share amounts)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70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0"/>
              </w:rPr>
              <w:t>Three Months Ended September 30, 2022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12,884,821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55,015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75,509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130,537</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19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7"/>
        </w:trPr>
        <w:tc>
          <w:tcPr>
            <w:tcW w:w="26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3,654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3,654</w:t>
            </w: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9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12,864,821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2680" w:type="dxa"/>
            <w:vAlign w:val="bottom"/>
          </w:tcPr>
          <w:p>
            <w:pPr>
              <w:spacing w:after="0"/>
              <w:rPr>
                <w:sz w:val="24"/>
                <w:szCs w:val="24"/>
                <w:color w:val="auto"/>
              </w:rPr>
            </w:pPr>
          </w:p>
        </w:tc>
        <w:tc>
          <w:tcPr>
            <w:tcW w:w="470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90"/>
              </w:rPr>
              <w:t>Nine Months Ended September 30,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12,772,010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54,836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60,593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115,442</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96,011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18,570</w:t>
            </w:r>
          </w:p>
        </w:tc>
      </w:tr>
      <w:tr>
        <w:trPr>
          <w:trHeight w:val="27"/>
        </w:trPr>
        <w:tc>
          <w:tcPr>
            <w:tcW w:w="26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1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12,864,821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55,113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79,159</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134,285</w:t>
            </w:r>
          </w:p>
        </w:tc>
      </w:tr>
      <w:tr>
        <w:trPr>
          <w:trHeight w:val="20"/>
        </w:trPr>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FinWise Bancorp</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Ended 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21,472</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operating lease ROU asset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amortization in securities discounts and premiums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Capitalized servicing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(3,164)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SBA loans,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Originations of Strategic Program loans held-for-sale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(5,863,965)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(4,064,999)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on Strategic Program loans held-for-sale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5,881,107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4,023,245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(2,127)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SBA servicing asset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changes 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(3,416)</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(21,475)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decrease in loans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 of loan pools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(10,267)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FinWise Investments, LLC</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Distributions from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bank premises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maturities and paydowns of securities held-to-maturity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securities held to maturity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 of FHLB stock</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increase (decrease) in deposits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88,560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PPP Liquidity Facility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Repayment of PPP Liquidity Facility</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(104,306)</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20,723</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paid during the period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noncash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Right-of-use assets obtained in exchange for operating lease liabilities </w:t>
            </w:r>
            <w:r>
              <w:rPr>
                <w:rFonts w:ascii="Arial" w:cs="Arial" w:eastAsia="Arial" w:hAnsi="Arial"/>
                <w:sz w:val="18"/>
                <w:szCs w:val="18"/>
                <w:i w:val="1"/>
                <w:iCs w:val="1"/>
                <w:color w:val="auto"/>
                <w:w w:val="93"/>
              </w:rPr>
              <w:t>(ASC 842 adoption effective January 1, 2022)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Nature of business and organization – </w:t>
      </w:r>
      <w:r>
        <w:rPr>
          <w:rFonts w:ascii="Arial" w:cs="Arial" w:eastAsia="Arial" w:hAnsi="Arial"/>
          <w:sz w:val="17"/>
          <w:szCs w:val="17"/>
          <w:color w:val="auto"/>
        </w:rPr>
        <w:t>FinWise Bancorp is a Utah Corporation headquartered in Murray, Utah and operates all business activities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its wholly-owned banking subsidiary, FinWise Bank, f/k/a Utah Community Bank.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and FinWise Bank collectively and on a consolidated basis. References to the “Bank” refer to FinWise Bank on a standalone basis.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15, 2021, the Company publicly filed a Registration Statement on Form S-1 with the SEC in connection with its Initial Public Offering (“IPO”) (the “Registration Statement”), which was subsequently amended on July 30, 2021, August 4, 2021, November 1, 2021, and November 16, 2021. The Registration Statement was declared effective by the SEC on November 18, 2021. In connection with the IPO, the Company issued 4,025,000 shares of common stock, par value of $0.001, which included 525,000 shares sold pursuant to the underwriters’ exercise of their option to purchase additional shares. The securities were sold to the public at a price of $10.50 per share and began trading on the Nasdaq Stock Market LLC on November 19, 2021. On November 23, 2021, the closing date of the IPO, the Company received total net proceeds of $39.3 million. The net proceeds less other related expenses, including audit fees, legal fees, listing fees, and other expenses, totaled $35.6 million.</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competition from other financial institutions and to the regulations of certain federal and state agencies and undergoes periodic examinations by those agencies.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COVID-19 – </w:t>
      </w:r>
      <w:r>
        <w:rPr>
          <w:rFonts w:ascii="Arial" w:cs="Arial" w:eastAsia="Arial" w:hAnsi="Arial"/>
          <w:sz w:val="18"/>
          <w:szCs w:val="18"/>
          <w:color w:val="auto"/>
        </w:rPr>
        <w:t>On March 11, 2020, the World Health Organization declared COVID-19 to be a global pandemic. Local and national governments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authorities have systematically implemented remedial measures to try to slow and curb the spread of COVID-19, including business closures and operating restrictions, travel bans, shelter in place, stay home, and similar directives and orders. In response to the COVID-19 pandemic and in adherence with state and local guidelines, the Company has implemented the business continuity plan and other measures and activities to protect the Company’s employees and, at the same time, to assist the Company’s clients and the communities of which the Company is a part, including enabling remote working capability for the majority of the Company’s employees, increased mobile banking and electronic transaction options for clients, payment deferral assistance to commercial and consumer borrowers, and participation in the SBA’s Paycheck Protection Program (“PPP”) for loans to qualifying small businesses.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22, 2020, the 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(“FASB”) staff that the federal banking agencies concluded that short-term modifications (e.g., six months) made on a good faith basis to borrowers who were current as of the implementation date of a relief program are not troubled debt restructurings (“TDRs”).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(“CARES”) Act was passed by Congress on March 27, 2020. The CARES Act also addressed COVID-19 related modifications and specified that COVID-19 related modifications on loans that were current as of December 31, 2019 are not TDRs. The Bank has applied this guidance related to payment deferrals and other COVID-19 related loan modifications.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CARES Act also included a total allocation of $659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1.00%. PPP loans originated prior to June 5, 2020 have a term of two years, while PPP loans originated on or after June 5, 2020 have a term of five years. Payments are deferred for at least the first six months of the loan and the loans are 100% guaranteed by the SBA. The SBA pays the originating bank a processing fee ranging from 1% to 5%, based on the size of the loan. At September 30, 2022, net deferred loan fees related to PPP loans was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which will be recognized over the life of the loans. As of December 31, 2021, PPP borrowers had applied for and received forgiveness from the SBA for $125.2 million of PPP loan principal and had made $0.3 million of principal payments leaving $1.1 million of PPP loan principal outstanding as of December 31, 2021. During the nine months ended September 30, 2022, PPP borrowers made $0.4 million of principal payments leaving $0.7 million of PPP loan principal outstanding as of September 30, 2022. The loan forgiveness resulted in the recognition of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deferred loan fees for the nine months ended September 30, 2022.</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comprised of the accounts of FinWise Bancorp and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FinWise Investments, LLC and FinWise Bank (collectively, the “Company”).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unaudited periods presented have been included. The results of operations and other data presented for three and nine months ended September 30, 2022 are not necessarily indicative of the results of operations that may be expected for subsequent periods or the full year results.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note disclosures usually included in financial statements prepared in accordance with U.S. generally accepted accounting principles (“U.S. GAAP”) have been condensed or omitted pursuant to the rules and regulations of the SEC for the presentation of the Form 10-Q. The unaudited consolidated financial statements presented should be read in conjunction with the Company’s audited consolidated financial statements and notes to the audited consolidated financial statements included in the Company’s December 31, 2021 Annual Report on Form 10-K.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Out-of-period adjustment </w:t>
      </w:r>
      <w:r>
        <w:rPr>
          <w:rFonts w:ascii="Arial" w:cs="Arial" w:eastAsia="Arial" w:hAnsi="Arial"/>
          <w:sz w:val="18"/>
          <w:szCs w:val="18"/>
          <w:color w:val="auto"/>
        </w:rPr>
        <w:t>– During the first quarter of 2022, we recognized a $(0.8) million ($(0.6) million net of tax) reduction of interest and fees on</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loans receivable, net as an out-of-period adjustment. The adjustment was not considered material to the interim consolidated financial statements for the three months ended March 31, 2022, nine months ended September 30, 2022, or the financial statements of any previously filed interim or annual periods.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In preparing the consolidated financial statements in accordance with U.S. GAAP, management is required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Stock Repurchase Program </w:t>
      </w:r>
      <w:r>
        <w:rPr>
          <w:rFonts w:ascii="Arial" w:cs="Arial" w:eastAsia="Arial" w:hAnsi="Arial"/>
          <w:sz w:val="16"/>
          <w:szCs w:val="16"/>
          <w:color w:val="auto"/>
        </w:rPr>
        <w:t>– On August 18, 2022, the Company announced that its Board of Directors (the “Board”) has authorized, effective August 16,</w:t>
      </w:r>
      <w:r>
        <w:rPr>
          <w:rFonts w:ascii="Arial" w:cs="Arial" w:eastAsia="Arial" w:hAnsi="Arial"/>
          <w:sz w:val="16"/>
          <w:szCs w:val="16"/>
          <w:b w:val="1"/>
          <w:bCs w:val="1"/>
          <w:color w:val="auto"/>
        </w:rPr>
        <w:t xml:space="preserve"> </w:t>
      </w:r>
      <w:r>
        <w:rPr>
          <w:rFonts w:ascii="Arial" w:cs="Arial" w:eastAsia="Arial" w:hAnsi="Arial"/>
          <w:sz w:val="16"/>
          <w:szCs w:val="16"/>
          <w:color w:val="auto"/>
        </w:rPr>
        <w:t>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The Company has repurchased 20,000 shares for approximately $0.2 million as of September 30, 2022 and retired them at cost.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 increase transparency and comparability among organizations by, among other provisions, recognizing lease assets and lease liabilities on the balance sheet for those leases classified as operating leases under previous U.S. GAAP.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guidance was initially effective for fiscal years beginning after December 15, 2020, and interim periods within fiscal years beginning after December 15, 2021. However, the FASB issued ASU 2020-05, </w:t>
      </w:r>
      <w:r>
        <w:rPr>
          <w:rFonts w:ascii="Arial" w:cs="Arial" w:eastAsia="Arial" w:hAnsi="Arial"/>
          <w:sz w:val="16"/>
          <w:szCs w:val="16"/>
          <w:i w:val="1"/>
          <w:iCs w:val="1"/>
          <w:color w:val="auto"/>
        </w:rPr>
        <w:t>Revenue from Contracts with Customers (Topic 606)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Effective Dates for Certain Entities</w:t>
      </w:r>
      <w:r>
        <w:rPr>
          <w:rFonts w:ascii="Arial" w:cs="Arial" w:eastAsia="Arial" w:hAnsi="Arial"/>
          <w:sz w:val="16"/>
          <w:szCs w:val="16"/>
          <w:color w:val="auto"/>
        </w:rPr>
        <w:t>, delaying the effective date to fiscal years beginning after December 15, 2021,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beginning after December 15, 2022.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entities an optional transition method to apply the guidance under ASC Topic 842 as of the adoption date, rather than as of the earliest period presented. The Company adopted this guidance on January 1, 2022, which resulted in an increase in assets and liabilities by $7.4 million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to January 1, 2023 for smaller reporting companies with less than $250 million in public float as defined by the SEC’s rules. The Company is a smaller reporting company. The Company plans to apply the amendment’s provisions as a cumulative-effect adjustment to retained earnings at the beginning of the first period the amendment is effective. The Company has formed a team that is working on an implementation plan to adopt the amendment. The implementation plan is expected to include developing policies, procedures, and internal controls over the model. The Company is also working with a software vendor to measure expected losses required by the amendment. The Company is currently evaluating the effects that the adoption of this amendment will have on its consolidated financial statements and expects that the portfolio composition and economic conditions at the time of adoption will influence the accounting adjustment made at the time the amendment is adopted.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 – Credit Losses (Topic 326): Troubled Debt Restructurings and Vintage Disclosures</w:t>
      </w:r>
      <w:r>
        <w:rPr>
          <w:rFonts w:ascii="Arial" w:cs="Arial" w:eastAsia="Arial" w:hAnsi="Arial"/>
          <w:sz w:val="16"/>
          <w:szCs w:val="16"/>
          <w:color w:val="auto"/>
        </w:rPr>
        <w:t>. These amendments eliminate the TDR recognition and measurement guidance and, instead, require that an entity evaluate (consistent with the accounting for other loan modifications) whether the modification represents a new loan or a continuation of an existing loan. The amendments also enhance existing disclosure requirements and introduce new requirements related to certain modifications of receivables made to borrowers experiencing financial difficulty. For public business entities, these amendments require that an entity disclose current-period gross writeoffs by year of origination for financing receivables and net investment in leases within the scope of Subtopic 326-20. This ASU is effective on January 1, 2023, the same effective date as ASU 2016-13. The Company is currently evaluating the effects that the adoption of this amendment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Enactment of the Inflation Reduction Act of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currently evaluating the effects that the enactment of the IRA will have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held-to-maturity, at cost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estimated fair values of the Company’s held-to-maturity securities at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12,358</w:t>
            </w:r>
          </w:p>
        </w:tc>
        <w:tc>
          <w:tcPr>
            <w:tcW w:w="100" w:type="dxa"/>
            <w:vAlign w:val="bottom"/>
            <w:shd w:val="clear" w:color="auto" w:fill="CCEEFF"/>
          </w:tcPr>
          <w:p>
            <w:pPr>
              <w:spacing w:after="0"/>
              <w:rPr>
                <w:sz w:val="18"/>
                <w:szCs w:val="18"/>
                <w:color w:val="auto"/>
              </w:rPr>
            </w:pPr>
          </w:p>
        </w:tc>
      </w:tr>
      <w:tr>
        <w:trPr>
          <w:trHeight w:val="439"/>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11,332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seventeen securities in an unrealized loss position at September 30, 2022 and nine securities in an unrealized loss position at December 31, 2021, as summarized in the following tables: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r>
      <w:tr>
        <w:trPr>
          <w:trHeight w:val="439"/>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market value of debt securities at September 30, 2022 and December 31, 2021, by contractual maturity are shown below. Actual maturities may differ from contractual maturities because borrowers may have the right to call or prepay obligations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held-to-maturity</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9,784</w:t>
            </w:r>
          </w:p>
        </w:tc>
      </w:tr>
      <w:tr>
        <w:trPr>
          <w:trHeight w:val="223"/>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held-to-maturity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September 30, 2022, all held-to-maturity securities were pledged as collateral for a credit line held by the Bank. There were no sales or transfers of investment securities and no realized gains or losses on these securities during the nine months ended September 30, 2022 or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a member of the FHLB system. Members are required to own FHLB stock of at least the greater of 1% of FHLB membership asset value or 2.7% of outstanding FHLB advances. At September 30, 2022 and December 31, 2021, the Bank owned $0.4 million, respectively, of FHLB stock, which is carried at cost. The Company evaluated the carrying value of its FHLB stock investment at September 30, 2022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Loans are summarized as follows according to major risk category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4940" w:type="dxa"/>
            <w:vAlign w:val="bottom"/>
            <w:gridSpan w:val="2"/>
            <w:shd w:val="clear" w:color="auto" w:fill="CCEEFF"/>
          </w:tcPr>
          <w:p>
            <w:pPr>
              <w:ind w:left="4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70,290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Consumer</w:t>
            </w:r>
          </w:p>
        </w:tc>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4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256,820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Loans held-for-sale</w:t>
            </w:r>
          </w:p>
        </w:tc>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(43,606)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(60,748)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4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 loan costs (fees), net</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Net loans</w:t>
            </w:r>
          </w:p>
        </w:tc>
        <w:tc>
          <w:tcPr>
            <w:tcW w:w="4940" w:type="dxa"/>
            <w:vAlign w:val="bottom"/>
            <w:gridSpan w:val="2"/>
          </w:tcPr>
          <w:p>
            <w:pPr>
              <w:ind w:left="47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200,485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198,102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700" w:type="dxa"/>
            <w:vAlign w:val="bottom"/>
            <w:vMerge w:val="restart"/>
          </w:tcPr>
          <w:p>
            <w:pPr>
              <w:jc w:val="right"/>
              <w:ind w:right="2896"/>
              <w:spacing w:after="0"/>
              <w:rPr>
                <w:sz w:val="20"/>
                <w:szCs w:val="20"/>
                <w:color w:val="auto"/>
              </w:rPr>
            </w:pPr>
            <w:r>
              <w:rPr>
                <w:rFonts w:ascii="Arial" w:cs="Arial" w:eastAsia="Arial" w:hAnsi="Arial"/>
                <w:sz w:val="14"/>
                <w:szCs w:val="14"/>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9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Strategic Program Loans </w:t>
      </w:r>
      <w:r>
        <w:rPr>
          <w:rFonts w:ascii="Arial" w:cs="Arial" w:eastAsia="Arial" w:hAnsi="Arial"/>
          <w:sz w:val="17"/>
          <w:szCs w:val="17"/>
          <w:color w:val="auto"/>
        </w:rPr>
        <w:t>– In 2016, the Company began originating loans with various third-party loan origination platforms that use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Strategic Program establishes a “reserve” deposit account with the Company. The agreements generally require that the deposit reserve account balance, along with any other collateral, does not fall below the dollar amount of the total loans held-for-sale outstanding currently held by the Company for the specific Strategic Program. Collateral may include deposits held at the Bank, at another institution where the Bank has control of the account or a combination of deposits and other vehicles such as letters of credit. If necessary, the Company has the right to withdraw amounts from these sources to fulfill loan purchaser obligations created under the program agreements. Total cash held in reserve by Strategic Programs at the Company at September 30, 2022 and December 31, 2021, was $23.6 million and $39.6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Strategic Program loans retained and held-for-sale as of September 30, 2022 and December 31, 2021,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Retained Strategic Program loans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3"/>
        </w:trPr>
        <w:tc>
          <w:tcPr>
            <w:tcW w:w="3220" w:type="dxa"/>
            <w:vAlign w:val="bottom"/>
            <w:gridSpan w:val="4"/>
          </w:tcPr>
          <w:p>
            <w:pPr>
              <w:spacing w:after="0"/>
              <w:rPr>
                <w:sz w:val="20"/>
                <w:szCs w:val="20"/>
                <w:color w:val="auto"/>
              </w:rPr>
            </w:pPr>
            <w:r>
              <w:rPr>
                <w:rFonts w:ascii="Arial" w:cs="Arial" w:eastAsia="Arial" w:hAnsi="Arial"/>
                <w:sz w:val="18"/>
                <w:szCs w:val="18"/>
                <w:color w:val="auto"/>
              </w:rPr>
              <w:t>Strategic Program loans held-for-sale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9"/>
              </w:rPr>
              <w:t>Total Strategic Program loans</w:t>
            </w: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3500" w:type="dxa"/>
            <w:vAlign w:val="bottom"/>
            <w:gridSpan w:val="6"/>
          </w:tcPr>
          <w:p>
            <w:pPr>
              <w:spacing w:after="0"/>
              <w:rPr>
                <w:sz w:val="20"/>
                <w:szCs w:val="20"/>
                <w:color w:val="auto"/>
              </w:rPr>
            </w:pPr>
            <w:r>
              <w:rPr>
                <w:rFonts w:ascii="Arial" w:cs="Arial" w:eastAsia="Arial" w:hAnsi="Arial"/>
                <w:sz w:val="18"/>
                <w:szCs w:val="18"/>
                <w:color w:val="auto"/>
                <w:w w:val="91"/>
              </w:rPr>
              <w:t>Changes in the ALL are summarized as follows: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gridSpan w:val="2"/>
          </w:tcPr>
          <w:p>
            <w:pPr>
              <w:ind w:left="64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700"/>
              <w:spacing w:after="0"/>
              <w:rPr>
                <w:sz w:val="20"/>
                <w:szCs w:val="20"/>
                <w:color w:val="auto"/>
              </w:rPr>
            </w:pPr>
            <w:r>
              <w:rPr>
                <w:rFonts w:ascii="Arial" w:cs="Arial" w:eastAsia="Arial" w:hAnsi="Arial"/>
                <w:sz w:val="18"/>
                <w:szCs w:val="18"/>
                <w:b w:val="1"/>
                <w:bCs w:val="1"/>
                <w:color w:val="auto"/>
                <w:w w:val="95"/>
              </w:rPr>
              <w:t>September 30, 2022</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Non-Real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SBA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w w:val="98"/>
              </w:rPr>
              <w:t>Provision for loan losses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8"/>
                <w:szCs w:val="18"/>
                <w:color w:val="auto"/>
              </w:rPr>
              <w:t>Loans receivable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127,455</w:t>
            </w:r>
          </w:p>
        </w:tc>
        <w:tc>
          <w:tcPr>
            <w:tcW w:w="140" w:type="dxa"/>
            <w:vAlign w:val="bottom"/>
          </w:tcPr>
          <w:p>
            <w:pPr>
              <w:spacing w:after="0"/>
              <w:rPr>
                <w:sz w:val="18"/>
                <w:szCs w:val="18"/>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12,970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34,501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213,214</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127,360</w:t>
            </w:r>
          </w:p>
        </w:tc>
        <w:tc>
          <w:tcPr>
            <w:tcW w:w="140" w:type="dxa"/>
            <w:vAlign w:val="bottom"/>
          </w:tcPr>
          <w:p>
            <w:pPr>
              <w:spacing w:after="0"/>
              <w:rPr>
                <w:sz w:val="20"/>
                <w:szCs w:val="20"/>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12,970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34,501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213,119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320" w:type="dxa"/>
            <w:vAlign w:val="bottom"/>
            <w:gridSpan w:val="2"/>
          </w:tcPr>
          <w:p>
            <w:pPr>
              <w:ind w:left="780"/>
              <w:spacing w:after="0"/>
              <w:rPr>
                <w:sz w:val="20"/>
                <w:szCs w:val="20"/>
                <w:color w:val="auto"/>
              </w:rPr>
            </w:pPr>
            <w:r>
              <w:rPr>
                <w:rFonts w:ascii="Arial" w:cs="Arial" w:eastAsia="Arial" w:hAnsi="Arial"/>
                <w:sz w:val="18"/>
                <w:szCs w:val="18"/>
                <w:b w:val="1"/>
                <w:bCs w:val="1"/>
                <w:color w:val="auto"/>
                <w:w w:val="90"/>
              </w:rPr>
              <w:t>Nine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780"/>
              <w:spacing w:after="0"/>
              <w:rPr>
                <w:sz w:val="20"/>
                <w:szCs w:val="20"/>
                <w:color w:val="auto"/>
              </w:rPr>
            </w:pPr>
            <w:r>
              <w:rPr>
                <w:rFonts w:ascii="Arial" w:cs="Arial" w:eastAsia="Arial" w:hAnsi="Arial"/>
                <w:sz w:val="18"/>
                <w:szCs w:val="18"/>
                <w:b w:val="1"/>
                <w:bCs w:val="1"/>
                <w:color w:val="auto"/>
                <w:w w:val="90"/>
              </w:rPr>
              <w:t>September 30, 2022</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Non-Real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SBA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w w:val="98"/>
              </w:rPr>
              <w:t>Provision for loan losses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7,147</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29</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11,968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960" w:type="dxa"/>
            <w:vAlign w:val="bottom"/>
            <w:tcBorders>
              <w:right w:val="single" w:sz="8" w:color="CCEEFF"/>
            </w:tcBorders>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2"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Loans receivable</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127,455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12,970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34,501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26,684</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6,149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213,214</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individually evaluated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2"/>
        </w:trPr>
        <w:tc>
          <w:tcPr>
            <w:tcW w:w="18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7"/>
              </w:rPr>
              <w:t>collectively evaluated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127,360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12,970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34,501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26,684</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6,149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213,119</w:t>
            </w:r>
          </w:p>
        </w:tc>
      </w:tr>
      <w:tr>
        <w:trPr>
          <w:trHeight w:val="21"/>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September 30, 2021</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240" w:type="dxa"/>
            <w:vAlign w:val="bottom"/>
            <w:gridSpan w:val="4"/>
            <w:vMerge w:val="restart"/>
          </w:tcPr>
          <w:p>
            <w:pPr>
              <w:jc w:val="center"/>
              <w:ind w:right="300"/>
              <w:spacing w:after="0"/>
              <w:rPr>
                <w:sz w:val="20"/>
                <w:szCs w:val="20"/>
                <w:color w:val="auto"/>
              </w:rPr>
            </w:pPr>
            <w:r>
              <w:rPr>
                <w:rFonts w:ascii="Arial" w:cs="Arial" w:eastAsia="Arial" w:hAnsi="Arial"/>
                <w:sz w:val="18"/>
                <w:szCs w:val="18"/>
                <w:b w:val="1"/>
                <w:bCs w:val="1"/>
                <w:color w:val="auto"/>
                <w:w w:val="89"/>
              </w:rPr>
              <w:t>Residential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w w:val="88"/>
              </w:rPr>
              <w:t>Strategic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1"/>
              </w:rPr>
              <w:t>Program</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9"/>
              </w:rPr>
              <w:t>SBA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Real Estate</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Consumer</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w w:val="97"/>
              </w:rPr>
              <w:t>Provision for loan losses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Balance at end of period</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7,290</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125,192</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25,105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25,174</w:t>
            </w:r>
          </w:p>
        </w:tc>
        <w:tc>
          <w:tcPr>
            <w:tcW w:w="140" w:type="dxa"/>
            <w:vAlign w:val="bottom"/>
          </w:tcPr>
          <w:p>
            <w:pPr>
              <w:spacing w:after="0"/>
              <w:rPr>
                <w:sz w:val="18"/>
                <w:szCs w:val="18"/>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4,729</w:t>
            </w:r>
          </w:p>
        </w:tc>
        <w:tc>
          <w:tcPr>
            <w:tcW w:w="220" w:type="dxa"/>
            <w:vAlign w:val="bottom"/>
          </w:tcPr>
          <w:p>
            <w:pPr>
              <w:spacing w:after="0"/>
              <w:rPr>
                <w:sz w:val="18"/>
                <w:szCs w:val="18"/>
                <w:color w:val="auto"/>
              </w:rPr>
            </w:pPr>
          </w:p>
        </w:tc>
        <w:tc>
          <w:tcPr>
            <w:tcW w:w="240" w:type="dxa"/>
            <w:vAlign w:val="bottom"/>
          </w:tcPr>
          <w:p>
            <w:pPr>
              <w:jc w:val="right"/>
              <w:ind w:right="106"/>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186,512</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2"/>
        </w:trPr>
        <w:tc>
          <w:tcPr>
            <w:tcW w:w="194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124,113</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3,955</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25,105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25,174</w:t>
            </w:r>
          </w:p>
        </w:tc>
        <w:tc>
          <w:tcPr>
            <w:tcW w:w="140" w:type="dxa"/>
            <w:vAlign w:val="bottom"/>
          </w:tcPr>
          <w:p>
            <w:pPr>
              <w:spacing w:after="0"/>
              <w:rPr>
                <w:sz w:val="20"/>
                <w:szCs w:val="20"/>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4,729</w:t>
            </w:r>
          </w:p>
        </w:tc>
        <w:tc>
          <w:tcPr>
            <w:tcW w:w="220" w:type="dxa"/>
            <w:vAlign w:val="bottom"/>
          </w:tcPr>
          <w:p>
            <w:pPr>
              <w:spacing w:after="0"/>
              <w:rPr>
                <w:sz w:val="20"/>
                <w:szCs w:val="20"/>
                <w:color w:val="auto"/>
              </w:rPr>
            </w:pPr>
          </w:p>
        </w:tc>
        <w:tc>
          <w:tcPr>
            <w:tcW w:w="240" w:type="dxa"/>
            <w:vAlign w:val="bottom"/>
          </w:tcPr>
          <w:p>
            <w:pPr>
              <w:jc w:val="right"/>
              <w:ind w:right="106"/>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185,433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September 30, 2021</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89"/>
              </w:rPr>
              <w:t>Residential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Strategic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Program</w:t>
            </w: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Commercial</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SBA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Real Estate</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Consumer</w:t>
            </w:r>
          </w:p>
        </w:tc>
        <w:tc>
          <w:tcPr>
            <w:tcW w:w="2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w w:val="97"/>
              </w:rPr>
              <w:t>Provision for loan losses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5,287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Balance at end of period</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125,192</w:t>
            </w:r>
          </w:p>
        </w:tc>
        <w:tc>
          <w:tcPr>
            <w:tcW w:w="1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25,105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25,174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4,729</w:t>
            </w:r>
          </w:p>
        </w:tc>
        <w:tc>
          <w:tcPr>
            <w:tcW w:w="240" w:type="dxa"/>
            <w:vAlign w:val="bottom"/>
          </w:tcPr>
          <w:p>
            <w:pPr>
              <w:jc w:val="right"/>
              <w:ind w:right="6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186,512</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2"/>
        </w:trPr>
        <w:tc>
          <w:tcPr>
            <w:tcW w:w="194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124,113</w:t>
            </w:r>
          </w:p>
        </w:tc>
        <w:tc>
          <w:tcPr>
            <w:tcW w:w="1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25,105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25,174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4,729</w:t>
            </w:r>
          </w:p>
        </w:tc>
        <w:tc>
          <w:tcPr>
            <w:tcW w:w="240" w:type="dxa"/>
            <w:vAlign w:val="bottom"/>
          </w:tcPr>
          <w:p>
            <w:pPr>
              <w:jc w:val="right"/>
              <w:ind w:right="6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185,433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impaired loans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4"/>
              </w:rPr>
              <w:t>Unpaid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Recorded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96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95</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138"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138"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Unpaid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Nonaccrual and past due loans are summarized below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127,455</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34,501</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2,350</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70,290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1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657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57"/>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amount of interest income for the three and nine months ended September 30, 2022 and 2021, that was not recorded on nonaccrual loans was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minimis</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Pass (Loan Grades 1-4) </w:t>
      </w:r>
      <w:r>
        <w:rPr>
          <w:rFonts w:ascii="Arial" w:cs="Arial" w:eastAsia="Arial" w:hAnsi="Arial"/>
          <w:sz w:val="18"/>
          <w:szCs w:val="18"/>
          <w:color w:val="auto"/>
        </w:rPr>
        <w:t>– A Pass asset is higher quality and does not fit any of the other categories described below. The likelihood of loss is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remote.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Special Mention </w:t>
      </w:r>
      <w:r>
        <w:rPr>
          <w:rFonts w:ascii="Arial" w:cs="Arial" w:eastAsia="Arial" w:hAnsi="Arial"/>
          <w:sz w:val="16"/>
          <w:szCs w:val="16"/>
          <w:color w:val="auto"/>
        </w:rPr>
        <w:t>(Loan Grade 5) – A Special Mention asset has potential weaknesses that may be temporary or, if left uncorrected, may result in a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concerns exist, the Company is currently protected and loss is considered unlikely and not imminent.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Classified Substandard </w:t>
      </w:r>
      <w:r>
        <w:rPr>
          <w:rFonts w:ascii="Arial" w:cs="Arial" w:eastAsia="Arial" w:hAnsi="Arial"/>
          <w:sz w:val="18"/>
          <w:szCs w:val="18"/>
          <w:color w:val="auto"/>
        </w:rPr>
        <w:t>(Loan Grade 6) – A Substandard asset is inadequately protected by the current sound worth and paying capacity of the obligor 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collateral pledged, if any. Assets so classified have well defined weaknesses and are characterized by the distinct possibility that the Company may sustain some loss if deficiencies are not corrected.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Classified Doubtful </w:t>
      </w:r>
      <w:r>
        <w:rPr>
          <w:rFonts w:ascii="Arial" w:cs="Arial" w:eastAsia="Arial" w:hAnsi="Arial"/>
          <w:sz w:val="18"/>
          <w:szCs w:val="18"/>
          <w:color w:val="auto"/>
        </w:rPr>
        <w:t>(Loan Grade 7) – A Doubtful asset has all the weaknesses inherent in a Substandard asset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highly questionable.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Classified Loss (Loan Grade 8) – </w:t>
      </w:r>
      <w:r>
        <w:rPr>
          <w:rFonts w:ascii="Arial" w:cs="Arial" w:eastAsia="Arial" w:hAnsi="Arial"/>
          <w:sz w:val="18"/>
          <w:szCs w:val="18"/>
          <w:color w:val="auto"/>
        </w:rPr>
        <w:t>A loss loan has an existing weakness or weaknesses that render the loan uncollectible and of such little value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currently grade retained Strategic Program loans due to their small balances and homogenous nature. Credit quality for Strategic Program loans is highly correlated with delinquency levels. The Strategic Program loans are evaluated collectively for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Outstanding loan balances categorized by these credit quality indicators are summarized as follows at September 30,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0"/>
                <w:szCs w:val="2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Classified/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125,611</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95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12,970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34,501</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6,149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184,686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256,820</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100" w:type="dxa"/>
            <w:vAlign w:val="bottom"/>
            <w:vMerge w:val="restart"/>
          </w:tcPr>
          <w:p>
            <w:pPr>
              <w:jc w:val="right"/>
              <w:ind w:right="199"/>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8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8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4"/>
                <w:szCs w:val="24"/>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Classified/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Loans modified and recorded as TDR’s at September 30, 2022 and December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Post-</w:t>
            </w:r>
          </w:p>
        </w:tc>
      </w:tr>
      <w:tr>
        <w:trPr>
          <w:trHeight w:val="216"/>
        </w:trPr>
        <w:tc>
          <w:tcPr>
            <w:tcW w:w="7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Modification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r>
      <w:tr>
        <w:trPr>
          <w:trHeight w:val="216"/>
        </w:trPr>
        <w:tc>
          <w:tcPr>
            <w:tcW w:w="7320" w:type="dxa"/>
            <w:vAlign w:val="bottom"/>
          </w:tcPr>
          <w:p>
            <w:pPr>
              <w:spacing w:after="0"/>
              <w:rPr>
                <w:sz w:val="18"/>
                <w:szCs w:val="18"/>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73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7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73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September 30, 2022</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7"/>
        </w:trPr>
        <w:tc>
          <w:tcPr>
            <w:tcW w:w="73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December 31, 2021</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7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Non-Accrual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2022 and December 31, 2021, there were no commitments to lend additional funds to debtors whose loan terms have been modified in a TDR. Loans modified and recorded as TDR’s included modifications to rate and term. There was one principal charge-off recorded related to TDRs during the nine months ended September 30, 2022 for $0.01 million. There were no principal charge-offs recorded related to TDRs during the nine months ended September 30, 2021. There was no principal charge-off recorded related to TDRs during the three months ended September 30, 2022. There were no principal charge-offs recorded related to TDRs during the three months ended September 30, 2021.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2022 and 2021, there were no loan modifications to TDRs. Separately, one restructured loan incurred a default within 12 months of the restructure date during the nine months ended September 30, 2022. This same loan was paid in full with interest on June 2, 2022. One restructured loan incurred a default within 12 months of the restructure date during the nine months ended September 30, 2021. This same loan was paid in full with interest on May 28,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Premises and Equipment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Premises and equipment at September 30, 2022 and December 31, 2021,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premises and equipment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$0.5 million and $0.2 million for the nine months ended September 30, 2022 and 2021,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Liabilities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leases its facilities under noncancelable operating leases. Rent expense for nine months ended September 30, 2022 and 2021 was $0.8 million and $0.4 million, respectively. Future minimum annual undiscounted rental payments for these operating leases are as follows ($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entered into one lease during the nine months ended September 30, 2022 to provide additional space while the Murray office construction is completed. ASC 842 does not apply due to the short-term period of this lease and immateriality. The tables below present information regarding the Company’s lease assets and liabilities. Comparative periods and disclosures are not presented here due to adoption of ASC 842 on January 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r>
      <w:tr>
        <w:trPr>
          <w:trHeight w:val="223"/>
        </w:trPr>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remaining lease term – operating leases </w:t>
            </w:r>
            <w:r>
              <w:rPr>
                <w:rFonts w:ascii="Arial" w:cs="Arial" w:eastAsia="Arial" w:hAnsi="Arial"/>
                <w:sz w:val="18"/>
                <w:szCs w:val="18"/>
                <w:i w:val="1"/>
                <w:iCs w:val="1"/>
                <w:color w:val="auto"/>
              </w:rPr>
              <w:t>(in years)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ind w:left="1160"/>
              <w:spacing w:after="0"/>
              <w:rPr>
                <w:sz w:val="20"/>
                <w:szCs w:val="20"/>
                <w:color w:val="auto"/>
              </w:rPr>
            </w:pPr>
            <w:r>
              <w:rPr>
                <w:rFonts w:ascii="Arial" w:cs="Arial" w:eastAsia="Arial" w:hAnsi="Arial"/>
                <w:sz w:val="18"/>
                <w:szCs w:val="18"/>
                <w:color w:val="auto"/>
                <w:w w:val="87"/>
              </w:rPr>
              <w:t>1.9%</w:t>
            </w:r>
          </w:p>
        </w:tc>
      </w:tr>
      <w:tr>
        <w:trPr>
          <w:trHeight w:val="418"/>
        </w:trPr>
        <w:tc>
          <w:tcPr>
            <w:tcW w:w="76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r>
      <w:tr>
        <w:trPr>
          <w:trHeight w:val="241"/>
        </w:trPr>
        <w:tc>
          <w:tcPr>
            <w:tcW w:w="7640" w:type="dxa"/>
            <w:vAlign w:val="bottom"/>
          </w:tcPr>
          <w:p>
            <w:pPr>
              <w:spacing w:after="0"/>
              <w:rPr>
                <w:sz w:val="20"/>
                <w:szCs w:val="20"/>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8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7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 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7,380</w:t>
            </w:r>
          </w:p>
        </w:tc>
      </w:tr>
      <w:tr>
        <w:trPr>
          <w:trHeight w:val="554"/>
        </w:trPr>
        <w:tc>
          <w:tcPr>
            <w:tcW w:w="7640" w:type="dxa"/>
            <w:vAlign w:val="bottom"/>
          </w:tcPr>
          <w:p>
            <w:pPr>
              <w:ind w:left="5560"/>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6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70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4"/>
                <w:szCs w:val="24"/>
                <w:color w:val="auto"/>
              </w:rPr>
            </w:pPr>
          </w:p>
        </w:tc>
        <w:tc>
          <w:tcPr>
            <w:tcW w:w="168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10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September 30, 2022</w:t>
            </w:r>
          </w:p>
        </w:tc>
        <w:tc>
          <w:tcPr>
            <w:tcW w:w="180" w:type="dxa"/>
            <w:vAlign w:val="bottom"/>
          </w:tcPr>
          <w:p>
            <w:pPr>
              <w:spacing w:after="0"/>
              <w:rPr>
                <w:sz w:val="20"/>
                <w:szCs w:val="20"/>
                <w:color w:val="auto"/>
              </w:rPr>
            </w:pPr>
          </w:p>
        </w:tc>
        <w:tc>
          <w:tcPr>
            <w:tcW w:w="168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September 30, 2022</w:t>
            </w:r>
          </w:p>
        </w:tc>
      </w:tr>
      <w:tr>
        <w:trPr>
          <w:trHeight w:val="202"/>
        </w:trPr>
        <w:tc>
          <w:tcPr>
            <w:tcW w:w="77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 thousands)</w:t>
            </w: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23"/>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Short-term lease rent expense</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57"/>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rent expense</w:t>
            </w: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Note 5 – Deposits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Major classes of deposits at September 30, 2022 and December 31, 2021, are as follows: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6"/>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10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12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152,806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115,947</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Savings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7,252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31,076</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Time certificates of deposit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60,499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98,184</w:t>
            </w:r>
          </w:p>
        </w:tc>
      </w:tr>
      <w:tr>
        <w:trPr>
          <w:trHeight w:val="257"/>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232,838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7700" w:type="dxa"/>
            <w:vAlign w:val="bottom"/>
            <w:gridSpan w:val="2"/>
          </w:tcPr>
          <w:p>
            <w:pPr>
              <w:spacing w:after="0"/>
              <w:rPr>
                <w:sz w:val="20"/>
                <w:szCs w:val="20"/>
                <w:color w:val="auto"/>
              </w:rPr>
            </w:pPr>
            <w:r>
              <w:rPr>
                <w:rFonts w:ascii="Arial" w:cs="Arial" w:eastAsia="Arial" w:hAnsi="Arial"/>
                <w:sz w:val="18"/>
                <w:szCs w:val="18"/>
                <w:color w:val="auto"/>
                <w:w w:val="99"/>
              </w:rPr>
              <w:t>At September 30, 2022, the scheduled maturities of time deposits are as follows ($ 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Year Ended December 31, 2023</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18,749</w:t>
            </w: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Year Ended December 31, 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10,047</w:t>
            </w: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r>
      <w:tr>
        <w:trPr>
          <w:trHeight w:val="256"/>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with balances equal or greater than $250,000 totaled $4.8 million and $3.7 million at September 30, 2022 and December 31,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SBA Servicing Asset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$295.8 million and $210.2 million at September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SBA servicing asset activity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For the Three Months</w:t>
            </w:r>
          </w:p>
        </w:tc>
        <w:tc>
          <w:tcPr>
            <w:tcW w:w="26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8"/>
              </w:rPr>
              <w:t>Ended September 30,</w:t>
            </w:r>
          </w:p>
        </w:tc>
        <w:tc>
          <w:tcPr>
            <w:tcW w:w="260" w:type="dxa"/>
            <w:vAlign w:val="bottom"/>
          </w:tcPr>
          <w:p>
            <w:pPr>
              <w:spacing w:after="0"/>
              <w:rPr>
                <w:sz w:val="20"/>
                <w:szCs w:val="20"/>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Ended 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Additions to servicing asset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Recovery (Impairment) of SBA servicing asset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Amortization of servicing asset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market value of the SBA servicing asset as of September 30, 2022 and December 31, 2021, was $5.3 million and $3.9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ectPr>
          <w:pgSz w:w="11900" w:h="16838" w:orient="portrait"/>
          <w:cols w:equalWidth="0" w:num="1">
            <w:col w:w="11240"/>
          </w:cols>
          <w:pgMar w:left="320" w:top="114"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14.46%, weighted average term of 4.32 years, and a weighted average discount rate of 14.07% at September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14.37%, weighted average term of 4.02 years, and a weighted average discount rate of 11.38% at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 Requirements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September 30, 2022 and December 31, 2021, that the Bank meets all capital adequacy requirements to which it is subject.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and December 31, 2021,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Bank’s actual capital amounts and ratios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Well-Capitalized</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Requirement</w:t>
            </w: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ind w:firstLine="8"/>
        <w:spacing w:after="0" w:line="260" w:lineRule="auto"/>
        <w:tabs>
          <w:tab w:leader="none" w:pos="1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27, 2020 the CARES Act became law. Section 4012 of the CARES Act directs the agencies to issue an interim final rule reducing the CBLR ratio requirement from 9% to 8% for the last two quarters of the year 2020, 8.5% for the calendar year 2021, and 9% thereafter.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Reserve Board Regulations require maintenance of certain minimum reserve balances based on certain average deposits. The Bank had no reserve requirements as of September 30, 2022 and December 31, 2021.</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Secured Line of Credit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and December 31, 2021, the Bank’s available line of credit with the FHLB to borrow in overnight funds was $3.2 million and $4.1 million, respectively. All borrowings are short-term and the interest rate is equal to the correspondent bank’s daily federal funds purchase rate. As of September 30, 2022 and December 31, 2021, no amounts were outstanding under the line of credit. Loans totaling $4.9 million and $5.4 million were pledged to secure the FHLB line of credit as of September 30, 2022 and December 31,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2022 and December 31, 2021, we had the ability to access $10.1 million and $10.9 million from the Federal Reserve Bank’s Discount Window on a collateralized basis. Through Zions Bank, the Bank had an available unsecured line available of $1.0 million at September 30, 2022 and December 31, 2021. The Bank had an available line of credit with Bankers’ Bank of the West to borrow up to $1.05 million in overnight funds at September 30, 2022 and December 31, 2021. We had no outstanding balances on such unsecured or secured lines of credit as of September 30, 2022 and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Liquidity Facility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$0.3 million of PPP loans as eligible collateral under the PPPLF borrowing arrangement at September 30, 2022. The Bank pledged $1.0 million of PPP loans as eligible collateral under the PPPLF borrowing arrangement at December 31, 2021. The average outstanding borrowings were $0.6 million during the nine months ended September 30, 2022 and $48.1 million during the nine months ended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to Extend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5"/>
              </w:rPr>
              <w:t>At September 30, 2022 and December 31, 2021, financial instruments with off-balance-sheet risk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21,707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 in Business Funding Group, LLC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$0.5 million and $0.7 million for the nine months ended September 30, 2022 and 2021, respectively. These distributions were recorded in the Consolidated Balance Sheets as decreases in the investment in BFG.</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investment in BFG, see Note 13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19, 2022, the Company’s Board of Directors approved an amendment of the 2019 Plan to change its name from the All West Bancorporation 2019 Stock Option Plan to the FinWise Bancorp 2019 Stock Option Plan and to increase the number of shares of the Company’s common stock available for awards under the 2019 Plan by 500,000 shares to 1,280,000 shares, subject to shareholder approval. The Company’s shareholders approved the name change and increase in the number of shares at the Company’s 2022 Annual Meeting of Shareholders on June 9, 2022.</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2019 Plan will terminate as to future awards 10 years from the later of the effective date or the earlier of the most recent Board or stockholder approval of an increase in the number of shares reserved for issuance under the 2019 Plan. At September 30, 2022, 648,197 shares are available for future issuance.</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September 30, 2022, 894 shares under 2016 Plan are available for future issuance.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9, 2022, the Board approved a restricted stock discretionary grant of 96,011 shares with an aggregate fair value of $1.3 million from the 2019 Plan to certain executives. Granted shares vest ratably over three years based on achievement of specific levels of the Company’s return on average assets (ROAA) and, subject to the terms and conditions of the grant agreements, will be fully vested on June 9, 2025.</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24, 2019, the Board approved a restricted stock discretionary grant of 1,072,746 shares to certain employees. Pursuant to the awards agreement, 351,852 shares vested on the grant date and were repurchased by the Company on December 31, 2019 to pay for employee withholding taxes. Pursuant to the awards agreement, 73,770 shares subsequently vested and were repurchased by the Company on April 6, 2020 to pay for employee income taxes. Granted shares vest based on the accelerated attribution method on a schedule where all shares would be fully vested on December 1, 2023. On November 18, 2021, pursuant to the awards agreement, the 424,458 remaining unvested shares became vested because the Company’s registration statement was declared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is determined using the Black-Scholes option valuation model.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7"/>
          </w:tcPr>
          <w:p>
            <w:pPr>
              <w:ind w:left="5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 0.7%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5.5 – 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 – 7.5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45.8% – 46.7%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45.7% – 47.6%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18"/>
        </w:trPr>
        <w:tc>
          <w:tcPr>
            <w:tcW w:w="8600" w:type="dxa"/>
            <w:vAlign w:val="bottom"/>
            <w:gridSpan w:val="6"/>
          </w:tcPr>
          <w:p>
            <w:pPr>
              <w:spacing w:after="0"/>
              <w:rPr>
                <w:sz w:val="20"/>
                <w:szCs w:val="20"/>
                <w:color w:val="auto"/>
              </w:rPr>
            </w:pPr>
            <w:r>
              <w:rPr>
                <w:rFonts w:ascii="Arial" w:cs="Arial" w:eastAsia="Arial" w:hAnsi="Arial"/>
                <w:sz w:val="18"/>
                <w:szCs w:val="18"/>
                <w:color w:val="auto"/>
                <w:w w:val="95"/>
              </w:rPr>
              <w:t>The following summarizes stock option activity for the three months and nine months ended September 30, 2022: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Life (in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925,283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4,091,633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(3,859)</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16,359</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7.7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3,828,066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vested and exercisable at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621,378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2,789,615</w:t>
            </w:r>
          </w:p>
        </w:tc>
      </w:tr>
      <w:tr>
        <w:trPr>
          <w:trHeight w:val="414"/>
        </w:trPr>
        <w:tc>
          <w:tcPr>
            <w:tcW w:w="59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Life (in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862,488</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8.2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8,088,660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89,415</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13.04</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248,312</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(13,679)</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124,874</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7.7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3,828,066</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Options vested and exercisable at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621,378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2,789,615</w:t>
            </w: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weighted average grant-date fair value of options per share granted during the nine months ended September 30, 2022 was $6.26. The aggregate intrinsic value of options exercised during the nine months ended September 30, 2022 was $0.2 million. During the nine months ended September 30, 2022, the Company received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proceeds from the exercise of stock options and recognized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tax benefit from the exercise of stock options. Upon exercise of the stock options, the Company will issue new authorized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weighted average grant-date fair value of options per share granted during the nine months ended September 30, 2021 was $1.48. The aggregate intrinsic value of options exercised during the nine months ended September 30, 2021 was $0.5 million. During the nine months ended September 30, 2021, the Company received $0.3 million in proceeds from the exercise of stock options and recognized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tax benefit from the exercise of stock options.</w:t>
      </w:r>
    </w:p>
    <w:p>
      <w:pPr>
        <w:sectPr>
          <w:pgSz w:w="11900" w:h="16838" w:orient="portrait"/>
          <w:cols w:equalWidth="0" w:num="1">
            <w:col w:w="11240"/>
          </w:cols>
          <w:pgMar w:left="320" w:top="121" w:right="339" w:bottom="706"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6"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pre-tax and after-tax stock-based compensation expense recognized: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For the Three Months Ended</w:t>
            </w: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Restricted shares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447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After-tax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Restricted shares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442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had unrecognized stock-based compensation expense related to stock options and restricted stock of approximately $0.6 million and $1.0 million, respectively, which is expected to be recognized over the remaining weighted average recognition period of 1.9 years and 1.8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of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instruments. An active market is a market in which transactions occur with sufficient frequency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Level 1 including quoted prices in active markets for similar instruments, quoted prices in less active markets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or similar instruments, or other observable inputs that can be corroborated by observable market data.</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supported by little or no market activity for financial instruments whose value is determined using pricing models,</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securities held-to-maturity</w:t>
      </w:r>
      <w:r>
        <w:rPr>
          <w:rFonts w:ascii="Arial" w:cs="Arial" w:eastAsia="Arial" w:hAnsi="Arial"/>
          <w:sz w:val="18"/>
          <w:szCs w:val="18"/>
          <w:color w:val="auto"/>
        </w:rPr>
        <w:t>: The estimated fair values of investment securities are priced using current active market quotes, if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Federal Home Loan Bank stock</w:t>
      </w:r>
      <w:r>
        <w:rPr>
          <w:rFonts w:ascii="Arial" w:cs="Arial" w:eastAsia="Arial" w:hAnsi="Arial"/>
          <w:sz w:val="16"/>
          <w:szCs w:val="16"/>
          <w:color w:val="auto"/>
        </w:rPr>
        <w:t>: The fair value is based upon the redemption value of the stock, which equates to the carrying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Program loans held-for-sale</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Loans held for investment</w:t>
      </w:r>
      <w:r>
        <w:rPr>
          <w:rFonts w:ascii="Arial" w:cs="Arial" w:eastAsia="Arial" w:hAnsi="Arial"/>
          <w:sz w:val="18"/>
          <w:szCs w:val="18"/>
          <w:color w:val="auto"/>
        </w:rPr>
        <w:t>: The fair value is estimated by discounting the future cash flows and estimated prepayments using the current rates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loans would be made to borrowers with similar credit ratings and for the same remaining term. Some loan types’ fair value approximated carrying value because of their floating rate or expected maturity characteristics.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SBA servicing asset</w:t>
      </w:r>
      <w:r>
        <w:rPr>
          <w:rFonts w:ascii="Arial" w:cs="Arial" w:eastAsia="Arial" w:hAnsi="Arial"/>
          <w:sz w:val="16"/>
          <w:szCs w:val="16"/>
          <w:color w:val="auto"/>
        </w:rPr>
        <w:t>: The fair value of servicing assets is based on, in part, third -party valuations that project estimated future cash inflows that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Investment in BFG</w:t>
      </w:r>
      <w:r>
        <w:rPr>
          <w:rFonts w:ascii="Arial" w:cs="Arial" w:eastAsia="Arial" w:hAnsi="Arial"/>
          <w:sz w:val="18"/>
          <w:szCs w:val="18"/>
          <w:color w:val="auto"/>
        </w:rPr>
        <w:t>: The Company purchased its ownership interest in BFG on December 31, 2019. The Company’s valuation technique utilized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of the discounted cash flow method and the Guideline Public Company method. A 20% lack of marketability discount was applied to the valuation as well as a 4.50% discount to non-voting shares to arrive at fair value as of September 30, 2022 and December 31, 2021. The calculation of fair value utilized significant unobservable inputs, including projected cash flows, growth rates, and discount rates. The fair value of the investment in BFG was $4.5 million and $5.9 million as of September 30, 2022 and December 31, 2021, respectively. The following table summarizes investment in BFG activity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Ended September 30,</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Distributions from BFG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BFG</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Deposits</w:t>
      </w:r>
      <w:r>
        <w:rPr>
          <w:rFonts w:ascii="Arial" w:cs="Arial" w:eastAsia="Arial" w:hAnsi="Arial"/>
          <w:sz w:val="18"/>
          <w:szCs w:val="18"/>
          <w:color w:val="auto"/>
        </w:rPr>
        <w:t>: The carrying amount of deposits with no stated maturity, such as savings and checking accounts, is a reasonable estimate of their fair value.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 and payable</w:t>
      </w:r>
      <w:r>
        <w:rPr>
          <w:rFonts w:ascii="Arial" w:cs="Arial" w:eastAsia="Arial" w:hAnsi="Arial"/>
          <w:sz w:val="18"/>
          <w:szCs w:val="18"/>
          <w:color w:val="auto"/>
        </w:rPr>
        <w:t>: The fair value of accrued interest receivable and payable approximates their carrying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firstLine="8"/>
        <w:spacing w:after="0" w:line="282" w:lineRule="auto"/>
        <w:tabs>
          <w:tab w:leader="none" w:pos="3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Facility</w:t>
      </w:r>
      <w:r>
        <w:rPr>
          <w:rFonts w:ascii="Arial" w:cs="Arial" w:eastAsia="Arial" w:hAnsi="Arial"/>
          <w:sz w:val="18"/>
          <w:szCs w:val="18"/>
          <w:color w:val="auto"/>
        </w:rPr>
        <w:t>: The fair value of PPPLF is estimated using a discounted cash flow based on the remaining contractual term and current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similar terms.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securities held-to-maturity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13,925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12,358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11,332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FHLB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200,485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220,055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197,412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servicing asset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in BFG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232,838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203,469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251,892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249,488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PPP Liquidity Facility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Description of Financial Instrument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bl>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 The loan amount above represents loans impaired as of year-end that have been adjusted to fair value. When collateral dependent loans</w:t>
      </w:r>
      <w:r>
        <w:rPr>
          <w:rFonts w:ascii="Arial" w:cs="Arial" w:eastAsia="Arial" w:hAnsi="Arial"/>
          <w:sz w:val="17"/>
          <w:szCs w:val="17"/>
          <w:b w:val="1"/>
          <w:bCs w:val="1"/>
          <w:color w:val="auto"/>
        </w:rPr>
        <w:t xml:space="preserve"> </w:t>
      </w:r>
      <w:r>
        <w:rPr>
          <w:rFonts w:ascii="Arial" w:cs="Arial" w:eastAsia="Arial" w:hAnsi="Arial"/>
          <w:sz w:val="17"/>
          <w:szCs w:val="17"/>
          <w:color w:val="auto"/>
        </w:rPr>
        <w:t>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Quantitative information for Level 3 fair value measurements </w:t>
      </w:r>
      <w:r>
        <w:rPr>
          <w:rFonts w:ascii="Arial" w:cs="Arial" w:eastAsia="Arial" w:hAnsi="Arial"/>
          <w:sz w:val="18"/>
          <w:szCs w:val="18"/>
          <w:color w:val="auto"/>
        </w:rPr>
        <w:t>– The range and weighted average of the significant unobservable inputs used to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Level 3 nonrecurring assets as of September 30, 2022 and as of December 31, 2021, along with the valuation techniques used, are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Range</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41"/>
        </w:trPr>
        <w:tc>
          <w:tcPr>
            <w:tcW w:w="2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1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range and weighted average of the significant unobservable inputs used to fair value the investment in BFG Level 3 recurring asset as of September 30, 2022 and as of December 31, 2021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September 30, 2022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 2021</w:t>
            </w:r>
          </w:p>
        </w:tc>
      </w:t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Range</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Range</w:t>
            </w:r>
          </w:p>
        </w:tc>
      </w:tr>
      <w:tr>
        <w:trPr>
          <w:trHeight w:val="241"/>
        </w:trPr>
        <w:tc>
          <w:tcPr>
            <w:tcW w:w="7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Discounted Cash Flows</w:t>
            </w: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Revenue growth rate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7780" w:type="dxa"/>
            <w:vAlign w:val="bottom"/>
          </w:tcPr>
          <w:p>
            <w:pPr>
              <w:ind w:left="660"/>
              <w:spacing w:after="0"/>
              <w:rPr>
                <w:sz w:val="20"/>
                <w:szCs w:val="20"/>
                <w:color w:val="auto"/>
              </w:rPr>
            </w:pPr>
            <w:r>
              <w:rPr>
                <w:rFonts w:ascii="Arial" w:cs="Arial" w:eastAsia="Arial" w:hAnsi="Arial"/>
                <w:sz w:val="18"/>
                <w:szCs w:val="18"/>
                <w:color w:val="auto"/>
              </w:rPr>
              <w:t>Expense growth rate</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Discount rate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7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Guideline Public Company</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780" w:type="dxa"/>
            <w:vAlign w:val="bottom"/>
          </w:tcPr>
          <w:p>
            <w:pPr>
              <w:ind w:left="660"/>
              <w:spacing w:after="0"/>
              <w:rPr>
                <w:sz w:val="20"/>
                <w:szCs w:val="20"/>
                <w:color w:val="auto"/>
              </w:rPr>
            </w:pPr>
            <w:r>
              <w:rPr>
                <w:rFonts w:ascii="Arial" w:cs="Arial" w:eastAsia="Arial" w:hAnsi="Arial"/>
                <w:sz w:val="18"/>
                <w:szCs w:val="18"/>
                <w:color w:val="auto"/>
              </w:rPr>
              <w:t>Multiples of enterprise value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3.0x to 4.0x</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4.0x to 6.0x</w:t>
            </w:r>
          </w:p>
        </w:tc>
      </w:tr>
      <w:tr>
        <w:trPr>
          <w:trHeight w:val="418"/>
        </w:trPr>
        <w:tc>
          <w:tcPr>
            <w:tcW w:w="7780" w:type="dxa"/>
            <w:vAlign w:val="bottom"/>
          </w:tcPr>
          <w:p>
            <w:pPr>
              <w:spacing w:after="0"/>
              <w:rPr>
                <w:sz w:val="20"/>
                <w:szCs w:val="20"/>
                <w:color w:val="auto"/>
              </w:rPr>
            </w:pPr>
            <w:r>
              <w:rPr>
                <w:rFonts w:ascii="Arial" w:cs="Arial" w:eastAsia="Arial" w:hAnsi="Arial"/>
                <w:sz w:val="18"/>
                <w:szCs w:val="18"/>
                <w:b w:val="1"/>
                <w:bCs w:val="1"/>
                <w:color w:val="auto"/>
              </w:rPr>
              <w:t>Note 12 – Income Taxes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by recognizing deferred tax assets and liabilities based upon temporary differences between the amounts for financial reporting purposes and tax basis of its assets and liabilities. Deferred tax assets increased $0.3 million during the nine months ended September 30, 2022 as a result of changes to temporary timing differences associated with accounting for bad debts.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September 30, 2022.</w:t>
      </w:r>
    </w:p>
    <w:p>
      <w:pPr>
        <w:spacing w:after="0" w:line="16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the nine months ended September 30, 2022 and 2021, income tax expense was $8.5 million and $7.3 million, respectively, resulting in an effective income tax rate of 31.3% and 25.3%, respectively. The effective tax rate differs from the statutory rate of 24.9% during the nine months ended September 30, 2022 due primarily to nondeductible wages, state taxes and the tax effect of stock-based compensation. The effective tax rate differs from the statutory rate of 24.9% during the nine months ended September 30, 2021 due primarily to the tax effect of stock-based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at September 30,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Out-of-period adjustment </w:t>
      </w:r>
      <w:r>
        <w:rPr>
          <w:rFonts w:ascii="Arial" w:cs="Arial" w:eastAsia="Arial" w:hAnsi="Arial"/>
          <w:sz w:val="17"/>
          <w:szCs w:val="17"/>
          <w:color w:val="auto"/>
        </w:rPr>
        <w:t>– During the third quarter of 2022, the Company identified an error in the calculation of the Company’s tax provision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9 months ended September 30, 2022, and a decrease to after-tax income of $(1.4) million for the 3 months ended September 30, 2022. The Company has concluded that these amounts would not have been material to its net income for the 12 months ended December 31, 2021, or to its expected net income for the 12 months ended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grant loans to certain executive officers and directors and the companies with which they are associated. The Company had loans outstanding to related parties of $0.0 million as of September 30, 2022 and December 31, 2021. Total deposits from certain executive officers and directors and the companies with which they are associated were $1.0 million and $0.5 million as of September 30, 2022 and December 31, 2021,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the components used to derive basic and diluted EPS for the three and nine months ended September 30, 2022 and 2021 ($ 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200" w:type="dxa"/>
            <w:vAlign w:val="bottom"/>
          </w:tcPr>
          <w:p>
            <w:pPr>
              <w:spacing w:after="0"/>
              <w:rPr>
                <w:sz w:val="20"/>
                <w:szCs w:val="20"/>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Ended 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21,472</w:t>
            </w:r>
          </w:p>
        </w:tc>
      </w:tr>
      <w:tr>
        <w:trPr>
          <w:trHeight w:val="223"/>
        </w:trPr>
        <w:tc>
          <w:tcPr>
            <w:tcW w:w="5980" w:type="dxa"/>
            <w:vAlign w:val="bottom"/>
          </w:tcPr>
          <w:p>
            <w:pPr>
              <w:ind w:left="180"/>
              <w:spacing w:after="0" w:line="216" w:lineRule="exact"/>
              <w:rPr>
                <w:sz w:val="20"/>
                <w:szCs w:val="20"/>
                <w:color w:val="auto"/>
              </w:rPr>
            </w:pPr>
            <w:r>
              <w:rPr>
                <w:rFonts w:ascii="Arial" w:cs="Arial" w:eastAsia="Arial" w:hAnsi="Arial"/>
                <w:sz w:val="16"/>
                <w:szCs w:val="16"/>
                <w:color w:val="auto"/>
              </w:rPr>
              <w:t>Amount allocated to participating common shareholders</w:t>
            </w:r>
            <w:r>
              <w:rPr>
                <w:rFonts w:ascii="Arial" w:cs="Arial" w:eastAsia="Arial" w:hAnsi="Arial"/>
                <w:sz w:val="25"/>
                <w:szCs w:val="25"/>
                <w:color w:val="auto"/>
                <w:vertAlign w:val="superscript"/>
              </w:rPr>
              <w:t>(1)</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 to common shareholders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12,784,298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8,255,953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12,727,555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8,177,575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466,217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318,926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88,659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134,269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13,324,059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8,810,829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13,404,564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8,545,501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share,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earnings attributable to holders of unvested restricted stock issued outside of the 2016 Plan and 2019 Plan to the Company’s employees for the three or nine months ended September 30,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378,684 and 563,062 anti-dilutive options for the nine months ended September 30, 2022 and 2021, respectively, reported in the table above. There were 135,731 shares and 221,000 anti-dilutive warrants for the nine months ended September 30, 2022 and 2021, respectively, reported in the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revenue disaggregated by contracts with customers and revenue outside the scope of ASC 606: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Ended September 30,</w:t>
            </w:r>
          </w:p>
        </w:tc>
        <w:tc>
          <w:tcPr>
            <w:tcW w:w="240" w:type="dxa"/>
            <w:vAlign w:val="bottom"/>
          </w:tcPr>
          <w:p>
            <w:pPr>
              <w:spacing w:after="0"/>
              <w:rPr>
                <w:sz w:val="20"/>
                <w:szCs w:val="20"/>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income</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income, not-in-scope</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33,635</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interest income</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12,823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39,059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in-scope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set up fees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not in-scope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service charges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7,523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560" w:type="dxa"/>
            <w:vAlign w:val="bottom"/>
            <w:vMerge w:val="restart"/>
          </w:tcPr>
          <w:p>
            <w:pPr>
              <w:jc w:val="right"/>
              <w:ind w:right="194"/>
              <w:spacing w:after="0"/>
              <w:rPr>
                <w:sz w:val="20"/>
                <w:szCs w:val="20"/>
                <w:color w:val="auto"/>
              </w:rPr>
            </w:pPr>
            <w:r>
              <w:rPr>
                <w:rFonts w:ascii="Arial" w:cs="Arial" w:eastAsia="Arial" w:hAnsi="Arial"/>
                <w:sz w:val="14"/>
                <w:szCs w:val="14"/>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 The Company has evaluated subsequent events through November 14, 2022, which is the date the unaudited consolidated financial statements are available to be issued.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thereto and other financial information included elsewhere in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All dollar amounts in the tables in this section are in thousands of dollars, except per share data or where otherwise specifically noted. Unless otherwise stated, all information in this Report gives effect to a six-for-one stock split of our common stock completed effective July 26, 2021. The effect of the stock split on outstanding shares and per share figures has been retroactively applied to all periods presented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 Utah corporation and the parent company of FinWise Bank.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See “Supervision and Regulation.”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lending focuses on four main lending areas: (i) SBA 7(a) loans, (ii) Strategic Programs, (iii) residential and commercial real estate and (iv) consumer lending. For a description and analysis of the Company’s loan categories, see “—Financial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 Pandemic</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The economic turbulence spawned by the Covid-19 pandemic left many banks with potential credit quality and income issues. These issues are further compounded by uncertainties regarding the length, depth and possible resurgence of the pandemic and its ultimate long-term effects on the economy.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the EIDL and the PPP, both of which are being administered by the SBA. Additionally, the United States government agreed to make six months of payments on SBA loans and increase the SBA guaranty on SBA 7(a) loans to 90% for loans originated from February 1, 2020 through September 30, 2021. The SBA has made the full monthly P&amp;I payments with respect to our qualifying SBA 7(a) customers in “regular servicing” status for six months. For most of our SBA portfolio (the legacy loans), the SBA made borrowers’ principal and interest payments from April 2020 through September 2020. These were officially referred to as First Round Section 1112 Payments, as they derived from Section 1112 of the CARES Act. To be eligible for the full six months of First Round Section 1112 Payments, the SBA loans were required to be: (i) in “regular servicing” status; (ii) approved by the SBA before March 27, 2020; and (iii) fully disbursed by September 27, 2020. Under the Economic Aid Act, the SBA will make an additional two payments for eligible SBA customers, capped at $9,000 per month per loan. Borrowers with loan payments above $9,000 per month are responsible for paying the difference. For our legacy portfolio, the SBA made payment on the lesser of a borrower’s monthly principal and interest payment or $9,000 per month from February 2021 through March 2021. These are referred to as Second Round Section 1112 Payments.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SBA released a list of NAICS codes deemed to have been particularly affected by the Covid-19 pandemic. SBA customers who met all other Section 1112 qualifying criteria and operated within certain NAICS codes, are entitled to an additional three months of payments which were completed in 2021. As of December 31, 2021, the Bank had 30 qualifying SBA loans totaling approximately $4.5 million in SBA 7(a) unguaranteed balance that received an additional three months of Second Round Section 1112 Payments, which were capped at $9,000 per month and per loan. As of September 30, 2022, 4 of the 30 qualifying SBA loans have been paid in full. The remaining 26 loans are performing and total approximately $3.9 million in SBA 7(a) unguaranteed balance. As of September 30, 2022, none of the remaining 26 loans are entitled to additional Section 1112 payments. We ceased originating PPP loans after 2020.</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 Bank’s diversified loan portfolio and associated revenue streams have enabled the Bank to withstand the adverse conditions relating to the Covid-19 pandemic. For the three months ended September 30, 2022 the provision for loan losses amounted to $4.5 million. For the three months ended September 30, 2021, the provision for loan losses amounted to $3.4 million. For the nine months ended September 30, 2022 the provision for loan losses amounted to $10.3 million. For the nine months ended September 30, 2021, the provision for loan losses amounted to $5.5 million. While some of the adverse conditions relating to the Covid-19 pandemic began to reverse in 2021, sustained improvements are highly dependent upon strengthening economic conditions. The Covid-19 pandemic continues to cause economic uncertainties which may again result in these and other adverse impacts to our financial condition and results of operations. We believe our SBA 7(a) underwriting program has remained strong throughout the Covid-19 pandemic and our SBA 7(a) loans are well collateralized when compared to the SBA industry in general.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8"/>
                <w:szCs w:val="18"/>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Ended September 30,</w:t>
            </w:r>
          </w:p>
        </w:tc>
        <w:tc>
          <w:tcPr>
            <w:tcW w:w="240" w:type="dxa"/>
            <w:vAlign w:val="bottom"/>
          </w:tcPr>
          <w:p>
            <w:pPr>
              <w:spacing w:after="0"/>
              <w:rPr>
                <w:sz w:val="20"/>
                <w:szCs w:val="20"/>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Ended September 30,</w:t>
            </w:r>
          </w:p>
        </w:tc>
      </w:tr>
      <w:tr>
        <w:trPr>
          <w:trHeight w:val="223"/>
        </w:trPr>
        <w:tc>
          <w:tcPr>
            <w:tcW w:w="37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Non-interest income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22,715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(21,140)</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(3,462)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(2,738)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(8,462)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(7,273)</w:t>
            </w:r>
          </w:p>
        </w:tc>
      </w:tr>
      <w:tr>
        <w:trPr>
          <w:trHeight w:val="257"/>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740" w:type="dxa"/>
            <w:vAlign w:val="bottom"/>
          </w:tcPr>
          <w:p>
            <w:pPr>
              <w:spacing w:after="0"/>
              <w:rPr>
                <w:sz w:val="24"/>
                <w:szCs w:val="24"/>
                <w:color w:val="auto"/>
              </w:rPr>
            </w:pPr>
          </w:p>
        </w:tc>
        <w:tc>
          <w:tcPr>
            <w:tcW w:w="2240" w:type="dxa"/>
            <w:vAlign w:val="bottom"/>
          </w:tcPr>
          <w:p>
            <w:pPr>
              <w:jc w:val="right"/>
              <w:ind w:right="208"/>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for the three months ended September 30, 2022 was $3.7 million, a decrease of $4.7 million or 56.7% from net income of $8.4 million for the three months ended September 30, 2021. The decrease was primarily due to an increase of $1.1 million or 32.4% in provision for loan losses, an increase of $1.1 million or 14.5% in non-interest expense, a decrease of $1.0 million or 11.2% in non-interest income, and a decrease of $1.0 million or 6.7% in interest income, as described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nine months ended September 30, 2022 was $18.6 million, a decrease of $2.9 million or 13.5% from net income of $21.5 million for the nine months ended September 30, 2021. The decrease was primarily due to an increase of $7.4 million or 35.0% in non-interest expense and an increase of $4.8 million or 86.4% in provision for loan losses, partially offset by an increase of $5.4 million or 15.9% in interest income and an increase of $4.9 million or 21.7% in non-interest income,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Interest Margin Analysis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was the primary contributor to our earnings in 2022 and 2021.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September 30, 2022, our net interest income decreased $1.0 million, or 7.1%, to $12.5 million compared to the three months ended September 30, 2021. This decrease was primarily due to lower average loans held for sale balances. Average loans held for sale balances decreased by $14.8 million or 22.6% to $50.5 million for the three months ended September 30, 2022 compared to the three months ended September 30, 2021. Average interest earning assets increased by $41.0 million, or 14.0%, to $335.4 million for the three months ended September 30, 2022 compared to the three months ended September 30, 2021, while the related yield on average interest earning assets decreased by 339 basis points to 15.30%, resulting in interest income for the three months ended September 30, 2022 of $12.8 million. A loan mix shift towards loans carrying lower yields within the Strategic Program held for sale portfolio during the three months ended September 30, 2022 contributed to the decrease in yield on average interest earning assets for the period. The corresponding cost of funds on interest bearing liabilities for the three months ended September 30, 2022 increased by 24 basis points to 1.16%, and the average balance in interest bearing liabilities decreased by $16.5 million to $105.1 million, or 13.5%, compared to the prior year period. The slight increase in cost of funds was primarily due to the launch in September 2022 of demand deposits sourced through Lively, Inc., a Health Savings Account (HSA) provider, partially offset by the maturity of higher rate time deposits during 2022. We gather deposits in the Salt Lake City, Utah MSA through our one branch and nationwide from our Strategic Program service providers, SBA 7(a) borrowers, demand deposits sourced through Lively, Inc., Institutional Deposit exchanges, and brokered deposit arrangements. For the three months ended September 30, 2022, average outstanding balances under our PPPLF decreased compared to the three months ended September 30, 2021, due primarily to the decrease in PPP loan balances. Our net interest margin decreased to 14.93% from 18.31% for the three months ended September 30, 2022 and 2021, respectively.</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nine months ended September 30, 2022, our net interest income increased $5.5 million, or 16.9%, to $38.2 million compared to the nine months ended September 30, 2021. This increase was primarily due to growth in average interest earning assets and a decrease in our cost of funds, partially offset by a decline in asset yields. Average interest earning assets increased by $64.3 million, or 21.4%, to $365.2 million for the nine months ended September 30, 2022 compared to the nine months ended September 30, 2021, while the related yield on average interest earning assets decreased by 67 basis points to 14.26%, resulting in interest income for the nine months ended September 30, 2022 of $39.1 million. A substantial decrease in the average balances of comparatively low yielding PPP loans and increase in average balances of Strategic Program held for sale loans during the nine months ended September 30, 2022 contributed to the increase in yield on average interest earning assets for the period. The corresponding cost of funds on interest bearing liabilities for the nine months ended September 30, 2022 declined by 4 basis points to 0.88%, and the average balance in interest bearing liabilities decreased by $20.9 million to $122.1 million, or 14.6%, compared to the prior year period. The maturity of higher rate time deposits during 2022 is the primary cause for the decline in the cost of funds. For the nine months ended September 30, 2022, average outstanding balances under our PPPLF decreased compared to the nine months ended September 30, 2021, due primarily to the decrease in PPP loan balances. Our net interest margin decreased to 13.96% from 14.49% for the nine months ended September 30, 2022 and 2021, respectively.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Average Balances and Yields</w:t>
      </w:r>
      <w:r>
        <w:rPr>
          <w:rFonts w:ascii="Arial" w:cs="Arial" w:eastAsia="Arial" w:hAnsi="Arial"/>
          <w:sz w:val="17"/>
          <w:szCs w:val="17"/>
          <w:color w:val="auto"/>
        </w:rPr>
        <w:t>. The following table presents average balances for assets and liabilities, the total dollar amounts of interest income from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$0.2 million (including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SBA fees related to PPP loans) and $0.7 million (including approximately $0.2 million in SBA fees related to PPP loans) included in interest income on loans for the three months ended September 30, 2022 and 2021, respectively. Loan fees are included in interest income on loans and represent a net cost of approximately $0.1 million (including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SBA fees related to PPP loans) for the nine months ended September 30, 2022, and $3.2 million (including approximately $1.8 million in SBA fees related to PPP loans) of net loan fees are included in interest income on loans for the nine months ended September 30, 2021. Average balances have been calculated using daily averages.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Interest-bearing deposits with the 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Reserve, non-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central banks and other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12,418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50,516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38.56%</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213,080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7,948</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173,068</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17.18%</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294,291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13,749</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ALL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(10,768)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(8,083)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32,626</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18,846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357,209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305,054</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Demand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11,857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3.81%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20,615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22,274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64,789</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76,127</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104,775</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56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112,226</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0.97%</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121,591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107,342</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17,542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13,076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357,209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305,054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interest income and interest rate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Ratio of average interest-earning assets to</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1"/>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bearing liabilities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242.03%</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w w:val="92"/>
              </w:rPr>
              <w:t>Nine Months Ended September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Interest-bearing deposits with the 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Reserve, non-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central banks and other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73,147</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39.59%</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206,577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21,254</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198,766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18,727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365,242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ALL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(6,908)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29,732</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384,457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308,582</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Demand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8,616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7,211</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19,641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75,836</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61,587</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121,405</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56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0.89%</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94,838</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142,971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15,857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9,732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384,457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308,582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tabs>
          <w:tab w:leader="none" w:pos="4600" w:val="left"/>
          <w:tab w:leader="none" w:pos="5220" w:val="left"/>
          <w:tab w:leader="none" w:pos="6640" w:val="left"/>
          <w:tab w:leader="none" w:pos="8620" w:val="left"/>
          <w:tab w:leader="none" w:pos="9240" w:val="left"/>
          <w:tab w:leader="none" w:pos="10660" w:val="left"/>
        </w:tabs>
        <w:rPr>
          <w:sz w:val="20"/>
          <w:szCs w:val="20"/>
          <w:color w:val="auto"/>
        </w:rPr>
      </w:pPr>
      <w:r>
        <w:rPr>
          <w:rFonts w:ascii="Arial" w:cs="Arial" w:eastAsia="Arial" w:hAnsi="Arial"/>
          <w:sz w:val="18"/>
          <w:szCs w:val="18"/>
          <w:color w:val="auto"/>
        </w:rPr>
        <w:t>Net interest income and interest rate spread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38,249</w:t>
      </w:r>
      <w:r>
        <w:rPr>
          <w:sz w:val="20"/>
          <w:szCs w:val="20"/>
          <w:color w:val="auto"/>
        </w:rPr>
        <w:tab/>
      </w:r>
      <w:r>
        <w:rPr>
          <w:rFonts w:ascii="Arial" w:cs="Arial" w:eastAsia="Arial" w:hAnsi="Arial"/>
          <w:sz w:val="18"/>
          <w:szCs w:val="18"/>
          <w:color w:val="auto"/>
        </w:rPr>
        <w:t>13.38%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32,706</w:t>
      </w:r>
      <w:r>
        <w:rPr>
          <w:sz w:val="20"/>
          <w:szCs w:val="20"/>
          <w:color w:val="auto"/>
        </w:rPr>
        <w:tab/>
      </w:r>
      <w:r>
        <w:rPr>
          <w:rFonts w:ascii="Arial" w:cs="Arial" w:eastAsia="Arial" w:hAnsi="Arial"/>
          <w:sz w:val="15"/>
          <w:szCs w:val="15"/>
          <w:color w:val="auto"/>
        </w:rPr>
        <w:t>14.01%</w:t>
      </w:r>
    </w:p>
    <w:p>
      <w:pPr>
        <w:sectPr>
          <w:pgSz w:w="11900" w:h="16838" w:orient="portrait"/>
          <w:cols w:equalWidth="0" w:num="1">
            <w:col w:w="11240"/>
          </w:cols>
          <w:pgMar w:left="320" w:top="121" w:right="33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interest margin</w:t>
            </w:r>
          </w:p>
        </w:tc>
        <w:tc>
          <w:tcPr>
            <w:tcW w:w="5700" w:type="dxa"/>
            <w:vAlign w:val="bottom"/>
            <w:gridSpan w:val="3"/>
          </w:tcPr>
          <w:p>
            <w:pPr>
              <w:jc w:val="right"/>
              <w:ind w:right="2780"/>
              <w:spacing w:after="0"/>
              <w:rPr>
                <w:sz w:val="20"/>
                <w:szCs w:val="20"/>
                <w:color w:val="auto"/>
              </w:rPr>
            </w:pPr>
            <w:r>
              <w:rPr>
                <w:rFonts w:ascii="Arial" w:cs="Arial" w:eastAsia="Arial" w:hAnsi="Arial"/>
                <w:sz w:val="18"/>
                <w:szCs w:val="18"/>
                <w:color w:val="auto"/>
              </w:rPr>
              <w:t>13.96%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14.49%</w:t>
            </w:r>
          </w:p>
        </w:tc>
      </w:tr>
      <w:tr>
        <w:trPr>
          <w:trHeight w:val="21"/>
        </w:trPr>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Ratio of average interest-earning assets to</w:t>
            </w:r>
          </w:p>
        </w:tc>
        <w:tc>
          <w:tcPr>
            <w:tcW w:w="1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71"/>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bearing liabilities</w:t>
            </w:r>
          </w:p>
        </w:tc>
        <w:tc>
          <w:tcPr>
            <w:tcW w:w="5700" w:type="dxa"/>
            <w:vAlign w:val="bottom"/>
            <w:gridSpan w:val="3"/>
            <w:shd w:val="clear" w:color="auto" w:fill="CCEEFF"/>
          </w:tcPr>
          <w:p>
            <w:pPr>
              <w:jc w:val="right"/>
              <w:ind w:right="2780"/>
              <w:spacing w:after="0"/>
              <w:rPr>
                <w:sz w:val="20"/>
                <w:szCs w:val="20"/>
                <w:color w:val="auto"/>
              </w:rPr>
            </w:pPr>
            <w:r>
              <w:rPr>
                <w:rFonts w:ascii="Arial" w:cs="Arial" w:eastAsia="Arial" w:hAnsi="Arial"/>
                <w:sz w:val="18"/>
                <w:szCs w:val="18"/>
                <w:color w:val="auto"/>
              </w:rPr>
              <w:t>299.25%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210.51%</w:t>
            </w:r>
          </w:p>
        </w:tc>
      </w:tr>
      <w:tr>
        <w:trPr>
          <w:trHeight w:val="562"/>
        </w:trPr>
        <w:tc>
          <w:tcPr>
            <w:tcW w:w="428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jc w:val="right"/>
              <w:ind w:right="156"/>
              <w:spacing w:after="0"/>
              <w:rPr>
                <w:sz w:val="20"/>
                <w:szCs w:val="20"/>
                <w:color w:val="auto"/>
              </w:rPr>
            </w:pPr>
            <w:r>
              <w:rPr>
                <w:rFonts w:ascii="Arial" w:cs="Arial" w:eastAsia="Arial" w:hAnsi="Arial"/>
                <w:sz w:val="14"/>
                <w:szCs w:val="14"/>
                <w:color w:val="auto"/>
              </w:rPr>
              <w:t>36</w:t>
            </w:r>
          </w:p>
        </w:tc>
        <w:tc>
          <w:tcPr>
            <w:tcW w:w="1120" w:type="dxa"/>
            <w:vAlign w:val="bottom"/>
            <w:tcBorders>
              <w:top w:val="single" w:sz="8" w:color="auto"/>
            </w:tcBorders>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Rate/Volume Analysis. </w:t>
      </w:r>
      <w:r>
        <w:rPr>
          <w:rFonts w:ascii="Arial" w:cs="Arial" w:eastAsia="Arial" w:hAnsi="Arial"/>
          <w:sz w:val="18"/>
          <w:szCs w:val="18"/>
          <w:color w:val="auto"/>
        </w:rPr>
        <w:t>The following table sets forth the effects of changing rates and volumes on our net interest income based on average balances.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38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0"/>
              </w:rPr>
              <w:t>Three Months Ended September 30,</w:t>
            </w:r>
          </w:p>
        </w:tc>
        <w:tc>
          <w:tcPr>
            <w:tcW w:w="240" w:type="dxa"/>
            <w:vAlign w:val="bottom"/>
          </w:tcPr>
          <w:p>
            <w:pPr>
              <w:spacing w:after="0"/>
              <w:rPr>
                <w:sz w:val="20"/>
                <w:szCs w:val="20"/>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3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7"/>
              </w:rPr>
              <w:t>2022 vs 2021</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7"/>
              </w:rPr>
              <w:t>2022 vs 2021</w:t>
            </w: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6"/>
          </w:tcPr>
          <w:p>
            <w:pPr>
              <w:jc w:val="center"/>
              <w:ind w:left="510"/>
              <w:spacing w:after="0" w:line="198" w:lineRule="exact"/>
              <w:rPr>
                <w:sz w:val="20"/>
                <w:szCs w:val="20"/>
                <w:color w:val="auto"/>
              </w:rPr>
            </w:pPr>
            <w:r>
              <w:rPr>
                <w:rFonts w:ascii="Arial" w:cs="Arial" w:eastAsia="Arial" w:hAnsi="Arial"/>
                <w:sz w:val="18"/>
                <w:szCs w:val="18"/>
                <w:b w:val="1"/>
                <w:bCs w:val="1"/>
                <w:color w:val="auto"/>
                <w:w w:val="88"/>
              </w:rPr>
              <w:t>Increase (Decrease) Due to</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6"/>
          </w:tcPr>
          <w:p>
            <w:pPr>
              <w:jc w:val="center"/>
              <w:ind w:left="470"/>
              <w:spacing w:after="0" w:line="198" w:lineRule="exact"/>
              <w:rPr>
                <w:sz w:val="20"/>
                <w:szCs w:val="20"/>
                <w:color w:val="auto"/>
              </w:rPr>
            </w:pPr>
            <w:r>
              <w:rPr>
                <w:rFonts w:ascii="Arial" w:cs="Arial" w:eastAsia="Arial" w:hAnsi="Arial"/>
                <w:sz w:val="18"/>
                <w:szCs w:val="18"/>
                <w:b w:val="1"/>
                <w:bCs w:val="1"/>
                <w:color w:val="auto"/>
                <w:w w:val="88"/>
              </w:rPr>
              <w:t>Increase (Decrease) Due to</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Change in:</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Change in:</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92"/>
              </w:rPr>
              <w:t>Volume</w:t>
            </w:r>
          </w:p>
        </w:tc>
        <w:tc>
          <w:tcPr>
            <w:tcW w:w="300" w:type="dxa"/>
            <w:vAlign w:val="bottom"/>
          </w:tcPr>
          <w:p>
            <w:pPr>
              <w:spacing w:after="0"/>
              <w:rPr>
                <w:sz w:val="17"/>
                <w:szCs w:val="17"/>
                <w:color w:val="auto"/>
              </w:rPr>
            </w:pPr>
          </w:p>
        </w:tc>
        <w:tc>
          <w:tcPr>
            <w:tcW w:w="840" w:type="dxa"/>
            <w:vAlign w:val="bottom"/>
          </w:tcPr>
          <w:p>
            <w:pPr>
              <w:jc w:val="right"/>
              <w:ind w:right="270"/>
              <w:spacing w:after="0" w:line="201"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580"/>
              <w:spacing w:after="0" w:line="201" w:lineRule="exact"/>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7"/>
                <w:szCs w:val="17"/>
                <w:color w:val="auto"/>
              </w:rPr>
            </w:pPr>
          </w:p>
        </w:tc>
        <w:tc>
          <w:tcPr>
            <w:tcW w:w="800" w:type="dxa"/>
            <w:vAlign w:val="bottom"/>
          </w:tcPr>
          <w:p>
            <w:pPr>
              <w:jc w:val="right"/>
              <w:ind w:right="270"/>
              <w:spacing w:after="0" w:line="201" w:lineRule="exact"/>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Interest-bearing deposits with the Federal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non-U.S. central banks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banks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net interest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provision for loan losses is a charge to income to bring our ALL to a level deemed appropriate by management and approved by our board of directors. We determine the provision for loan losses monthly in connection with our monthly evaluation of the adequacy of our ALL. For a description of the factors we considered in determining the ALL see “—Financial Condition—Allowance for Loan Losses” and “—Critical Accounting Policies and Estimates.”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provision for loan losses was $4.5 million and $3.4 million for the three months ended September 30, 2022 and 2021, respectively. Our provision for loan losses was $10.3 million and $5.5 million for the nine months ended September 30, 2022 and 2021, respectively. The increase over both comparative periods was primarily due to higher net charge-offs and growth in unguaranteed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Three Months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(953)</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 loan servicing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on investment in BFG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414.3%</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7,523</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8,475</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(952)</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2022, total noninterest income decreased $1.0 million, or 11.2%, to $7.5 million compared to the three months ended September 30, 2021. This decrease was primarily due to the decrease in gain on sale of loans. The decrease in gain on sale of loans was mainly due to a decrease in the premium received for SBA 7(a) loans sold.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Nine Months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7,876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c>
          <w:tcPr>
            <w:tcW w:w="4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 loan servicing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on investment in BFG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(3,035)</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245.7%</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27,636</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22,715</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4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nine months ended September 30, 2022, total noninterest income increased $4.9 million, or 21.7%, to $27.6 million compared to the nine months ended September 30, 2021. This increase was primarily due to the increase in Strategic Program fees and gain on sale of loans. The increase in Strategic Program fees was primarily due to the increase in loan origination volume in the Strategic Program. The increase in gain on sale of loans was primarily due to the increase in the number of SBA 7(a) loans sold during the nine months ended September 30, 2022. These increases were partially offset by a decrease in the fair value of the Company’s investment in BFG due primarily to the softening of comparable company values used in determining BFG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has increased as we have become a public company, grown, expanded and modernized our operational infrastructure and implemented our plan to build an efficient, technology-driven banking operation with significant capacity for growth.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72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for the periods indicated, the major categories of noninterest expense: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Three Months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4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572.3%</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equipment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(Recovery) impairment of SBA servicing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7"/>
        </w:trPr>
        <w:tc>
          <w:tcPr>
            <w:tcW w:w="102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8,469</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7,398</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4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0"/>
        </w:trPr>
        <w:tc>
          <w:tcPr>
            <w:tcW w:w="10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2022, total noninterest expense increased $1.1 million, or 14.5%, to $8.5 million compared to the three months ended September 30, 2021. This increase was primarily due to the increase in professional services, partially offset by a reduction in salaries and employee benefits. For the three months ended September 30, 2022, professional services increased $1.4 million, or 572.3%, to $1.7 million compared to the three months ended September 30, 2021. This increase was primarily due to an increase in consulting fees as well as legal and audit fees. For the three months ended September 30, 2022, salaries and employee benefits decreased $0.8 million, or 13.4%, to $5.1 million compared to the three months ended September 30, 2021. This decrease was primarily due to the cessation in June 2022 of commission accruals related to the Company’s strategic lending program.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Nine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3,083</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Occupancy and equipment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(Recovery) impairment of SBA servicing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28,536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21,140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nine months ended September 30, 2022, total noninterest expense increased $7.4 million, or 35.0%, to $28.5 million compared to the nine months ended September 30, 2021. This increase was primarily due to the increase in professional services, salaries and employee benefits, and impairment of the Company’s SBA servicing asset. For the nine months ended September 30, 2022, professional services increased $3.1 million, or 404.6%, to $3.8 million compared to the nine months ended September 30, 2021. This increase was primarily due to increased consulting fees as well as legal and audit fees. For the nine months ended September 30, 2022, salaries and employee benefits increased $2.4 million, or 14.5%, to $18.7 million compared to the nine months ended September 30, 2021. This increase was primarily due to the increased number of employees as compared to the nine months ended September 30, 2021. The increase in employees during this timeframe coincided with an increase in Strategic Program loan volume and the expansion of our information technology and security division to support enhancements in our infrastructure, and an increase in contractual bonuses paid relating to the expansion of the Strategic Programs in the first half of 2022. For the nine months ended September 30, 2022, an impairment of the Company’s SBA servicing asset was recognized for $0.9 million due primarily to rising market interest rates and market-wide increasing prepayment speeds on SBA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SBA 7(a) Loans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originate and service loans partially guaranteed by the SBA under its Section 7(a) loan program. SBA 7(a) loans are made to small businesses and professionals throughout the USA. As of September 30, 2022 and December 31, 2021, we had total SBA 7(a) loans of $126.8 million and $141.3 million, respectively, representing 49.3% and 53.2%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 In light of suppressed gain-on-sale premiums and increasing variable loan rates during 2022, we plan to keep on our balance sheet a greater amount of the guaranteed portion of certain SBA loans that we originate, which we believe will benefit the Company through stronger government guaranteed held for investment loan growth and an increased recurring stream of interest income and partially offset the expected decline of gain-on-sale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Paycheck Protection Program Loans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of September 30, 2022 and December 31, 2021, we had total PPP loans of $0.7 million and $1.1 million, respectively, representing 0.3% and 0.4% of our total loans, respectively. The PPP loans also resulted in fees paid by the SBA to the originating bank for processing PPP loans, which fees are accreted into interest income over the life of the applicable loans. If a PPP loan is forgiven or paid off before maturity, the remaining unearned fee is recognized into income at that time. For the three months ended September 30, 2021, the Company recognized a total of $0.2 million in PPP-related accreted fees ($0.2 million of which were accelerated due to loan forgiveness).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was recognized during the three months ended September 30, 2022 and a </w:t>
      </w:r>
      <w:r>
        <w:rPr>
          <w:rFonts w:ascii="Arial" w:cs="Arial" w:eastAsia="Arial" w:hAnsi="Arial"/>
          <w:sz w:val="16"/>
          <w:szCs w:val="16"/>
          <w:i w:val="1"/>
          <w:iCs w:val="1"/>
          <w:color w:val="auto"/>
        </w:rPr>
        <w:t xml:space="preserve">de minimis </w:t>
      </w:r>
      <w:r>
        <w:rPr>
          <w:rFonts w:ascii="Arial" w:cs="Arial" w:eastAsia="Arial" w:hAnsi="Arial"/>
          <w:sz w:val="16"/>
          <w:szCs w:val="16"/>
          <w:color w:val="auto"/>
        </w:rPr>
        <w:t>amount of deferred fees remained as of September 30, 2022. For the nine months ended September 30, 2021, the Company recognized a total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$1.8 million in PPP-related accreted fees ($1.4 million of which were accelerated due to loan forgiveness).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was recognized during the nine months ended September 30, 2022 and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deferred fees remained as of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non-real estate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Commercial non-real estate loans consist of loans and leases made to commercial enterprises that are not secured by real estate. As of September 30, 2022 and December 31, 2021, we had total commercial non-real estate loans of $13.0 million and $3.4 million, respectively, representing 5.1% and 1.3% of our total loans,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September 30, 2022 and December 31, 2021, we had total residential real estate loans of $34.5 million and $27.1 million, respectively, representing 13.4% and 10.2%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Program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through our Strategic Program service providers, issue, on a nationwide basis, unsecured consumer and secured or unsecured business loans to borrowers within certain approved credit profiles. As of September 30, 2022 and December 31, 2021, we had total Strategic Program loans of $70.3 million and $85.9 million, respectively, representing 27.4% and 32.3% of our total loans,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we may choose to hold more of the funded loans and/or receivables. We reserve the right to sell any portion of funded loans and/or receivables directly to the Strategic Program service providers or other investors. We retain the legal right to service all these loans, but contract with the Strategic Program service provider or another approved sub-servicer to service these loans on our behalf.</w:t>
      </w:r>
    </w:p>
    <w:p>
      <w:pPr>
        <w:sectPr>
          <w:pgSz w:w="11900" w:h="16838" w:orient="portrait"/>
          <w:cols w:equalWidth="0" w:num="1">
            <w:col w:w="11240"/>
          </w:cols>
          <w:pgMar w:left="320" w:top="122" w:right="339" w:bottom="814"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14"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September 30, 2022 and December 31, 2021, we had total commercial real estate loans of $6.1 million and $2.4 million, respectively, representing 2.4% and 0.9%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September 30, 2022 and December 31, 2021, we had total consumer loans of $5.4 million and $4.6 million, respectively, representing 2.1% and 1.7%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Program Summary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loan portfolio by loan program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As of 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41"/>
        </w:trPr>
        <w:tc>
          <w:tcPr>
            <w:tcW w:w="3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3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380"/>
              <w:spacing w:after="0" w:line="198"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ind w:left="38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r>
      <w:tr>
        <w:trPr>
          <w:trHeight w:val="216"/>
        </w:trPr>
        <w:tc>
          <w:tcPr>
            <w:tcW w:w="3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loans</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loans</w:t>
            </w:r>
          </w:p>
        </w:tc>
        <w:tc>
          <w:tcPr>
            <w:tcW w:w="180" w:type="dxa"/>
            <w:vAlign w:val="bottom"/>
            <w:tcBorders>
              <w:bottom w:val="single" w:sz="8" w:color="CCEEFF"/>
            </w:tcBorders>
          </w:tcPr>
          <w:p>
            <w:pPr>
              <w:spacing w:after="0"/>
              <w:rPr>
                <w:sz w:val="20"/>
                <w:szCs w:val="20"/>
                <w:color w:val="auto"/>
              </w:rPr>
            </w:pPr>
          </w:p>
        </w:tc>
      </w:tr>
      <w:tr>
        <w:trPr>
          <w:trHeight w:val="216"/>
        </w:trPr>
        <w:tc>
          <w:tcPr>
            <w:tcW w:w="3720" w:type="dxa"/>
            <w:vAlign w:val="bottom"/>
            <w:shd w:val="clear" w:color="auto" w:fill="CCEEFF"/>
          </w:tcPr>
          <w:p>
            <w:pPr>
              <w:spacing w:after="0" w:line="216" w:lineRule="exact"/>
              <w:rPr>
                <w:sz w:val="20"/>
                <w:szCs w:val="20"/>
                <w:color w:val="auto"/>
              </w:rPr>
            </w:pPr>
            <w:r>
              <w:rPr>
                <w:rFonts w:ascii="Arial" w:cs="Arial" w:eastAsia="Arial" w:hAnsi="Arial"/>
                <w:sz w:val="25"/>
                <w:szCs w:val="25"/>
                <w:color w:val="auto"/>
                <w:vertAlign w:val="subscript"/>
              </w:rPr>
              <w:t>SBA</w:t>
            </w:r>
            <w:r>
              <w:rPr>
                <w:rFonts w:ascii="Arial" w:cs="Arial" w:eastAsia="Arial" w:hAnsi="Arial"/>
                <w:sz w:val="12"/>
                <w:szCs w:val="12"/>
                <w:color w:val="auto"/>
              </w:rPr>
              <w:t>(1)</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12,970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70,290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Consumer</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5,455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41"/>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256,820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SBA loans as of September 30, 2022 and December 31, 2021 includes approximately $0.7 million and $1.1 million of PPP loans. SBA loans as of September 30, 2022 and December 31, 2021 include $42.6 million and $75.7 million, respectively, of SBA 7(a) loan balances that are guaranteed by the SBA.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Maturity and Sensitivity to Changes in Interest Rates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2022, including the impact of PPP loans, $121.2 million, or 56.9%, of the total held for investment loan balance matures in less than five years. Loans maturing in greater than five years totaled $92.0 million as of September 30, 2022. The variable rate portion of our total held for investment loan portfolio at September 30, 2022 was $159.0 million, or 74.6%. As of December 31, 2021, including the impact of PPP loans, $103.1 million, or 50.3%, of the total held for investment loan balance matures in less than five years. Loans maturing in greater than five years totaled $101.9 million as of December 31, 2021. The variable rate portion of our total held for investment loan portfolio at December 31, 2021 was $163.8 million, or 79.9%. The variable rate portion of the total held for investment loans reflects our strategy to minimize interest rate risk through the use of variable rate products.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maturities and sensitivity to interest rate changes for our loan portfolio at September 30,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r>
              <w:rPr>
                <w:rFonts w:ascii="Arial" w:cs="Arial" w:eastAsia="Arial" w:hAnsi="Arial"/>
                <w:sz w:val="18"/>
                <w:szCs w:val="18"/>
                <w:b w:val="1"/>
                <w:bCs w:val="1"/>
                <w:color w:val="auto"/>
              </w:rPr>
              <w:t>At September 30, 2022</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3"/>
          </w:tcPr>
          <w:p>
            <w:pPr>
              <w:jc w:val="right"/>
              <w:ind w:right="14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After One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and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One Year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Through</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Fifteen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or Less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9,214</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12,970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8,657</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26,684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r>
      <w:tr>
        <w:trPr>
          <w:trHeight w:val="216"/>
        </w:trPr>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126,776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41"/>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$0.7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September 30, 2022, six PPP loans have been granted maturity date extensions.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3"/>
          </w:tcPr>
          <w:p>
            <w:pPr>
              <w:jc w:val="right"/>
              <w:ind w:right="14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After One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and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One Year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Through</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Fifteen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or Less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25"/>
                <w:szCs w:val="25"/>
                <w:color w:val="auto"/>
                <w:vertAlign w:val="subscript"/>
              </w:rPr>
              <w:t>SBA</w:t>
            </w:r>
            <w:r>
              <w:rPr>
                <w:rFonts w:ascii="Arial" w:cs="Arial" w:eastAsia="Arial" w:hAnsi="Arial"/>
                <w:sz w:val="12"/>
                <w:szCs w:val="12"/>
                <w:color w:val="auto"/>
              </w:rPr>
              <w:t>(1)</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6,981</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25,102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r>
      <w:tr>
        <w:trPr>
          <w:trHeight w:val="216"/>
        </w:trPr>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41"/>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$1.1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2021, three PPP loans have been granted maturity date extensions.</w:t>
      </w:r>
    </w:p>
    <w:p>
      <w:pPr>
        <w:sectPr>
          <w:pgSz w:w="11900" w:h="16838" w:orient="portrait"/>
          <w:cols w:equalWidth="0" w:num="1">
            <w:col w:w="11240"/>
          </w:cols>
          <w:pgMar w:left="320" w:top="122" w:right="339" w:bottom="0" w:gutter="0" w:footer="0" w:header="0"/>
        </w:sectPr>
      </w:pPr>
    </w:p>
    <w:bookmarkStart w:id="45" w:name="page46"/>
    <w:bookmarkEnd w:id="45"/>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our nonperforming assets and troubled debt restructurings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As of</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September 30, 2022</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2021</w:t>
            </w:r>
          </w:p>
        </w:tc>
        <w:tc>
          <w:tcPr>
            <w:tcW w:w="160" w:type="dxa"/>
            <w:vAlign w:val="bottom"/>
          </w:tcPr>
          <w:p>
            <w:pPr>
              <w:spacing w:after="0"/>
              <w:rPr>
                <w:sz w:val="19"/>
                <w:szCs w:val="19"/>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Nonaccrual loans:</w:t>
            </w:r>
          </w:p>
        </w:tc>
        <w:tc>
          <w:tcPr>
            <w:tcW w:w="6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6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6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nonperforming loans</w:t>
            </w: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accruing loans past due 90 days or more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0"/>
        </w:trPr>
        <w:tc>
          <w:tcPr>
            <w:tcW w:w="7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Nonaccrual troubled debt restructuring</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0"/>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troubled debt restructurings</w:t>
            </w:r>
          </w:p>
        </w:tc>
        <w:tc>
          <w:tcPr>
            <w:tcW w:w="6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6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nonaccrual troubled debt restructurings</w:t>
            </w:r>
          </w:p>
        </w:tc>
        <w:tc>
          <w:tcPr>
            <w:tcW w:w="6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78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r>
      <w:tr>
        <w:trPr>
          <w:trHeight w:val="21"/>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 to total loans</w:t>
            </w:r>
          </w:p>
        </w:tc>
        <w:tc>
          <w:tcPr>
            <w:tcW w:w="6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Total nonperforming loans to total assets</w:t>
            </w:r>
          </w:p>
        </w:tc>
        <w:tc>
          <w:tcPr>
            <w:tcW w:w="6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 to total loans</w:t>
            </w:r>
          </w:p>
        </w:tc>
        <w:tc>
          <w:tcPr>
            <w:tcW w:w="6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 to total assets</w:t>
            </w:r>
          </w:p>
        </w:tc>
        <w:tc>
          <w:tcPr>
            <w:tcW w:w="6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nonperforming assets and troubled debt restructurings at September 30, 2022 and December 31, 2021 was $0.1 million and $0.8 million. Total nonperforming assets at September 30, 2022 and December 31, 2021 were composed of $0.0 million and $0.7 million in nonaccrual loans and $0.1 million of troubled debt restructurings.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classify loans that experience insignificant payment delays and payment shortfalls as impaired. We consider an “insignificant period of time” from payment delays to be a period of 90 days or less, or 120 days or less in certain Strategic Programs. We will customarily attempt to provide a modification for a customer experiencing what we consider to be a short-term event that has temporarily impacted cash flow. In those cases, we will review the request to determine if the customer is experiencing cash flow strain and how the event has impacted the ability of the customer to repay in the long term. Short-term modifications are not classified as troubled debt restructurings because they do not meet the definition set by the FDIC or our accounting policy for identifying troubled debt restructurings.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Interest income that would have been recorded for the nine months ended September 30, 2022 and 2021 had nonaccrual loans been current throughout the period amounted to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for each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Profile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As an example, at the beginning of the Covid-19 pandemic we analyzed our portfolio to identify loans that were more likely to be vulnerable to the pandemic’s impact. We then proactively opened a dialogue with potentially affected borrowers to assess their needs and provide assistance. Through this process we were able to not only better understand our portfolio risks but were able to intercede with borrowers if needed.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6: Classified Substandard – A substandard loan has a developing or current weakness or weaknesses that could result in loss or default if deficiencies are not corrected, or adverse conditions arise.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7: Classified Doubtful – A doubtful loan has an existing weakness or weaknesses that make collection or liquidation in full, on the basis of currently existing facts and conditions, highly questionable and improbable.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 of the period presented, the loan balances by loan program as well as risk rating. No loans were classified as ‘Loss’ grade during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As of September 30,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125,611</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12,970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12,970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6,149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r>
      <w:tr>
        <w:trPr>
          <w:trHeight w:val="216"/>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Strategic Program loans</w:t>
            </w:r>
            <w:r>
              <w:rPr>
                <w:rFonts w:ascii="Arial" w:cs="Arial" w:eastAsia="Arial" w:hAnsi="Arial"/>
                <w:sz w:val="25"/>
                <w:szCs w:val="25"/>
                <w:color w:val="auto"/>
                <w:vertAlign w:val="superscript"/>
              </w:rPr>
              <w:t>(1)</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184,686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256,820</w:t>
            </w: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Strategic Program loans</w:t>
            </w:r>
            <w:r>
              <w:rPr>
                <w:rFonts w:ascii="Arial" w:cs="Arial" w:eastAsia="Arial" w:hAnsi="Arial"/>
                <w:sz w:val="25"/>
                <w:szCs w:val="25"/>
                <w:color w:val="auto"/>
                <w:vertAlign w:val="superscript"/>
              </w:rPr>
              <w:t>(1)</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r>
      <w:tr>
        <w:trPr>
          <w:trHeight w:val="21"/>
        </w:trPr>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Strategic Program loan balance includes $43.6 million and $60.7 million of loans classified as held-for-sale as of September 30,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have not adopted Financial Accounting Standards Board Accounting Standards Update No. 2016–13,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 commonly referred to as the “CECL model,” but plan to adopt the CECL model in the 2023 calendar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 when we believe that the collectability of the principal loan balance is unlikely. Subsequent recoveries, if any, are credited to the ALL when received.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judgment in determining the adequacy of the allowance is inherently subjective as it requires estimates that are susceptible to significant revision as more information becomes available and as situations and information change.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the ALL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 is reviewed by regulatory examinations.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ALL consists of the following two elements:</w:t>
      </w:r>
    </w:p>
    <w:p>
      <w:pPr>
        <w:spacing w:after="0" w:line="225" w:lineRule="exact"/>
        <w:rPr>
          <w:sz w:val="20"/>
          <w:szCs w:val="20"/>
          <w:color w:val="auto"/>
        </w:rPr>
      </w:pPr>
    </w:p>
    <w:p>
      <w:pPr>
        <w:jc w:val="both"/>
        <w:ind w:left="500" w:right="2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Specific allowance for identified impaired loans. </w:t>
      </w:r>
      <w:r>
        <w:rPr>
          <w:rFonts w:ascii="Arial" w:cs="Arial" w:eastAsia="Arial" w:hAnsi="Arial"/>
          <w:sz w:val="18"/>
          <w:szCs w:val="18"/>
          <w:color w:val="auto"/>
        </w:rPr>
        <w:t>For such loans that are identified as impaired, an allowance is established when the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(or collateral value if the loan is collateral dependent) or observable market price of the impaired loan are lower than the carrying value of that loan.</w:t>
      </w:r>
    </w:p>
    <w:p>
      <w:pPr>
        <w:spacing w:after="0" w:line="183" w:lineRule="exact"/>
        <w:rPr>
          <w:rFonts w:ascii="Arial" w:cs="Arial" w:eastAsia="Arial" w:hAnsi="Arial"/>
          <w:sz w:val="18"/>
          <w:szCs w:val="18"/>
          <w:color w:val="auto"/>
        </w:rPr>
      </w:pPr>
    </w:p>
    <w:p>
      <w:pPr>
        <w:jc w:val="both"/>
        <w:ind w:left="500"/>
        <w:spacing w:after="0" w:line="259" w:lineRule="auto"/>
        <w:rPr>
          <w:rFonts w:ascii="Arial" w:cs="Arial" w:eastAsia="Arial" w:hAnsi="Arial"/>
          <w:sz w:val="18"/>
          <w:szCs w:val="18"/>
          <w:color w:val="auto"/>
        </w:rPr>
      </w:pPr>
      <w:r>
        <w:rPr>
          <w:rFonts w:ascii="Arial" w:cs="Arial" w:eastAsia="Arial" w:hAnsi="Arial"/>
          <w:sz w:val="18"/>
          <w:szCs w:val="18"/>
          <w:color w:val="auto"/>
        </w:rPr>
        <w:t>Independent appraisals are obtained for all collateral dependent loans deemed impaired when collateral value is expected to exceed $5 thousand net of actual and/or anticipated liquidation-related expenses. After initially measured for impairment, new appraisals are ordered on at least an annual basis for all real estate secured loans deemed impaired. Non-real estate secured loan appraisal values are reevaluated and assessed throughout the year based upon interim changes in collateral and market conditions.</w:t>
      </w:r>
    </w:p>
    <w:p>
      <w:pPr>
        <w:spacing w:after="0" w:line="186" w:lineRule="exact"/>
        <w:rPr>
          <w:rFonts w:ascii="Arial" w:cs="Arial" w:eastAsia="Arial" w:hAnsi="Arial"/>
          <w:sz w:val="18"/>
          <w:szCs w:val="18"/>
          <w:color w:val="auto"/>
        </w:rPr>
      </w:pPr>
    </w:p>
    <w:p>
      <w:pPr>
        <w:jc w:val="both"/>
        <w:ind w:left="500" w:hanging="492"/>
        <w:spacing w:after="0" w:line="289"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General valuation allowance. </w:t>
      </w:r>
      <w:r>
        <w:rPr>
          <w:rFonts w:ascii="Arial" w:cs="Arial" w:eastAsia="Arial" w:hAnsi="Arial"/>
          <w:sz w:val="16"/>
          <w:szCs w:val="16"/>
          <w:color w:val="auto"/>
        </w:rPr>
        <w:t>This component represents a valuation allowance on the remainder of the loan portfolio, after excluding 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loans. For this portion of the allowance, loans are reviewed based on industry, stage and structure and are assigned allowance percentages based on historical loan loss experience for similar loans with similar characteristics and trends adjusted for qualitative factors. Qualitative factors that, in management’s judgment, affect the collectability of the portfolio as of the evaluation date, may include changes in lending policies and procedures; changes in national and local economic and business conditions, including the condition of various market sectors; changes in the nature and volume of the portfolio; changes in the experience, ability and depth of lending management and staff; changes in the volume and severity of past due and classified loans and in the volume of nonaccruals, troubled debt restructurings, and other loan modifications; the existence and effect of any concentrations of credit and changes in the level of such concentrations; and the effect of external factors, such as competition and legal and regulatory requirements, on the level of estimated and inherent credit losses in our current portfolio.</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 was $12.0 million at September 30, 2022 compared to $9.9 million at December 31, 2021, an increase of $2.1 million, or 21.4%. The increase was primarily due to higher net charge-offs and increased unguaranteed loan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changes in the ALL for the periods and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Nine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ALL: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10,602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10,317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 offs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Recoveries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that we have established our ALL in accordance with GAAP and that the ALL was adequate to provide for known and inherent losses in the portfolio at all times shown above, future provisions for loan losses will be subject to ongoing evaluations of the risks in our loan portfolio.</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allocation of the ALL among loan categories and certain other information as of the dates indicated. The ALL related to Strategic Programs constitutes 59.7% and 66.5% of the total ALL while comprising 27.4% and 32.3% of total loans as of September 30, 2022 and December 31, 2021, respectively. This reflects the increased credit risks associated with certain retained Strategic Program loans.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12,970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70,290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256,820</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4,574</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tables reflect the ratio of the ALL to nonperforming loan balances and net charge-offs to average loans outstanding by loan category, for the periods presented. Due primarily to the normalization of credit losses to pre-pandemic market conditions, the ratio of net charge-offs to average loans outstanding was generally higher for loan categories in the three months ended September 30, 2022 as compared to the three months ended September 30, 2021. The increase in the ratio for Strategic Programs loans and Consumer loans was primarily due to increases in net charge-offs in the three months ended September 30, 2022. The increase in the ratio for SBA loans in the three months ended September 30, 2022 was primarily due to the charge-off of loans previously carried as classified assets. Due primarily to the normalization of credit losses to pre-pandemic market conditions, the ratio of net charge-offs to average loans outstanding was generally higher for loan categories in the nine months ended September 30, 2022 as compared to the nine months ended September 30, 2021. The increase in the ratio for Strategic Programs loans was primarily due to increases in net charge-offs in the nine months ended September 30, 2022 and the increase in the ratio for SBA loans was primarily due to the charge-off of loans previously carried as classified assets in the nine months ended September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1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For the Three Months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For the Nine Months</w:t>
            </w:r>
          </w:p>
        </w:tc>
      </w:tr>
      <w:tr>
        <w:trPr>
          <w:trHeight w:val="216"/>
        </w:trPr>
        <w:tc>
          <w:tcPr>
            <w:tcW w:w="5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5780" w:type="dxa"/>
            <w:vAlign w:val="bottom"/>
          </w:tcPr>
          <w:p>
            <w:pPr>
              <w:spacing w:after="0"/>
              <w:rPr>
                <w:sz w:val="20"/>
                <w:szCs w:val="20"/>
                <w:color w:val="auto"/>
              </w:rPr>
            </w:pPr>
          </w:p>
        </w:tc>
        <w:tc>
          <w:tcPr>
            <w:tcW w:w="21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7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charge-offs to average loans outstanding by loan category</w:t>
            </w: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(0.1%)</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Commercial, non-real estate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Strategic Program loans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14.4%</w:t>
            </w:r>
          </w:p>
        </w:tc>
        <w:tc>
          <w:tcPr>
            <w:tcW w:w="7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7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r>
      <w:tr>
        <w:trPr>
          <w:trHeight w:val="425"/>
        </w:trPr>
        <w:tc>
          <w:tcPr>
            <w:tcW w:w="5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4"/>
              </w:rPr>
              <w:t>As of</w:t>
            </w:r>
          </w:p>
        </w:tc>
      </w:tr>
      <w:tr>
        <w:trPr>
          <w:trHeight w:val="198"/>
        </w:trPr>
        <w:tc>
          <w:tcPr>
            <w:tcW w:w="5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top w:val="single" w:sz="8" w:color="auto"/>
            </w:tcBorders>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7"/>
                <w:szCs w:val="17"/>
                <w:color w:val="auto"/>
              </w:rPr>
            </w:pPr>
          </w:p>
        </w:tc>
      </w:tr>
      <w:tr>
        <w:trPr>
          <w:trHeight w:val="241"/>
        </w:trPr>
        <w:tc>
          <w:tcPr>
            <w:tcW w:w="57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to nonperforming loans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5"/>
              </w:rPr>
              <w:t>NA</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1,499.1%</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Deposits in Other Banks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interest-bearing deposits in other banks increased to $92.1 million at September 30, 2022 from $85.3 million at December 31, 2021, an increase of $6.8 million, or 7.9%. This increase was primarily due to a decrease in held-for-sale loan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contractual maturities and weighted average yields of investment securities at September 30, 2022, and the amortized cost of those securities as of the indicated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8"/>
                <w:szCs w:val="18"/>
                <w:b w:val="1"/>
                <w:bCs w:val="1"/>
                <w:color w:val="auto"/>
                <w:w w:val="90"/>
              </w:rPr>
              <w:t>At September 30, 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10"/>
          </w:tcPr>
          <w:p>
            <w:pPr>
              <w:jc w:val="right"/>
              <w:ind w:right="830"/>
              <w:spacing w:after="0"/>
              <w:rPr>
                <w:sz w:val="20"/>
                <w:szCs w:val="20"/>
                <w:color w:val="auto"/>
              </w:rPr>
            </w:pPr>
            <w:r>
              <w:rPr>
                <w:rFonts w:ascii="Arial" w:cs="Arial" w:eastAsia="Arial" w:hAnsi="Arial"/>
                <w:sz w:val="18"/>
                <w:szCs w:val="18"/>
                <w:b w:val="1"/>
                <w:bCs w:val="1"/>
                <w:color w:val="auto"/>
              </w:rPr>
              <w:t>One Year or Less</w:t>
            </w:r>
          </w:p>
        </w:tc>
        <w:tc>
          <w:tcPr>
            <w:tcW w:w="23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9"/>
              </w:rPr>
              <w:t>After One to Five Years</w:t>
            </w:r>
          </w:p>
        </w:tc>
        <w:tc>
          <w:tcPr>
            <w:tcW w:w="10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2"/>
              </w:rPr>
              <w:t>Yield</w:t>
            </w:r>
          </w:p>
        </w:tc>
        <w:tc>
          <w:tcPr>
            <w:tcW w:w="13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Yield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9"/>
        </w:trPr>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710"/>
              <w:spacing w:after="0"/>
              <w:rPr>
                <w:sz w:val="20"/>
                <w:szCs w:val="20"/>
                <w:color w:val="auto"/>
              </w:rPr>
            </w:pPr>
            <w:r>
              <w:rPr>
                <w:rFonts w:ascii="Arial" w:cs="Arial" w:eastAsia="Arial" w:hAnsi="Arial"/>
                <w:sz w:val="18"/>
                <w:szCs w:val="18"/>
                <w:b w:val="1"/>
                <w:bCs w:val="1"/>
                <w:color w:val="auto"/>
                <w:w w:val="98"/>
              </w:rPr>
              <w:t>At September 30, 2022</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After Ten Years</w:t>
            </w:r>
          </w:p>
        </w:tc>
        <w:tc>
          <w:tcPr>
            <w:tcW w:w="38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540" w:type="dxa"/>
            <w:vAlign w:val="bottom"/>
          </w:tcPr>
          <w:p>
            <w:pPr>
              <w:spacing w:after="0"/>
              <w:rPr>
                <w:sz w:val="20"/>
                <w:szCs w:val="20"/>
                <w:color w:val="auto"/>
              </w:rPr>
            </w:pPr>
          </w:p>
        </w:tc>
        <w:tc>
          <w:tcPr>
            <w:tcW w:w="2900" w:type="dxa"/>
            <w:vAlign w:val="bottom"/>
            <w:gridSpan w:val="10"/>
          </w:tcPr>
          <w:p>
            <w:pPr>
              <w:spacing w:after="0"/>
              <w:rPr>
                <w:sz w:val="20"/>
                <w:szCs w:val="20"/>
                <w:color w:val="auto"/>
              </w:rPr>
            </w:pPr>
            <w:r>
              <w:rPr>
                <w:rFonts w:ascii="Arial" w:cs="Arial" w:eastAsia="Arial" w:hAnsi="Arial"/>
                <w:sz w:val="18"/>
                <w:szCs w:val="18"/>
                <w:b w:val="1"/>
                <w:bCs w:val="1"/>
                <w:color w:val="auto"/>
              </w:rPr>
              <w:t>After Five to Ten Years Weighted</w:t>
            </w:r>
          </w:p>
        </w:tc>
        <w:tc>
          <w:tcPr>
            <w:tcW w:w="2700" w:type="dxa"/>
            <w:vAlign w:val="bottom"/>
            <w:gridSpan w:val="9"/>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gridSpan w:val="2"/>
          </w:tcPr>
          <w:p>
            <w:pPr>
              <w:spacing w:after="0"/>
              <w:rPr>
                <w:sz w:val="17"/>
                <w:szCs w:val="17"/>
                <w:color w:val="auto"/>
              </w:rPr>
            </w:pPr>
          </w:p>
        </w:tc>
        <w:tc>
          <w:tcPr>
            <w:tcW w:w="120" w:type="dxa"/>
            <w:vAlign w:val="bottom"/>
            <w:tcBorders>
              <w:top w:val="single" w:sz="8" w:color="auto"/>
            </w:tcBorders>
            <w:gridSpan w:val="2"/>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Weighted</w:t>
            </w:r>
          </w:p>
        </w:tc>
        <w:tc>
          <w:tcPr>
            <w:tcW w:w="380" w:type="dxa"/>
            <w:vAlign w:val="bottom"/>
            <w:gridSpan w:val="3"/>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3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5"/>
          </w:tcPr>
          <w:p>
            <w:pPr>
              <w:jc w:val="center"/>
              <w:ind w:right="430"/>
              <w:spacing w:after="0"/>
              <w:rPr>
                <w:sz w:val="20"/>
                <w:szCs w:val="20"/>
                <w:color w:val="auto"/>
              </w:rPr>
            </w:pPr>
            <w:r>
              <w:rPr>
                <w:rFonts w:ascii="Arial" w:cs="Arial" w:eastAsia="Arial" w:hAnsi="Arial"/>
                <w:sz w:val="18"/>
                <w:szCs w:val="18"/>
                <w:b w:val="1"/>
                <w:bCs w:val="1"/>
                <w:color w:val="auto"/>
                <w:w w:val="93"/>
              </w:rPr>
              <w:t>Amortized</w:t>
            </w:r>
          </w:p>
        </w:tc>
        <w:tc>
          <w:tcPr>
            <w:tcW w:w="13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yield of investment securities is the sum of all interest that the investments generate, divided by the sum of the book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calls, sales or maturities of securities during the nine months ended September 30, 2022 and September 30,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2022, there were seventeen securities, consisting of seven collateralized mortgage obligations and ten mortgage-backed securities. All of these securities were in an unrealized loss position as of September 30, 2022. There were nine securities in an unrealized loss position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Deposits are the major source of funding for the Company, with the exception of the Company’s participation in the PPPLF, which added a significant amount of funding in 2020 (see discussion below in </w:t>
      </w:r>
      <w:r>
        <w:rPr>
          <w:rFonts w:ascii="Arial" w:cs="Arial" w:eastAsia="Arial" w:hAnsi="Arial"/>
          <w:sz w:val="16"/>
          <w:szCs w:val="16"/>
          <w:i w:val="1"/>
          <w:iCs w:val="1"/>
          <w:color w:val="auto"/>
        </w:rPr>
        <w:t>Liquidity and Capital Resources – Liquidity Management</w:t>
      </w:r>
      <w:r>
        <w:rPr>
          <w:rFonts w:ascii="Arial" w:cs="Arial" w:eastAsia="Arial" w:hAnsi="Arial"/>
          <w:sz w:val="16"/>
          <w:szCs w:val="16"/>
          <w:color w:val="auto"/>
        </w:rPr>
        <w:t>).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end of period and average balances and for the periods indicated (average balances have been calculated using daily averages):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rPr>
              <w:t>September 30, 2022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7"/>
              </w:rPr>
              <w:t>December 31, 2021</w:t>
            </w:r>
          </w:p>
        </w:tc>
      </w:tr>
      <w:tr>
        <w:trPr>
          <w:trHeight w:val="223"/>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Percent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2"/>
              </w:rPr>
              <w:t>Total</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Period end: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Noninterest-bearing demand deposits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97,654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110,548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55,152</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5,399</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6,685</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12,281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7"/>
              </w:rPr>
              <w:t>5.3%</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31,076</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60,499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5"/>
          </w:tcPr>
          <w:p>
            <w:pPr>
              <w:jc w:val="right"/>
              <w:ind w:right="30"/>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98,184</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period end deposits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232,838</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34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8"/>
          </w:tcPr>
          <w:p>
            <w:pPr>
              <w:jc w:val="center"/>
              <w:ind w:left="250"/>
              <w:spacing w:after="0"/>
              <w:rPr>
                <w:sz w:val="20"/>
                <w:szCs w:val="20"/>
                <w:color w:val="auto"/>
              </w:rPr>
            </w:pPr>
            <w:r>
              <w:rPr>
                <w:rFonts w:ascii="Arial" w:cs="Arial" w:eastAsia="Arial" w:hAnsi="Arial"/>
                <w:sz w:val="18"/>
                <w:szCs w:val="18"/>
                <w:b w:val="1"/>
                <w:bCs w:val="1"/>
                <w:color w:val="auto"/>
                <w:w w:val="89"/>
              </w:rPr>
              <w:t>September 30, 2022</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center"/>
              <w:ind w:right="370"/>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7"/>
              </w:rPr>
              <w:t>Total</w:t>
            </w:r>
          </w:p>
        </w:tc>
        <w:tc>
          <w:tcPr>
            <w:tcW w:w="1060" w:type="dxa"/>
            <w:vAlign w:val="bottom"/>
            <w:gridSpan w:val="4"/>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Weighted</w:t>
            </w:r>
          </w:p>
        </w:tc>
        <w:tc>
          <w:tcPr>
            <w:tcW w:w="74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96"/>
              </w:rPr>
              <w:t>Percent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220" w:type="dxa"/>
            <w:vAlign w:val="bottom"/>
            <w:gridSpan w:val="4"/>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Weighted</w:t>
            </w:r>
          </w:p>
        </w:tc>
        <w:tc>
          <w:tcPr>
            <w:tcW w:w="64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78"/>
              </w:rPr>
              <w:t>Percent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7"/>
                <w:szCs w:val="17"/>
                <w:color w:val="auto"/>
              </w:rPr>
            </w:pPr>
          </w:p>
        </w:tc>
        <w:tc>
          <w:tcPr>
            <w:tcW w:w="104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78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of total</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3"/>
              </w:rPr>
              <w:t>of 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of total</w:t>
            </w:r>
          </w:p>
        </w:tc>
      </w:tr>
      <w:tr>
        <w:trPr>
          <w:trHeight w:val="241"/>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rate paid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rate paid</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rate paid</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Noninterest-bearing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deposits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102,575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127,590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0.00%</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107,342</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0.81%</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5,007</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0.05%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18"/>
                <w:szCs w:val="18"/>
                <w:color w:val="auto"/>
              </w:rPr>
            </w:pPr>
          </w:p>
        </w:tc>
        <w:tc>
          <w:tcPr>
            <w:tcW w:w="9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8,818</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0.14%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0.29%</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22,274</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64,789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0.99%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104,134</w:t>
            </w:r>
          </w:p>
        </w:tc>
        <w:tc>
          <w:tcPr>
            <w:tcW w:w="120" w:type="dxa"/>
            <w:vAlign w:val="bottom"/>
          </w:tcPr>
          <w:p>
            <w:pPr>
              <w:spacing w:after="0"/>
              <w:rPr>
                <w:sz w:val="18"/>
                <w:szCs w:val="18"/>
                <w:color w:val="auto"/>
              </w:rPr>
            </w:pPr>
          </w:p>
        </w:tc>
        <w:tc>
          <w:tcPr>
            <w:tcW w:w="9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76,127</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34.7%</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275,567</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0.40%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219,568</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439"/>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8"/>
                <w:szCs w:val="18"/>
                <w:b w:val="1"/>
                <w:bCs w:val="1"/>
                <w:color w:val="auto"/>
                <w:w w:val="89"/>
              </w:rPr>
              <w:t>September 30, 2022</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 2021</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6"/>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5"/>
          </w:tcPr>
          <w:p>
            <w:pPr>
              <w:jc w:val="center"/>
              <w:ind w:right="56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average</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3"/>
              </w:rPr>
              <w:t>rate paid</w:t>
            </w:r>
          </w:p>
        </w:tc>
        <w:tc>
          <w:tcPr>
            <w:tcW w:w="120" w:type="dxa"/>
            <w:vAlign w:val="bottom"/>
          </w:tcPr>
          <w:p>
            <w:pPr>
              <w:spacing w:after="0"/>
              <w:rPr>
                <w:sz w:val="20"/>
                <w:szCs w:val="20"/>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of total</w:t>
            </w: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3"/>
              </w:rPr>
              <w:t>rate paid</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of total</w:t>
            </w: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Noninterest-bearing demand deposits</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120,102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0.00%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100,704</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0.00%</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2.40%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0.90%</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7,211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8,006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0.15%</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29,742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0.37%</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75,836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61,587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1.64%</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gridSpan w:val="4"/>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241,507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0.45%</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195,542</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0.59%</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deposits decreased to $232.8 million at September 30, 2022 from $251.9 million at December 31, 2021, a decrease of $19.1 million, or 7.6%. This decrease was primarily due to the decline in our Strategic Program loan program. Our Interest-bearing demand deposits increased to $55.2 million at September 30, 2022 from $5.4 million at December 31, 2021, an increase of $49.8 million, or 921.5%. This increase was primarily due to new HSA deposits from Lively, Inc.</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$129.3 million and $163.7 million as of September 30, 2022 and December 31, 2021, respectively. The maturity profile of our uninsured time deposits, those amounts that exceed the FDIC insurance limit, at September 30, 2022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2"/>
              </w:rPr>
              <w:t>September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center"/>
              <w:ind w:right="287"/>
              <w:spacing w:after="0" w:line="198" w:lineRule="exact"/>
              <w:rPr>
                <w:sz w:val="20"/>
                <w:szCs w:val="20"/>
                <w:color w:val="auto"/>
              </w:rPr>
            </w:pPr>
            <w:r>
              <w:rPr>
                <w:rFonts w:ascii="Arial" w:cs="Arial" w:eastAsia="Arial" w:hAnsi="Arial"/>
                <w:sz w:val="18"/>
                <w:szCs w:val="18"/>
                <w:b w:val="1"/>
                <w:bCs w:val="1"/>
                <w:color w:val="auto"/>
                <w:w w:val="95"/>
              </w:rPr>
              <w:t>More than</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three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Three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months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six months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months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to six</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twelve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twelve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or less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months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uninsured</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w:t>
            </w: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18, 2022, the Company announced that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does not obligate the Company to purchase any particular number of shares. The Company has repurchased 20,000 shares for approximately $0.2 million as of September 30, 2022 and retired them at cost.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 of funds to originate new loans (other than the PPPLF program used to fund PPP loans in 2020)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date, depositors of brokered and Institutional Deposits have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regularly evaluate new, core deposit products and in 2022, we launched an HSA deposit product sourced through Lively, Inc.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24.0% of total assets at September 30, 2022.</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primarily utilize short-term and long-term borrowings to supplement deposits to fund our lending and investment activities, each of which is discussed below. At September 30, 2022, we had the ability to access $10.1 million from the Federal Reserve Bank’s Discount Window on a collateralized basis. Through Zions Bank, the Bank had an available unsecured line available of $1.0 million. The Bank had an available unsecured line of credit with Bankers’ Bank of the West to borrow up to $1.05 million in overnight funds. We also maintain a $3.2 million line of credit with Federal Home Loan Bank, secured by specific pledged loans. We had no outstanding balances on such unsecured or secured lines of credit as of September 30, 2022. In long term borrowings, we had $0.3 million outstanding at September 30, 2022 related to the PPPLF. The PPPLF is secured by pledged PPP loans.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liquid assets are cash and cash equivalents. The levels of these assets depend on our operating, financing, lending and investing activities during any given period. At September 30, 2022, liquid assets (defined as cash and due from banks and interest bearing deposits), consisting of cash and due from banks, totaled $92.5 million. We believe that our liquid assets combined with the available lines of credit provide adequate liquidity to meet our current financial obligations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increased $18.9 million to $134.3 million at September 30, 2022 compared to $115.4 million at December 31, 2021. The increase in shareholders’ equity was primarily attributable to net income recognized of $18.6 million. Stock options exercised, and stock-based compensation increased additional paid-in capital aggregately by approximately $0.5 million while the repurchase of common stock reduced additional paid-in capital by approximately $0.2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several indicators of capital strength. The most commonly used measure is average common equity to average assets, which was 35.2% and 20.7% for the three months ended September 30, 2022 and 2021, respectively. Average common equity to average assets was 32.6% and 17.5% for the nine months ended September 30, 2022 and 2021,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return on average equity was 11.0% and 52.2% for the three months ended September 30, 2022 and 2021, respectively. Our return on average assets was 3.9% and 10.8% for the three months ended September 30, 2022 and 2021, respectively. Our return on average equity was 19.8% and 49.8% for the nine months ended September 30, 2022 and 2021, respectively. Our return on average assets was 6.5% and 8.7% for the nine months ended September 30, 2022 and 2021,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as temporarily amended by Section 4012 of the CARES Act, the Bank must maintain a leverage ratio greater than 8.5% for 2021 and 9.0% for 2022.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and December 31, 2021,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regulatory capital ratios for the Bank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Pr>
          <w:p>
            <w:pPr>
              <w:spacing w:after="0"/>
              <w:rPr>
                <w:sz w:val="20"/>
                <w:szCs w:val="20"/>
                <w:color w:val="auto"/>
              </w:rPr>
            </w:pPr>
          </w:p>
        </w:tc>
      </w:tr>
      <w:tr>
        <w:trPr>
          <w:trHeight w:val="198"/>
        </w:trPr>
        <w:tc>
          <w:tcPr>
            <w:tcW w:w="43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40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400" w:type="dxa"/>
            <w:vAlign w:val="bottom"/>
          </w:tcPr>
          <w:p>
            <w:pPr>
              <w:spacing w:after="0"/>
              <w:rPr>
                <w:sz w:val="17"/>
                <w:szCs w:val="17"/>
                <w:color w:val="auto"/>
              </w:rPr>
            </w:pPr>
          </w:p>
        </w:tc>
      </w:tr>
      <w:tr>
        <w:trPr>
          <w:trHeight w:val="216"/>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Capitalized</w:t>
            </w:r>
          </w:p>
        </w:tc>
        <w:tc>
          <w:tcPr>
            <w:tcW w:w="1760" w:type="dxa"/>
            <w:vAlign w:val="bottom"/>
            <w:gridSpan w:val="2"/>
          </w:tcPr>
          <w:p>
            <w:pPr>
              <w:jc w:val="center"/>
              <w:ind w:right="338"/>
              <w:spacing w:after="0"/>
              <w:rPr>
                <w:sz w:val="20"/>
                <w:szCs w:val="20"/>
                <w:color w:val="auto"/>
              </w:rPr>
            </w:pPr>
            <w:r>
              <w:rPr>
                <w:rFonts w:ascii="Arial" w:cs="Arial" w:eastAsia="Arial" w:hAnsi="Arial"/>
                <w:sz w:val="18"/>
                <w:szCs w:val="18"/>
                <w:b w:val="1"/>
                <w:bCs w:val="1"/>
                <w:color w:val="auto"/>
                <w:w w:val="92"/>
              </w:rPr>
              <w:t>Capitalized</w:t>
            </w:r>
          </w:p>
        </w:tc>
      </w:tr>
      <w:tr>
        <w:trPr>
          <w:trHeight w:val="241"/>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Capital Ratios</w:t>
            </w: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Requirement</w:t>
            </w:r>
          </w:p>
        </w:tc>
        <w:tc>
          <w:tcPr>
            <w:tcW w:w="4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w:t>
            </w:r>
          </w:p>
        </w:tc>
        <w:tc>
          <w:tcPr>
            <w:tcW w:w="400" w:type="dxa"/>
            <w:vAlign w:val="bottom"/>
            <w:tcBorders>
              <w:bottom w:val="single" w:sz="8" w:color="CCEEFF"/>
            </w:tcBorders>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174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6"/>
                <w:szCs w:val="16"/>
                <w:color w:val="auto"/>
              </w:rPr>
              <w:t>9.0%</w:t>
            </w:r>
            <w:r>
              <w:rPr>
                <w:rFonts w:ascii="Arial" w:cs="Arial" w:eastAsia="Arial" w:hAnsi="Arial"/>
                <w:sz w:val="25"/>
                <w:szCs w:val="25"/>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jc w:val="right"/>
              <w:ind w:right="18"/>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Well-Capitalized Requirement for years 2022 and 2021 were 9.0% and 8.5%,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September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One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Three to</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Than Five</w:t>
            </w:r>
          </w:p>
        </w:tc>
      </w:tr>
      <w:tr>
        <w:trPr>
          <w:trHeight w:val="241"/>
        </w:trPr>
        <w:tc>
          <w:tcPr>
            <w:tcW w:w="4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8"/>
              </w:rPr>
              <w:t>One Year</w:t>
            </w:r>
          </w:p>
        </w:tc>
        <w:tc>
          <w:tcPr>
            <w:tcW w:w="2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without stated maturity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152,806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60,499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22,359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11,033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Long term borrowings</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2,493</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221,426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Balances in this category pertain to the PPPLF and are fully-collateralized with PPP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9"/>
              </w:rPr>
              <w:t>As of September 30,</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As of December 31,</w:t>
            </w:r>
          </w:p>
        </w:tc>
      </w:tr>
      <w:tr>
        <w:trPr>
          <w:trHeight w:val="241"/>
        </w:trPr>
        <w:tc>
          <w:tcPr>
            <w:tcW w:w="79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19,563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Total commitments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21,707</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1"/>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There have been no significant changes during the nine months ended September 30, 2022 to the items that we disclosed as our critical accounting policies and estimates in “Management’s Discussion and Analysis of Financial Condition and Results of Operations” in the 2021 Form 10-K.</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Accounting policies, as described in detail in the notes to our consolidated financial statements, included in the 2021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filer category of “smaller reporting company,” as defined in Rule 12b-2 of the Exchange Act, the Company is not required to provide information requested by Part I, Item 3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section supplements and updates certain of the information found under Part I, Item 1A. “Risk Factors” of the 2021 Form 10-K and Part II, Item 1A. “Risk Factors” of our Quarterly Report on Form 10-Q for the quarter ended March 31, 2022 (the “First Quarter Form 10-Q”) based on information currently known to us and recent developments since the date of the 2021 Form 10-K filing. The information included in the “Risk Factors” sections of the First Quarter Form 10-Q are incorporated by reference herein. The risks and uncertainties that we face are not limited to those set forth in the 2021 Form 10-K, as supplemented and updated in the First Quarter Form 10-Q. Additional risks and uncertainties not presently known to us or that we currently believe to be immaterial may also adversely affect our business and the trading price of our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the Company’s stock during the third quarter of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September 30, 2022, we repurchased 20,000 shares of our common stock for $0.2 million (average per share purchase price of $10.66) pursuant to our common stock repurchase program.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4"/>
          </w:tcPr>
          <w:p>
            <w:pPr>
              <w:spacing w:after="0"/>
              <w:rPr>
                <w:sz w:val="20"/>
                <w:szCs w:val="20"/>
                <w:color w:val="auto"/>
              </w:rPr>
            </w:pPr>
            <w:r>
              <w:rPr>
                <w:rFonts w:ascii="Arial" w:cs="Arial" w:eastAsia="Arial" w:hAnsi="Arial"/>
                <w:sz w:val="18"/>
                <w:szCs w:val="18"/>
                <w:i w:val="1"/>
                <w:iCs w:val="1"/>
                <w:color w:val="auto"/>
                <w:w w:val="92"/>
              </w:rPr>
              <w:t>Issuer Purchases of Equity Securities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 of Publicly</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 Purchased Under</w:t>
            </w:r>
          </w:p>
        </w:tc>
      </w:tr>
      <w:tr>
        <w:trPr>
          <w:trHeight w:val="206"/>
        </w:trPr>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Total Number of</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 Price Paid</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Announced Plans or</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the Plans or</w:t>
            </w:r>
          </w:p>
        </w:tc>
      </w:tr>
      <w:tr>
        <w:trPr>
          <w:trHeight w:val="247"/>
        </w:trPr>
        <w:tc>
          <w:tcPr>
            <w:tcW w:w="2780" w:type="dxa"/>
            <w:vAlign w:val="bottom"/>
            <w:gridSpan w:val="4"/>
          </w:tcPr>
          <w:p>
            <w:pPr>
              <w:ind w:left="120"/>
              <w:spacing w:after="0"/>
              <w:rPr>
                <w:sz w:val="20"/>
                <w:szCs w:val="20"/>
                <w:color w:val="auto"/>
              </w:rPr>
            </w:pPr>
            <w:r>
              <w:rPr>
                <w:rFonts w:ascii="Arial" w:cs="Arial" w:eastAsia="Arial" w:hAnsi="Arial"/>
                <w:sz w:val="18"/>
                <w:szCs w:val="18"/>
                <w:color w:val="auto"/>
              </w:rPr>
              <w:t>Period</w:t>
            </w: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Shares Purchased</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Per Share</w:t>
            </w:r>
          </w:p>
        </w:tc>
        <w:tc>
          <w:tcPr>
            <w:tcW w:w="2240" w:type="dxa"/>
            <w:vAlign w:val="bottom"/>
            <w:gridSpan w:val="2"/>
          </w:tcPr>
          <w:p>
            <w:pPr>
              <w:jc w:val="center"/>
              <w:ind w:right="120"/>
              <w:spacing w:after="0" w:line="240" w:lineRule="exact"/>
              <w:rPr>
                <w:sz w:val="20"/>
                <w:szCs w:val="20"/>
                <w:color w:val="auto"/>
              </w:rPr>
            </w:pPr>
            <w:r>
              <w:rPr>
                <w:rFonts w:ascii="Arial" w:cs="Arial" w:eastAsia="Arial" w:hAnsi="Arial"/>
                <w:sz w:val="17"/>
                <w:szCs w:val="17"/>
                <w:color w:val="auto"/>
                <w:w w:val="91"/>
              </w:rPr>
              <w:t xml:space="preserve">Programs </w:t>
            </w:r>
            <w:r>
              <w:rPr>
                <w:rFonts w:ascii="Arial" w:cs="Arial" w:eastAsia="Arial" w:hAnsi="Arial"/>
                <w:sz w:val="27"/>
                <w:szCs w:val="27"/>
                <w:color w:val="auto"/>
                <w:w w:val="91"/>
                <w:vertAlign w:val="superscript"/>
              </w:rPr>
              <w:t>(1)</w:t>
            </w:r>
          </w:p>
        </w:tc>
        <w:tc>
          <w:tcPr>
            <w:tcW w:w="2240" w:type="dxa"/>
            <w:vAlign w:val="bottom"/>
            <w:gridSpan w:val="2"/>
          </w:tcPr>
          <w:p>
            <w:pPr>
              <w:jc w:val="center"/>
              <w:ind w:right="100"/>
              <w:spacing w:after="0" w:line="240" w:lineRule="exact"/>
              <w:rPr>
                <w:sz w:val="20"/>
                <w:szCs w:val="20"/>
                <w:color w:val="auto"/>
              </w:rPr>
            </w:pPr>
            <w:r>
              <w:rPr>
                <w:rFonts w:ascii="Arial" w:cs="Arial" w:eastAsia="Arial" w:hAnsi="Arial"/>
                <w:sz w:val="17"/>
                <w:szCs w:val="17"/>
                <w:color w:val="auto"/>
                <w:w w:val="89"/>
              </w:rPr>
              <w:t xml:space="preserve">Programs </w:t>
            </w:r>
            <w:r>
              <w:rPr>
                <w:rFonts w:ascii="Arial" w:cs="Arial" w:eastAsia="Arial" w:hAnsi="Arial"/>
                <w:sz w:val="27"/>
                <w:szCs w:val="27"/>
                <w:color w:val="auto"/>
                <w:w w:val="89"/>
                <w:vertAlign w:val="superscript"/>
              </w:rPr>
              <w:t>(1)</w:t>
            </w:r>
          </w:p>
        </w:tc>
      </w:tr>
      <w:tr>
        <w:trPr>
          <w:trHeight w:val="202"/>
        </w:trPr>
        <w:tc>
          <w:tcPr>
            <w:tcW w:w="120" w:type="dxa"/>
            <w:vAlign w:val="bottom"/>
          </w:tcPr>
          <w:p>
            <w:pPr>
              <w:spacing w:after="0"/>
              <w:rPr>
                <w:sz w:val="17"/>
                <w:szCs w:val="17"/>
                <w:color w:val="auto"/>
              </w:rPr>
            </w:pPr>
          </w:p>
        </w:tc>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July 1, 2022 -</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80" w:type="dxa"/>
            <w:vAlign w:val="bottom"/>
            <w:gridSpan w:val="4"/>
          </w:tcPr>
          <w:p>
            <w:pPr>
              <w:ind w:left="120"/>
              <w:spacing w:after="0"/>
              <w:rPr>
                <w:sz w:val="20"/>
                <w:szCs w:val="20"/>
                <w:color w:val="auto"/>
              </w:rPr>
            </w:pPr>
            <w:r>
              <w:rPr>
                <w:rFonts w:ascii="Arial" w:cs="Arial" w:eastAsia="Arial" w:hAnsi="Arial"/>
                <w:sz w:val="18"/>
                <w:szCs w:val="18"/>
                <w:color w:val="auto"/>
              </w:rPr>
              <w:t>July 31, 2022</w:t>
            </w: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02"/>
        </w:trPr>
        <w:tc>
          <w:tcPr>
            <w:tcW w:w="278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rPr>
              <w:t>August 1, 2022 -</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August 31, 2022</w:t>
            </w:r>
          </w:p>
        </w:tc>
        <w:tc>
          <w:tcPr>
            <w:tcW w:w="1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644,241</w:t>
            </w:r>
          </w:p>
        </w:tc>
        <w:tc>
          <w:tcPr>
            <w:tcW w:w="100" w:type="dxa"/>
            <w:vAlign w:val="bottom"/>
            <w:shd w:val="clear" w:color="auto" w:fill="CCEEFF"/>
          </w:tcPr>
          <w:p>
            <w:pPr>
              <w:spacing w:after="0"/>
              <w:rPr>
                <w:sz w:val="20"/>
                <w:szCs w:val="20"/>
                <w:color w:val="auto"/>
              </w:rPr>
            </w:pPr>
          </w:p>
        </w:tc>
      </w:tr>
      <w:tr>
        <w:trPr>
          <w:trHeight w:val="202"/>
        </w:trPr>
        <w:tc>
          <w:tcPr>
            <w:tcW w:w="278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September 1, 2022 -</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780" w:type="dxa"/>
            <w:vAlign w:val="bottom"/>
            <w:gridSpan w:val="4"/>
          </w:tcPr>
          <w:p>
            <w:pPr>
              <w:ind w:left="120"/>
              <w:spacing w:after="0"/>
              <w:rPr>
                <w:sz w:val="20"/>
                <w:szCs w:val="20"/>
                <w:color w:val="auto"/>
              </w:rPr>
            </w:pPr>
            <w:r>
              <w:rPr>
                <w:rFonts w:ascii="Arial" w:cs="Arial" w:eastAsia="Arial" w:hAnsi="Arial"/>
                <w:sz w:val="18"/>
                <w:szCs w:val="18"/>
                <w:color w:val="auto"/>
              </w:rPr>
              <w:t>September 30, 2022</w:t>
            </w:r>
          </w:p>
        </w:tc>
        <w:tc>
          <w:tcPr>
            <w:tcW w:w="1760" w:type="dxa"/>
            <w:vAlign w:val="bottom"/>
          </w:tcPr>
          <w:p>
            <w:pPr>
              <w:jc w:val="center"/>
              <w:ind w:right="190"/>
              <w:spacing w:after="0"/>
              <w:rPr>
                <w:sz w:val="20"/>
                <w:szCs w:val="20"/>
                <w:color w:val="auto"/>
              </w:rPr>
            </w:pPr>
            <w:r>
              <w:rPr>
                <w:rFonts w:ascii="Arial" w:cs="Arial" w:eastAsia="Arial" w:hAnsi="Arial"/>
                <w:sz w:val="18"/>
                <w:szCs w:val="18"/>
                <w:color w:val="auto"/>
                <w:w w:val="87"/>
              </w:rPr>
              <w:t>20,000</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$10.66</w:t>
            </w:r>
          </w:p>
        </w:tc>
        <w:tc>
          <w:tcPr>
            <w:tcW w:w="1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624,241</w:t>
            </w:r>
          </w:p>
        </w:tc>
        <w:tc>
          <w:tcPr>
            <w:tcW w:w="100" w:type="dxa"/>
            <w:vAlign w:val="bottom"/>
          </w:tcPr>
          <w:p>
            <w:pPr>
              <w:spacing w:after="0"/>
              <w:rPr>
                <w:sz w:val="21"/>
                <w:szCs w:val="21"/>
                <w:color w:val="auto"/>
              </w:rPr>
            </w:pPr>
          </w:p>
        </w:tc>
      </w:tr>
      <w:tr>
        <w:trPr>
          <w:trHeight w:val="216"/>
        </w:trPr>
        <w:tc>
          <w:tcPr>
            <w:tcW w:w="25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87"/>
              </w:rPr>
              <w:t>20,000</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$10.66</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624,241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8572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98" w:lineRule="exact"/>
        <w:rPr>
          <w:sz w:val="20"/>
          <w:szCs w:val="20"/>
          <w:color w:val="auto"/>
        </w:rPr>
      </w:pPr>
    </w:p>
    <w:p>
      <w:pPr>
        <w:jc w:val="both"/>
        <w:ind w:left="260" w:hanging="252"/>
        <w:spacing w:after="0" w:line="269"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18, 2022, the Company announced that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40" w:type="dxa"/>
            <w:vAlign w:val="bottom"/>
            <w:gridSpan w:val="5"/>
          </w:tcPr>
          <w:p>
            <w:pPr>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439"/>
        </w:trPr>
        <w:tc>
          <w:tcPr>
            <w:tcW w:w="94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176"/>
        </w:trPr>
        <w:tc>
          <w:tcPr>
            <w:tcW w:w="640" w:type="dxa"/>
            <w:vAlign w:val="bottom"/>
            <w:gridSpan w:val="3"/>
            <w:shd w:val="clear" w:color="auto" w:fill="CCEEFF"/>
          </w:tcPr>
          <w:p>
            <w:pPr>
              <w:jc w:val="center"/>
              <w:ind w:left="310"/>
              <w:spacing w:after="0" w:line="17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Fourth Amended and Restated Articles of Incorporation (incorporated by reference to Exhibit 3.1 of the Registrant’s Registration Statement</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S-1 filed with the Securities and Exchange Commission on July 30, 2021 (File No. 333-257929)).</w:t>
            </w:r>
          </w:p>
        </w:tc>
      </w:tr>
      <w:tr>
        <w:trPr>
          <w:trHeight w:val="176"/>
        </w:trPr>
        <w:tc>
          <w:tcPr>
            <w:tcW w:w="640" w:type="dxa"/>
            <w:vAlign w:val="bottom"/>
            <w:gridSpan w:val="3"/>
          </w:tcPr>
          <w:p>
            <w:pPr>
              <w:jc w:val="center"/>
              <w:ind w:left="310"/>
              <w:spacing w:after="0" w:line="17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60" w:type="dxa"/>
            <w:vAlign w:val="bottom"/>
          </w:tcPr>
          <w:p>
            <w:pPr>
              <w:spacing w:after="0" w:line="176" w:lineRule="exact"/>
              <w:rPr>
                <w:sz w:val="20"/>
                <w:szCs w:val="20"/>
                <w:color w:val="auto"/>
              </w:rPr>
            </w:pPr>
            <w:r>
              <w:rPr>
                <w:rFonts w:ascii="Arial" w:cs="Arial" w:eastAsia="Arial" w:hAnsi="Arial"/>
                <w:sz w:val="18"/>
                <w:szCs w:val="18"/>
                <w:color w:val="auto"/>
                <w:w w:val="92"/>
              </w:rPr>
              <w:t>Amended and Restated Bylaws (incorporated by reference to Exhibit 3.2 of the Registrant’s Registration Statement on Form S-1 filed with</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Securities and Exchange Commission on July 30, 2021 (File No. 333-257929)).</w:t>
            </w:r>
          </w:p>
        </w:tc>
      </w:tr>
      <w:tr>
        <w:trPr>
          <w:trHeight w:val="175"/>
        </w:trPr>
        <w:tc>
          <w:tcPr>
            <w:tcW w:w="640" w:type="dxa"/>
            <w:vAlign w:val="bottom"/>
            <w:gridSpan w:val="3"/>
            <w:shd w:val="clear" w:color="auto" w:fill="CCEEFF"/>
          </w:tcPr>
          <w:p>
            <w:pPr>
              <w:jc w:val="center"/>
              <w:ind w:left="310"/>
              <w:spacing w:after="0" w:line="17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Specimen common stock certificate (incorporated by reference to Exhibit 4.1 of the Registrant’s Registration Statement on Form S-1 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the Securities and Exchange Commission on July 15, 2021 (File No. 333-257929)).</w:t>
            </w:r>
          </w:p>
        </w:tc>
      </w:tr>
      <w:tr>
        <w:trPr>
          <w:trHeight w:val="176"/>
        </w:trPr>
        <w:tc>
          <w:tcPr>
            <w:tcW w:w="940" w:type="dxa"/>
            <w:vAlign w:val="bottom"/>
            <w:gridSpan w:val="5"/>
          </w:tcPr>
          <w:p>
            <w:pPr>
              <w:jc w:val="center"/>
              <w:ind w:left="1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60" w:type="dxa"/>
            <w:vAlign w:val="bottom"/>
          </w:tcPr>
          <w:p>
            <w:pPr>
              <w:spacing w:after="0" w:line="176" w:lineRule="exact"/>
              <w:rPr>
                <w:sz w:val="20"/>
                <w:szCs w:val="20"/>
                <w:color w:val="auto"/>
              </w:rPr>
            </w:pPr>
            <w:r>
              <w:rPr>
                <w:rFonts w:ascii="Arial" w:cs="Arial" w:eastAsia="Arial" w:hAnsi="Arial"/>
                <w:sz w:val="18"/>
                <w:szCs w:val="18"/>
                <w:color w:val="auto"/>
              </w:rPr>
              <w:t>Secured Promissory Note, dated as of August 6, 2021, by Alan Weichselbum in favor of FinWise Bancorp.</w:t>
            </w:r>
          </w:p>
        </w:tc>
      </w:tr>
      <w:tr>
        <w:trPr>
          <w:trHeight w:val="20"/>
        </w:trPr>
        <w:tc>
          <w:tcPr>
            <w:tcW w:w="3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176"/>
        </w:trPr>
        <w:tc>
          <w:tcPr>
            <w:tcW w:w="940" w:type="dxa"/>
            <w:vAlign w:val="bottom"/>
            <w:gridSpan w:val="5"/>
            <w:shd w:val="clear" w:color="auto" w:fill="CCEEFF"/>
          </w:tcPr>
          <w:p>
            <w:pPr>
              <w:jc w:val="center"/>
              <w:ind w:left="1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Security Agreement, dated as of August 6, 2021, by and between Alan Weichselbaum and FinWise Bancorp.</w:t>
            </w: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0" w:type="dxa"/>
            <w:vAlign w:val="bottom"/>
            <w:gridSpan w:val="5"/>
          </w:tcPr>
          <w:p>
            <w:pPr>
              <w:jc w:val="center"/>
              <w:ind w:left="1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60" w:type="dxa"/>
            <w:vAlign w:val="bottom"/>
          </w:tcPr>
          <w:p>
            <w:pPr>
              <w:spacing w:after="0" w:line="176" w:lineRule="exact"/>
              <w:rPr>
                <w:sz w:val="20"/>
                <w:szCs w:val="20"/>
                <w:color w:val="auto"/>
              </w:rPr>
            </w:pPr>
            <w:r>
              <w:rPr>
                <w:rFonts w:ascii="Arial" w:cs="Arial" w:eastAsia="Arial" w:hAnsi="Arial"/>
                <w:sz w:val="18"/>
                <w:szCs w:val="18"/>
                <w:color w:val="auto"/>
              </w:rPr>
              <w:t>Secured Promissory Note, dated as of June 1, 2022, by Alan Weichselbum in favor of FinWise Bancorp.</w:t>
            </w:r>
          </w:p>
        </w:tc>
      </w:tr>
      <w:tr>
        <w:trPr>
          <w:trHeight w:val="21"/>
        </w:trPr>
        <w:tc>
          <w:tcPr>
            <w:tcW w:w="3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175"/>
        </w:trPr>
        <w:tc>
          <w:tcPr>
            <w:tcW w:w="940" w:type="dxa"/>
            <w:vAlign w:val="bottom"/>
            <w:gridSpan w:val="5"/>
            <w:shd w:val="clear" w:color="auto" w:fill="CCEEFF"/>
          </w:tcPr>
          <w:p>
            <w:pPr>
              <w:jc w:val="center"/>
              <w:ind w:left="1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Security Agreement, dated as of June 1, 2022, by and between Alan Weichselbaum and FinWise Bancorp.</w:t>
            </w: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0" w:type="dxa"/>
            <w:vAlign w:val="bottom"/>
            <w:gridSpan w:val="5"/>
          </w:tcPr>
          <w:p>
            <w:pPr>
              <w:jc w:val="center"/>
              <w:ind w:left="1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60" w:type="dxa"/>
            <w:vAlign w:val="bottom"/>
          </w:tcPr>
          <w:p>
            <w:pPr>
              <w:spacing w:after="0" w:line="176" w:lineRule="exact"/>
              <w:rPr>
                <w:sz w:val="20"/>
                <w:szCs w:val="20"/>
                <w:color w:val="auto"/>
              </w:rPr>
            </w:pPr>
            <w:r>
              <w:rPr>
                <w:rFonts w:ascii="Arial" w:cs="Arial" w:eastAsia="Arial" w:hAnsi="Arial"/>
                <w:sz w:val="18"/>
                <w:szCs w:val="18"/>
                <w:color w:val="auto"/>
              </w:rPr>
              <w:t>Rule 13a-14(a) Certification of the Principal Executive Officer.</w:t>
            </w:r>
          </w:p>
        </w:tc>
      </w:tr>
      <w:tr>
        <w:trPr>
          <w:trHeight w:val="20"/>
        </w:trPr>
        <w:tc>
          <w:tcPr>
            <w:tcW w:w="3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176"/>
        </w:trPr>
        <w:tc>
          <w:tcPr>
            <w:tcW w:w="940" w:type="dxa"/>
            <w:vAlign w:val="bottom"/>
            <w:gridSpan w:val="5"/>
            <w:shd w:val="clear" w:color="auto" w:fill="CCEEFF"/>
          </w:tcPr>
          <w:p>
            <w:pPr>
              <w:jc w:val="center"/>
              <w:ind w:left="1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Rule 13a-14(a) Certification of the Principal Financial Officer.</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0" w:type="dxa"/>
            <w:vAlign w:val="bottom"/>
            <w:gridSpan w:val="5"/>
          </w:tcPr>
          <w:p>
            <w:pPr>
              <w:jc w:val="center"/>
              <w:ind w:left="10"/>
              <w:spacing w:after="0" w:line="176" w:lineRule="exact"/>
              <w:rPr>
                <w:sz w:val="20"/>
                <w:szCs w:val="20"/>
                <w:color w:val="auto"/>
              </w:rPr>
            </w:pPr>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60" w:type="dxa"/>
            <w:vAlign w:val="bottom"/>
          </w:tcPr>
          <w:p>
            <w:pPr>
              <w:spacing w:after="0" w:line="176" w:lineRule="exact"/>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20"/>
        </w:trPr>
        <w:tc>
          <w:tcPr>
            <w:tcW w:w="3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202"/>
        </w:trPr>
        <w:tc>
          <w:tcPr>
            <w:tcW w:w="940" w:type="dxa"/>
            <w:vAlign w:val="bottom"/>
            <w:gridSpan w:val="5"/>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4"/>
              </w:rPr>
              <w:t>101.INS*</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94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101.SCH*</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40" w:type="dxa"/>
            <w:vAlign w:val="bottom"/>
            <w:gridSpan w:val="5"/>
            <w:shd w:val="clear" w:color="auto" w:fill="CCEEFF"/>
          </w:tcPr>
          <w:p>
            <w:pPr>
              <w:jc w:val="center"/>
              <w:ind w:left="10"/>
              <w:spacing w:after="0"/>
              <w:rPr>
                <w:sz w:val="20"/>
                <w:szCs w:val="20"/>
                <w:color w:val="auto"/>
              </w:rPr>
            </w:pPr>
            <w:r>
              <w:rPr>
                <w:rFonts w:ascii="Arial" w:cs="Arial" w:eastAsia="Arial" w:hAnsi="Arial"/>
                <w:sz w:val="18"/>
                <w:szCs w:val="18"/>
                <w:color w:val="auto"/>
                <w:w w:val="98"/>
              </w:rPr>
              <w:t>101.CAL*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40" w:type="dxa"/>
            <w:vAlign w:val="bottom"/>
            <w:gridSpan w:val="5"/>
          </w:tcPr>
          <w:p>
            <w:pPr>
              <w:jc w:val="center"/>
              <w:ind w:left="10"/>
              <w:spacing w:after="0"/>
              <w:rPr>
                <w:sz w:val="20"/>
                <w:szCs w:val="20"/>
                <w:color w:val="auto"/>
              </w:rPr>
            </w:pPr>
            <w:r>
              <w:rPr>
                <w:rFonts w:ascii="Arial" w:cs="Arial" w:eastAsia="Arial" w:hAnsi="Arial"/>
                <w:sz w:val="18"/>
                <w:szCs w:val="18"/>
                <w:color w:val="auto"/>
                <w:w w:val="97"/>
              </w:rPr>
              <w:t>101.DEF*</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40" w:type="dxa"/>
            <w:vAlign w:val="bottom"/>
            <w:gridSpan w:val="5"/>
            <w:shd w:val="clear" w:color="auto" w:fill="CCEEFF"/>
          </w:tcPr>
          <w:p>
            <w:pPr>
              <w:jc w:val="center"/>
              <w:ind w:left="10"/>
              <w:spacing w:after="0"/>
              <w:rPr>
                <w:sz w:val="20"/>
                <w:szCs w:val="20"/>
                <w:color w:val="auto"/>
              </w:rPr>
            </w:pPr>
            <w:r>
              <w:rPr>
                <w:rFonts w:ascii="Arial" w:cs="Arial" w:eastAsia="Arial" w:hAnsi="Arial"/>
                <w:sz w:val="18"/>
                <w:szCs w:val="18"/>
                <w:color w:val="auto"/>
                <w:w w:val="99"/>
              </w:rPr>
              <w:t>101.LAB*</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40" w:type="dxa"/>
            <w:vAlign w:val="bottom"/>
            <w:gridSpan w:val="5"/>
          </w:tcPr>
          <w:p>
            <w:pPr>
              <w:jc w:val="center"/>
              <w:ind w:left="10"/>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720" w:type="dxa"/>
            <w:vAlign w:val="bottom"/>
            <w:gridSpan w:val="4"/>
            <w:shd w:val="clear" w:color="auto" w:fill="CCEEFF"/>
          </w:tcPr>
          <w:p>
            <w:pPr>
              <w:jc w:val="center"/>
              <w:ind w:left="230"/>
              <w:spacing w:after="0"/>
              <w:rPr>
                <w:sz w:val="20"/>
                <w:szCs w:val="20"/>
                <w:color w:val="auto"/>
              </w:rPr>
            </w:pPr>
            <w:r>
              <w:rPr>
                <w:rFonts w:ascii="Arial" w:cs="Arial" w:eastAsia="Arial" w:hAnsi="Arial"/>
                <w:sz w:val="18"/>
                <w:szCs w:val="18"/>
                <w:color w:val="auto"/>
                <w:w w:val="97"/>
              </w:rPr>
              <w:t>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FinWise Bancorp</w:t>
      </w:r>
    </w:p>
    <w:p>
      <w:pPr>
        <w:spacing w:after="0" w:line="221" w:lineRule="exact"/>
        <w:rPr>
          <w:sz w:val="20"/>
          <w:szCs w:val="20"/>
          <w:color w:val="auto"/>
        </w:rPr>
      </w:pPr>
    </w:p>
    <w:p>
      <w:pPr>
        <w:spacing w:after="0"/>
        <w:tabs>
          <w:tab w:leader="none" w:pos="5600" w:val="left"/>
          <w:tab w:leader="none" w:pos="784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Kent Landvatter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spacing w:after="0"/>
        <w:tabs>
          <w:tab w:leader="none" w:pos="5600" w:val="left"/>
          <w:tab w:leader="none" w:pos="786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Javvis Jacobson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80"/>
        </w:trPr>
        <w:tc>
          <w:tcPr>
            <w:tcW w:w="236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22"/>
                <w:szCs w:val="22"/>
                <w:b w:val="1"/>
                <w:bCs w:val="1"/>
                <w:color w:val="auto"/>
              </w:rPr>
              <w:t>Exhibit 10.1</w:t>
            </w:r>
          </w:p>
        </w:tc>
      </w:tr>
      <w:tr>
        <w:trPr>
          <w:trHeight w:val="486"/>
        </w:trPr>
        <w:tc>
          <w:tcPr>
            <w:tcW w:w="2360" w:type="dxa"/>
            <w:vAlign w:val="bottom"/>
          </w:tcPr>
          <w:p>
            <w:pPr>
              <w:spacing w:after="0"/>
              <w:rPr>
                <w:sz w:val="24"/>
                <w:szCs w:val="24"/>
                <w:color w:val="auto"/>
              </w:rPr>
            </w:pPr>
          </w:p>
        </w:tc>
        <w:tc>
          <w:tcPr>
            <w:tcW w:w="8880" w:type="dxa"/>
            <w:vAlign w:val="bottom"/>
          </w:tcPr>
          <w:p>
            <w:pPr>
              <w:jc w:val="right"/>
              <w:ind w:right="3921"/>
              <w:spacing w:after="0"/>
              <w:rPr>
                <w:sz w:val="20"/>
                <w:szCs w:val="20"/>
                <w:color w:val="auto"/>
              </w:rPr>
            </w:pPr>
            <w:r>
              <w:rPr>
                <w:rFonts w:ascii="Arial" w:cs="Arial" w:eastAsia="Arial" w:hAnsi="Arial"/>
                <w:sz w:val="22"/>
                <w:szCs w:val="22"/>
                <w:b w:val="1"/>
                <w:bCs w:val="1"/>
                <w:color w:val="auto"/>
              </w:rPr>
              <w:t>SECURED PROMISSORY NOTE</w:t>
            </w:r>
          </w:p>
        </w:tc>
      </w:tr>
      <w:tr>
        <w:trPr>
          <w:trHeight w:val="435"/>
        </w:trPr>
        <w:tc>
          <w:tcPr>
            <w:tcW w:w="2360" w:type="dxa"/>
            <w:vAlign w:val="bottom"/>
          </w:tcPr>
          <w:p>
            <w:pPr>
              <w:jc w:val="right"/>
              <w:ind w:right="1590"/>
              <w:spacing w:after="0"/>
              <w:rPr>
                <w:sz w:val="20"/>
                <w:szCs w:val="20"/>
                <w:color w:val="auto"/>
              </w:rPr>
            </w:pPr>
            <w:r>
              <w:rPr>
                <w:rFonts w:ascii="Arial" w:cs="Arial" w:eastAsia="Arial" w:hAnsi="Arial"/>
                <w:sz w:val="18"/>
                <w:szCs w:val="18"/>
                <w:b w:val="1"/>
                <w:bCs w:val="1"/>
                <w:color w:val="auto"/>
                <w:w w:val="87"/>
              </w:rPr>
              <w:t>$143,410</w:t>
            </w:r>
          </w:p>
        </w:tc>
        <w:tc>
          <w:tcPr>
            <w:tcW w:w="8880" w:type="dxa"/>
            <w:vAlign w:val="bottom"/>
          </w:tcPr>
          <w:p>
            <w:pPr>
              <w:jc w:val="right"/>
              <w:spacing w:after="0"/>
              <w:rPr>
                <w:sz w:val="20"/>
                <w:szCs w:val="20"/>
                <w:color w:val="auto"/>
              </w:rPr>
            </w:pPr>
            <w:r>
              <w:rPr>
                <w:rFonts w:ascii="Arial" w:cs="Arial" w:eastAsia="Arial" w:hAnsi="Arial"/>
                <w:sz w:val="18"/>
                <w:szCs w:val="18"/>
                <w:color w:val="auto"/>
              </w:rPr>
              <w:t>Salt Lake City, Utah</w:t>
            </w:r>
          </w:p>
        </w:tc>
      </w:tr>
      <w:tr>
        <w:trPr>
          <w:trHeight w:val="230"/>
        </w:trPr>
        <w:tc>
          <w:tcPr>
            <w:tcW w:w="2360" w:type="dxa"/>
            <w:vAlign w:val="bottom"/>
          </w:tcPr>
          <w:p>
            <w:pPr>
              <w:spacing w:after="0"/>
              <w:rPr>
                <w:sz w:val="20"/>
                <w:szCs w:val="20"/>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Effective as of August 6, 2021</w:t>
            </w: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both"/>
        <w:ind w:right="20" w:firstLine="648"/>
        <w:spacing w:after="0" w:line="252" w:lineRule="auto"/>
        <w:rPr>
          <w:sz w:val="20"/>
          <w:szCs w:val="20"/>
          <w:color w:val="auto"/>
        </w:rPr>
      </w:pPr>
      <w:r>
        <w:rPr>
          <w:rFonts w:ascii="Arial" w:cs="Arial" w:eastAsia="Arial" w:hAnsi="Arial"/>
          <w:sz w:val="21"/>
          <w:szCs w:val="21"/>
          <w:color w:val="auto"/>
        </w:rPr>
        <w:t>FOR VALUE RECEIVED, Alan Weichselbaum (“Shareholder”), promises to pay to FinWise Bancorp, a Utah corporation (“Bancorp”), or its order, at 764 E. Winchester St., Suite 100, Murray, UT 84121 or at such other place as the Bancorp may from time to time designate in writing, the sum of One Hundred Forty Three Thousand Four Hundred Ten ($143,410), in lawful money of the United States, plus interest calculated as set forth below (the “Loan”):</w:t>
      </w:r>
    </w:p>
    <w:p>
      <w:pPr>
        <w:spacing w:after="0" w:line="201" w:lineRule="exact"/>
        <w:rPr>
          <w:sz w:val="20"/>
          <w:szCs w:val="20"/>
          <w:color w:val="auto"/>
        </w:rPr>
      </w:pPr>
    </w:p>
    <w:p>
      <w:pPr>
        <w:ind w:right="80" w:firstLine="656"/>
        <w:spacing w:after="0" w:line="250" w:lineRule="auto"/>
        <w:tabs>
          <w:tab w:leader="none" w:pos="14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Shareholder promises to pay to Bancorp or its order, in lawful money of the United States of America, the principal sum of $143,410, together with interest on the unpaid balance as set forth below.</w:t>
      </w:r>
    </w:p>
    <w:p>
      <w:pPr>
        <w:spacing w:after="0" w:line="201" w:lineRule="exact"/>
        <w:rPr>
          <w:rFonts w:ascii="Arial" w:cs="Arial" w:eastAsia="Arial" w:hAnsi="Arial"/>
          <w:sz w:val="22"/>
          <w:szCs w:val="22"/>
          <w:color w:val="auto"/>
        </w:rPr>
      </w:pPr>
    </w:p>
    <w:p>
      <w:pPr>
        <w:ind w:right="240" w:firstLine="656"/>
        <w:spacing w:after="0" w:line="250" w:lineRule="auto"/>
        <w:tabs>
          <w:tab w:leader="none" w:pos="14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Interest shall accrue on the Note at the rate of 3% per annum. Interest will be calculated for the actual number of days the principal is outstanding and based on a three hundred sixty-five (365) day year.</w:t>
      </w:r>
    </w:p>
    <w:p>
      <w:pPr>
        <w:spacing w:after="0" w:line="201" w:lineRule="exact"/>
        <w:rPr>
          <w:rFonts w:ascii="Arial" w:cs="Arial" w:eastAsia="Arial" w:hAnsi="Arial"/>
          <w:sz w:val="22"/>
          <w:szCs w:val="22"/>
          <w:color w:val="auto"/>
        </w:rPr>
      </w:pPr>
    </w:p>
    <w:p>
      <w:pPr>
        <w:ind w:right="40" w:firstLine="656"/>
        <w:spacing w:after="0" w:line="250" w:lineRule="auto"/>
        <w:tabs>
          <w:tab w:leader="none" w:pos="14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Balloon Payment</w:t>
      </w:r>
      <w:r>
        <w:rPr>
          <w:rFonts w:ascii="Arial" w:cs="Arial" w:eastAsia="Arial" w:hAnsi="Arial"/>
          <w:sz w:val="22"/>
          <w:szCs w:val="22"/>
          <w:color w:val="auto"/>
        </w:rPr>
        <w:t>. Shareholder will make a single payment of principal and interest on June 1, 2022. Any and all payments hereunder shall be applied first and unpaid interest, and then to principal.</w:t>
      </w:r>
    </w:p>
    <w:p>
      <w:pPr>
        <w:spacing w:after="0" w:line="201" w:lineRule="exact"/>
        <w:rPr>
          <w:rFonts w:ascii="Arial" w:cs="Arial" w:eastAsia="Arial" w:hAnsi="Arial"/>
          <w:sz w:val="22"/>
          <w:szCs w:val="22"/>
          <w:color w:val="auto"/>
        </w:rPr>
      </w:pPr>
    </w:p>
    <w:p>
      <w:pPr>
        <w:ind w:right="300" w:firstLine="656"/>
        <w:spacing w:after="0"/>
        <w:tabs>
          <w:tab w:leader="none" w:pos="14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Security</w:t>
      </w:r>
      <w:r>
        <w:rPr>
          <w:rFonts w:ascii="Arial" w:cs="Arial" w:eastAsia="Arial" w:hAnsi="Arial"/>
          <w:sz w:val="22"/>
          <w:szCs w:val="22"/>
          <w:color w:val="auto"/>
        </w:rPr>
        <w:t xml:space="preserve">. This Note is secured by the Security Agreement delivered by Shareholder pursuant to which Shareholder has granted Bancorp a security interest in </w:t>
      </w:r>
      <w:r>
        <w:rPr>
          <w:rFonts w:ascii="Arial" w:cs="Arial" w:eastAsia="Arial" w:hAnsi="Arial"/>
          <w:sz w:val="22"/>
          <w:szCs w:val="22"/>
          <w:b w:val="1"/>
          <w:bCs w:val="1"/>
          <w:color w:val="auto"/>
        </w:rPr>
        <w:t>30,000</w:t>
      </w:r>
      <w:r>
        <w:rPr>
          <w:rFonts w:ascii="Arial" w:cs="Arial" w:eastAsia="Arial" w:hAnsi="Arial"/>
          <w:sz w:val="22"/>
          <w:szCs w:val="22"/>
          <w:color w:val="auto"/>
        </w:rPr>
        <w:t xml:space="preserve"> shares of stock of the Bancorp (the “Security Agreement”). This Note and the Security Agreement are defined herein as the “Loan Documents.”</w:t>
      </w:r>
    </w:p>
    <w:p>
      <w:pPr>
        <w:spacing w:after="0" w:line="213" w:lineRule="exact"/>
        <w:rPr>
          <w:rFonts w:ascii="Arial" w:cs="Arial" w:eastAsia="Arial" w:hAnsi="Arial"/>
          <w:sz w:val="22"/>
          <w:szCs w:val="22"/>
          <w:color w:val="auto"/>
        </w:rPr>
      </w:pPr>
    </w:p>
    <w:p>
      <w:pPr>
        <w:ind w:right="180" w:firstLine="656"/>
        <w:spacing w:after="0" w:line="245" w:lineRule="auto"/>
        <w:tabs>
          <w:tab w:leader="none" w:pos="1404"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Maturity Date</w:t>
      </w:r>
      <w:r>
        <w:rPr>
          <w:rFonts w:ascii="Arial" w:cs="Arial" w:eastAsia="Arial" w:hAnsi="Arial"/>
          <w:sz w:val="21"/>
          <w:szCs w:val="21"/>
          <w:color w:val="auto"/>
        </w:rPr>
        <w:t>. Absent the occurrence of an Event of Default hereunder and the acceleration thereafter by Bancorp, the principal and interest and all other amounts payable by Shareholder under the terms of the Loan Documents, shall be due and payable in full on or before June 1, 2022 (the “Maturity Date”). If the Maturity Date should fall (whether by acceleration or otherwise) on a day that is not a business day, payment of the outstanding</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amounts shall be made on the next succeeding business day.</w:t>
      </w:r>
    </w:p>
    <w:p>
      <w:pPr>
        <w:spacing w:after="0" w:line="215" w:lineRule="exact"/>
        <w:rPr>
          <w:rFonts w:ascii="Arial" w:cs="Arial" w:eastAsia="Arial" w:hAnsi="Arial"/>
          <w:sz w:val="21"/>
          <w:szCs w:val="21"/>
          <w:color w:val="auto"/>
        </w:rPr>
      </w:pPr>
    </w:p>
    <w:p>
      <w:pPr>
        <w:ind w:left="1420" w:hanging="764"/>
        <w:spacing w:after="0"/>
        <w:tabs>
          <w:tab w:leader="none" w:pos="142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Shareholder may prepay the Loan, in whole or in part, at any time without penalty or premium.</w:t>
      </w:r>
    </w:p>
    <w:p>
      <w:pPr>
        <w:spacing w:after="0" w:line="267" w:lineRule="exact"/>
        <w:rPr>
          <w:rFonts w:ascii="Arial" w:cs="Arial" w:eastAsia="Arial" w:hAnsi="Arial"/>
          <w:sz w:val="19"/>
          <w:szCs w:val="19"/>
          <w:color w:val="auto"/>
        </w:rPr>
      </w:pPr>
    </w:p>
    <w:p>
      <w:pPr>
        <w:ind w:right="140" w:firstLine="656"/>
        <w:spacing w:after="0" w:line="235" w:lineRule="auto"/>
        <w:tabs>
          <w:tab w:leader="none" w:pos="14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Application of Payments</w:t>
      </w:r>
      <w:r>
        <w:rPr>
          <w:rFonts w:ascii="Arial" w:cs="Arial" w:eastAsia="Arial" w:hAnsi="Arial"/>
          <w:sz w:val="22"/>
          <w:szCs w:val="22"/>
          <w:color w:val="auto"/>
        </w:rPr>
        <w:t>. Unless otherwise agreed to in writing, or otherwise required by applicable law, payments will be applied first, to costs of collection incurred after an Event of Default, including reasonable attorney's fees; second, to payments made by Bancorp after an Event of Default to preserve any collateral securing this Note; third, to any accrued interest; if any, and fourth, to the principal amount. All payments due hereunder shall be made (i) without deduction of any present and future taxes, levies, imposts, deductions, charges or withholdings, all of which amounts shall be paid by the Shareholder, and (ii) without any other set off.</w:t>
      </w:r>
    </w:p>
    <w:p>
      <w:pPr>
        <w:spacing w:after="0" w:line="393" w:lineRule="exact"/>
        <w:rPr>
          <w:rFonts w:ascii="Arial" w:cs="Arial" w:eastAsia="Arial" w:hAnsi="Arial"/>
          <w:sz w:val="22"/>
          <w:szCs w:val="22"/>
          <w:color w:val="auto"/>
        </w:rPr>
      </w:pPr>
    </w:p>
    <w:p>
      <w:pPr>
        <w:ind w:left="5580" w:hanging="76"/>
        <w:spacing w:after="0"/>
        <w:tabs>
          <w:tab w:leader="none" w:pos="5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ind w:left="-656" w:right="260" w:firstLine="656"/>
        <w:spacing w:after="0" w:line="251" w:lineRule="auto"/>
        <w:tabs>
          <w:tab w:leader="none" w:pos="74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The occurrence of any of the following shall be deemed to be an event of default (“Event of Default”) hereunder:</w:t>
      </w:r>
    </w:p>
    <w:p>
      <w:pPr>
        <w:spacing w:after="0" w:line="200" w:lineRule="exact"/>
        <w:rPr>
          <w:rFonts w:ascii="Arial" w:cs="Arial" w:eastAsia="Arial" w:hAnsi="Arial"/>
          <w:sz w:val="22"/>
          <w:szCs w:val="22"/>
          <w:color w:val="auto"/>
        </w:rPr>
      </w:pPr>
    </w:p>
    <w:p>
      <w:pPr>
        <w:ind w:left="1424" w:hanging="776"/>
        <w:spacing w:after="0"/>
        <w:tabs>
          <w:tab w:leader="none" w:pos="1424" w:val="left"/>
        </w:tabs>
        <w:numPr>
          <w:ilvl w:val="1"/>
          <w:numId w:val="15"/>
        </w:numPr>
        <w:rPr>
          <w:rFonts w:ascii="Arial" w:cs="Arial" w:eastAsia="Arial" w:hAnsi="Arial"/>
          <w:sz w:val="22"/>
          <w:szCs w:val="22"/>
          <w:color w:val="auto"/>
        </w:rPr>
      </w:pPr>
      <w:r>
        <w:rPr>
          <w:rFonts w:ascii="Arial" w:cs="Arial" w:eastAsia="Arial" w:hAnsi="Arial"/>
          <w:sz w:val="22"/>
          <w:szCs w:val="22"/>
          <w:color w:val="auto"/>
        </w:rPr>
        <w:t>Failure by Shareholder to pay any monetary amount within thirty (30) days of its due date;</w:t>
      </w:r>
    </w:p>
    <w:p>
      <w:pPr>
        <w:spacing w:after="0" w:line="233" w:lineRule="exact"/>
        <w:rPr>
          <w:rFonts w:ascii="Arial" w:cs="Arial" w:eastAsia="Arial" w:hAnsi="Arial"/>
          <w:sz w:val="22"/>
          <w:szCs w:val="22"/>
          <w:color w:val="auto"/>
        </w:rPr>
      </w:pPr>
    </w:p>
    <w:p>
      <w:pPr>
        <w:ind w:left="-656" w:right="180" w:firstLine="1304"/>
        <w:spacing w:after="0" w:line="250" w:lineRule="auto"/>
        <w:tabs>
          <w:tab w:leader="none" w:pos="1432" w:val="left"/>
        </w:tabs>
        <w:numPr>
          <w:ilvl w:val="1"/>
          <w:numId w:val="15"/>
        </w:numPr>
        <w:rPr>
          <w:rFonts w:ascii="Arial" w:cs="Arial" w:eastAsia="Arial" w:hAnsi="Arial"/>
          <w:sz w:val="22"/>
          <w:szCs w:val="22"/>
          <w:color w:val="auto"/>
        </w:rPr>
      </w:pPr>
      <w:r>
        <w:rPr>
          <w:rFonts w:ascii="Arial" w:cs="Arial" w:eastAsia="Arial" w:hAnsi="Arial"/>
          <w:sz w:val="22"/>
          <w:szCs w:val="22"/>
          <w:color w:val="auto"/>
        </w:rPr>
        <w:t>Failure by Shareholder to perform any other obligation under this Note, and failure to cure such default within thirty (30) days after written notice from Bancorp;</w:t>
      </w:r>
    </w:p>
    <w:p>
      <w:pPr>
        <w:spacing w:after="0" w:line="201" w:lineRule="exact"/>
        <w:rPr>
          <w:rFonts w:ascii="Arial" w:cs="Arial" w:eastAsia="Arial" w:hAnsi="Arial"/>
          <w:sz w:val="22"/>
          <w:szCs w:val="22"/>
          <w:color w:val="auto"/>
        </w:rPr>
      </w:pPr>
    </w:p>
    <w:p>
      <w:pPr>
        <w:ind w:left="1424" w:hanging="776"/>
        <w:spacing w:after="0"/>
        <w:tabs>
          <w:tab w:leader="none" w:pos="1424"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occurrence of a default or an event of default as defined in any of the Loan Documents;</w:t>
      </w:r>
    </w:p>
    <w:p>
      <w:pPr>
        <w:spacing w:after="0" w:line="233" w:lineRule="exact"/>
        <w:rPr>
          <w:rFonts w:ascii="Arial" w:cs="Arial" w:eastAsia="Arial" w:hAnsi="Arial"/>
          <w:sz w:val="22"/>
          <w:szCs w:val="22"/>
          <w:color w:val="auto"/>
        </w:rPr>
      </w:pPr>
    </w:p>
    <w:p>
      <w:pPr>
        <w:ind w:left="-656" w:right="260" w:firstLine="1304"/>
        <w:spacing w:after="0" w:line="250" w:lineRule="auto"/>
        <w:tabs>
          <w:tab w:leader="none" w:pos="142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bankruptcy petition is filed made by Shareholder or a bankruptcy filing is made against Shareholder and such involuntary petition is not dismissed with sixty (60) days.</w:t>
      </w:r>
    </w:p>
    <w:p>
      <w:pPr>
        <w:spacing w:after="0" w:line="201" w:lineRule="exact"/>
        <w:rPr>
          <w:rFonts w:ascii="Arial" w:cs="Arial" w:eastAsia="Arial" w:hAnsi="Arial"/>
          <w:sz w:val="22"/>
          <w:szCs w:val="22"/>
          <w:color w:val="auto"/>
        </w:rPr>
      </w:pPr>
    </w:p>
    <w:p>
      <w:pPr>
        <w:ind w:left="-656" w:firstLine="656"/>
        <w:spacing w:after="0" w:line="277" w:lineRule="auto"/>
        <w:tabs>
          <w:tab w:leader="none" w:pos="74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Upon the occurrence of an Event of Default, and after any applicable notice period, at the option of the Bancorp, the entire principal amount of this Note together with all accrued interest thereon, if any, and all other amounts payable by Shareholder under the Loan Documents shall, without demand or notice, immediately become due and payable. Upon the occurrence of an Event of Default (and so long as such Event of Default shall continue), theentire principal amount of this Note, together with all accrued interest thereon, if any, all other amounts due, and any judgment for the principal, interest, if any, and other amounts shall bear interest at the rate of 15% per annum. No delay or omission on the part of the Bancorp in exercising any right under this Note shall operate as a waiver of such right.</w:t>
      </w:r>
    </w:p>
    <w:p>
      <w:pPr>
        <w:spacing w:after="0" w:line="178" w:lineRule="exact"/>
        <w:rPr>
          <w:rFonts w:ascii="Arial" w:cs="Arial" w:eastAsia="Arial" w:hAnsi="Arial"/>
          <w:sz w:val="19"/>
          <w:szCs w:val="19"/>
          <w:color w:val="auto"/>
        </w:rPr>
      </w:pPr>
    </w:p>
    <w:p>
      <w:pPr>
        <w:ind w:left="-656" w:firstLine="656"/>
        <w:spacing w:after="0" w:line="282" w:lineRule="auto"/>
        <w:tabs>
          <w:tab w:leader="none" w:pos="74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Shareholder hereby waives diligence, demand for payment, presentment for payment, protest, notice of nonpayment, notice of protest, notice of intent to accelerate, notice of acceleration, notice of dishonor, and notice of nonpayment, and all other notices or demands of any kind (except notices specifically provided for in the Loan Documents) and expressly agrees that, without in any way affecting the liability of Shareholder, the Bancorp may extend any maturity date or the time for payment of any installment due hereunder, accept additional security, and release any security or guaranty.</w:t>
      </w:r>
    </w:p>
    <w:p>
      <w:pPr>
        <w:spacing w:after="0" w:line="174" w:lineRule="exact"/>
        <w:rPr>
          <w:rFonts w:ascii="Arial" w:cs="Arial" w:eastAsia="Arial" w:hAnsi="Arial"/>
          <w:sz w:val="19"/>
          <w:szCs w:val="19"/>
          <w:color w:val="auto"/>
        </w:rPr>
      </w:pPr>
    </w:p>
    <w:p>
      <w:pPr>
        <w:jc w:val="both"/>
        <w:ind w:left="-656" w:right="140" w:firstLine="656"/>
        <w:spacing w:after="0" w:line="252" w:lineRule="auto"/>
        <w:tabs>
          <w:tab w:leader="none" w:pos="74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Change, Discharge, Termination, or Waiver</w:t>
      </w:r>
      <w:r>
        <w:rPr>
          <w:rFonts w:ascii="Arial" w:cs="Arial" w:eastAsia="Arial" w:hAnsi="Arial"/>
          <w:sz w:val="21"/>
          <w:szCs w:val="21"/>
          <w:color w:val="auto"/>
        </w:rPr>
        <w:t>. No provision of this Note may be changed, discharged, terminated, or waived except in a writing signed by the party against whom enforcement of the change, discharge, termination, or waiver is sought. No failure on the part of the Bancorp to exercise and no delay by the Bancorp in exercising any right or remedy under this Note or under the law shall operate as a waiver thereof.</w:t>
      </w:r>
    </w:p>
    <w:p>
      <w:pPr>
        <w:spacing w:after="0" w:line="200" w:lineRule="exact"/>
        <w:rPr>
          <w:rFonts w:ascii="Arial" w:cs="Arial" w:eastAsia="Arial" w:hAnsi="Arial"/>
          <w:sz w:val="21"/>
          <w:szCs w:val="21"/>
          <w:color w:val="auto"/>
        </w:rPr>
      </w:pPr>
    </w:p>
    <w:p>
      <w:pPr>
        <w:ind w:left="-656" w:right="160" w:firstLine="656"/>
        <w:spacing w:after="0" w:line="236" w:lineRule="auto"/>
        <w:tabs>
          <w:tab w:leader="none" w:pos="74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If any Event of Default occurs, Shareholder promises to pay all costs of enforcement and collection and preparation therefor, including but not limited to, reasonable attorneys’ fees, whether or not any action or proceeding is brought to enforce the provisions hereof (including, without limitation, all such costs incurred in connection with any bankruptcy, receivership, or other court proceedings, whether at the trial or appellate level) or with regard to any arbitration proceeding.</w:t>
      </w:r>
    </w:p>
    <w:p>
      <w:pPr>
        <w:spacing w:after="0" w:line="392" w:lineRule="exact"/>
        <w:rPr>
          <w:rFonts w:ascii="Arial" w:cs="Arial" w:eastAsia="Arial" w:hAnsi="Arial"/>
          <w:sz w:val="22"/>
          <w:szCs w:val="22"/>
          <w:color w:val="auto"/>
        </w:rPr>
      </w:pPr>
    </w:p>
    <w:p>
      <w:pPr>
        <w:ind w:left="4924" w:hanging="76"/>
        <w:spacing w:after="0"/>
        <w:tabs>
          <w:tab w:leader="none" w:pos="4924" w:val="left"/>
        </w:tabs>
        <w:numPr>
          <w:ilvl w:val="2"/>
          <w:numId w:val="15"/>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18" w:right="379" w:bottom="1440" w:gutter="0" w:footer="0" w:header="0"/>
        </w:sectPr>
      </w:pPr>
    </w:p>
    <w:bookmarkStart w:id="65" w:name="page66"/>
    <w:bookmarkEnd w:id="65"/>
    <w:p>
      <w:pPr>
        <w:ind w:right="260" w:firstLine="656"/>
        <w:spacing w:after="0" w:line="251" w:lineRule="auto"/>
        <w:tabs>
          <w:tab w:leader="none" w:pos="140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note shall be governed by and construed in accordance with the laws of the state of Utah without giving effect to conflict of laws principles.</w:t>
      </w:r>
    </w:p>
    <w:p>
      <w:pPr>
        <w:spacing w:after="0" w:line="200" w:lineRule="exact"/>
        <w:rPr>
          <w:rFonts w:ascii="Arial" w:cs="Arial" w:eastAsia="Arial" w:hAnsi="Arial"/>
          <w:sz w:val="22"/>
          <w:szCs w:val="22"/>
          <w:color w:val="auto"/>
        </w:rPr>
      </w:pPr>
    </w:p>
    <w:p>
      <w:pPr>
        <w:ind w:left="1420" w:hanging="764"/>
        <w:spacing w:after="0"/>
        <w:tabs>
          <w:tab w:leader="none" w:pos="142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Time of the Essence</w:t>
      </w:r>
      <w:r>
        <w:rPr>
          <w:rFonts w:ascii="Arial" w:cs="Arial" w:eastAsia="Arial" w:hAnsi="Arial"/>
          <w:sz w:val="19"/>
          <w:szCs w:val="19"/>
          <w:color w:val="auto"/>
        </w:rPr>
        <w:t>. Time is of the essence with regard to each provision of the Loan Documents as to which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is a factor.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Shareholder has executed and delivered this Note as of the day and year first above written.</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Alan Weichselbaum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Alan Weichselbaum</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AGREEMENT</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This Security Agreement (this "Security Agreement") is entered into effective as of August 6, 2021 (the “Effective Date”), by and between Alan Weichselbaum (the "Shareholder"), and FinWise Bancorp, a Utah corporation (“Secured Party”).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48"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Secured Party has agreed to loan the Shareholder $143,410 so that Shareholder can exercise options to purchase 30,000 shares</w:t>
      </w:r>
      <w:r>
        <w:rPr>
          <w:rFonts w:ascii="Arial" w:cs="Arial" w:eastAsia="Arial" w:hAnsi="Arial"/>
          <w:sz w:val="17"/>
          <w:szCs w:val="17"/>
          <w:b w:val="1"/>
          <w:bCs w:val="1"/>
          <w:color w:val="auto"/>
        </w:rPr>
        <w:t xml:space="preserve"> </w:t>
      </w:r>
      <w:r>
        <w:rPr>
          <w:rFonts w:ascii="Arial" w:cs="Arial" w:eastAsia="Arial" w:hAnsi="Arial"/>
          <w:sz w:val="17"/>
          <w:szCs w:val="17"/>
          <w:color w:val="auto"/>
        </w:rPr>
        <w:t>(5,000 shares prior to the July 26, 2021 forward stock split) of stock in FinWise Bancorp, a Utah corporation, (the “Shares”); and</w:t>
      </w:r>
    </w:p>
    <w:p>
      <w:pPr>
        <w:spacing w:after="0" w:line="16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Secured Party to extend the credit by the Note, Shareholder agreed to enter into this Security Agreement and to</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Secured Party a security interest in the Collateral described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above recitals and for other good and valuable consideration, the receipt and adequacy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Shareholder and Secured Party hereby agree as follows:</w:t>
      </w:r>
    </w:p>
    <w:p>
      <w:pPr>
        <w:spacing w:after="0" w:line="185" w:lineRule="exact"/>
        <w:rPr>
          <w:sz w:val="20"/>
          <w:szCs w:val="20"/>
          <w:color w:val="auto"/>
        </w:rPr>
      </w:pPr>
    </w:p>
    <w:p>
      <w:pPr>
        <w:ind w:right="280" w:firstLine="656"/>
        <w:spacing w:after="0" w:line="250" w:lineRule="auto"/>
        <w:tabs>
          <w:tab w:leader="none" w:pos="140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Definitions and Interpretation</w:t>
      </w:r>
      <w:r>
        <w:rPr>
          <w:rFonts w:ascii="Arial" w:cs="Arial" w:eastAsia="Arial" w:hAnsi="Arial"/>
          <w:sz w:val="22"/>
          <w:szCs w:val="22"/>
          <w:color w:val="auto"/>
        </w:rPr>
        <w:t>. When used in this Security Agreement, the following terms have the following respective meanings: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shall mean all of Shareholder’s right, title and interest in and to the Shares.</w:t>
      </w:r>
    </w:p>
    <w:p>
      <w:pPr>
        <w:spacing w:after="0" w:line="233"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shall mean, with respect to the Collateral, any security interest, mortgage, pledge, lien, claim, charge or other encumbrance in, of, or on such property or the income therefrom.</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all obligations arising or owed by Shareholder to Secured Party or its affiliates under the Note or this Security Agreement.</w:t>
      </w:r>
    </w:p>
    <w:p>
      <w:pPr>
        <w:spacing w:after="0" w:line="202"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Shares”</w:t>
      </w:r>
      <w:r>
        <w:rPr>
          <w:rFonts w:ascii="Arial" w:cs="Arial" w:eastAsia="Arial" w:hAnsi="Arial"/>
          <w:sz w:val="22"/>
          <w:szCs w:val="22"/>
          <w:color w:val="auto"/>
        </w:rPr>
        <w:t xml:space="preserve"> shall have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UCC</w:t>
      </w:r>
      <w:r>
        <w:rPr>
          <w:rFonts w:ascii="Arial" w:cs="Arial" w:eastAsia="Arial" w:hAnsi="Arial"/>
          <w:sz w:val="22"/>
          <w:szCs w:val="22"/>
          <w:color w:val="auto"/>
        </w:rPr>
        <w:t>” means the Uniform Commercial Code as in effect in the State of Utah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defined herein, all terms defined in the UCC have the respective meanings given to those terms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UCC.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ind w:left="1400" w:hanging="764"/>
        <w:spacing w:after="0"/>
        <w:tabs>
          <w:tab w:leader="none" w:pos="140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Grant of Security Interest</w:t>
      </w:r>
    </w:p>
    <w:p>
      <w:pPr>
        <w:spacing w:after="0" w:line="233" w:lineRule="exact"/>
        <w:rPr>
          <w:rFonts w:ascii="Arial" w:cs="Arial" w:eastAsia="Arial" w:hAnsi="Arial"/>
          <w:sz w:val="22"/>
          <w:szCs w:val="22"/>
          <w:color w:val="auto"/>
        </w:rPr>
      </w:pPr>
    </w:p>
    <w:p>
      <w:pPr>
        <w:ind w:left="-20" w:right="180" w:firstLine="1304"/>
        <w:spacing w:after="0" w:line="248" w:lineRule="auto"/>
        <w:tabs>
          <w:tab w:leader="none" w:pos="2056" w:val="left"/>
        </w:tabs>
        <w:numPr>
          <w:ilvl w:val="1"/>
          <w:numId w:val="18"/>
        </w:numPr>
        <w:rPr>
          <w:rFonts w:ascii="Arial" w:cs="Arial" w:eastAsia="Arial" w:hAnsi="Arial"/>
          <w:sz w:val="21"/>
          <w:szCs w:val="21"/>
          <w:color w:val="auto"/>
        </w:rPr>
      </w:pPr>
      <w:r>
        <w:rPr>
          <w:rFonts w:ascii="Arial" w:cs="Arial" w:eastAsia="Arial" w:hAnsi="Arial"/>
          <w:sz w:val="21"/>
          <w:szCs w:val="21"/>
          <w:color w:val="auto"/>
        </w:rPr>
        <w:t>As security for the Obligations, Shareholder hereby pledges and grants to Secured Party a security interest in all right, title and interests of Shareholder in and to the Collateral, provided, however, that unless or until there is a default on the Note or this Agreement, any and all distributions and other amounts payable on the Collateral shall be paid to the holder or registered owner of the Collateral. Notwithstanding the foregoing, Shareholder hereby irrevocably assigns and directs that following a default on the Note or this Agreement that all distributions and other amounts payable with respect to the Collateral be paid directly to Secured Party.</w:t>
      </w:r>
    </w:p>
    <w:p>
      <w:pPr>
        <w:spacing w:after="0" w:line="203" w:lineRule="exact"/>
        <w:rPr>
          <w:rFonts w:ascii="Arial" w:cs="Arial" w:eastAsia="Arial" w:hAnsi="Arial"/>
          <w:sz w:val="21"/>
          <w:szCs w:val="21"/>
          <w:color w:val="auto"/>
        </w:rPr>
      </w:pPr>
    </w:p>
    <w:p>
      <w:pPr>
        <w:ind w:left="-20" w:right="320" w:firstLine="1304"/>
        <w:spacing w:after="0" w:line="274" w:lineRule="auto"/>
        <w:tabs>
          <w:tab w:leader="none" w:pos="2068" w:val="left"/>
        </w:tabs>
        <w:numPr>
          <w:ilvl w:val="1"/>
          <w:numId w:val="18"/>
        </w:numPr>
        <w:rPr>
          <w:rFonts w:ascii="Arial" w:cs="Arial" w:eastAsia="Arial" w:hAnsi="Arial"/>
          <w:sz w:val="21"/>
          <w:szCs w:val="21"/>
          <w:color w:val="auto"/>
        </w:rPr>
      </w:pPr>
      <w:r>
        <w:rPr>
          <w:rFonts w:ascii="Arial" w:cs="Arial" w:eastAsia="Arial" w:hAnsi="Arial"/>
          <w:sz w:val="21"/>
          <w:szCs w:val="21"/>
          <w:color w:val="auto"/>
        </w:rPr>
        <w:t>Shareholder hereby irrevocably agrees to deliver any and all certificates representing the Shares to the Secured Party together with a Stock Power executed in blank to transfer the Shares to Secured Party.</w:t>
      </w:r>
    </w:p>
    <w:p>
      <w:pPr>
        <w:spacing w:after="0" w:line="177" w:lineRule="exact"/>
        <w:rPr>
          <w:rFonts w:ascii="Arial" w:cs="Arial" w:eastAsia="Arial" w:hAnsi="Arial"/>
          <w:sz w:val="21"/>
          <w:szCs w:val="21"/>
          <w:color w:val="auto"/>
        </w:rPr>
      </w:pPr>
    </w:p>
    <w:p>
      <w:pPr>
        <w:jc w:val="both"/>
        <w:ind w:left="-20" w:right="140" w:firstLine="1304"/>
        <w:spacing w:after="0" w:line="257" w:lineRule="auto"/>
        <w:tabs>
          <w:tab w:leader="none" w:pos="2056" w:val="left"/>
        </w:tabs>
        <w:numPr>
          <w:ilvl w:val="1"/>
          <w:numId w:val="18"/>
        </w:numPr>
        <w:rPr>
          <w:rFonts w:ascii="Arial" w:cs="Arial" w:eastAsia="Arial" w:hAnsi="Arial"/>
          <w:sz w:val="21"/>
          <w:szCs w:val="21"/>
          <w:color w:val="auto"/>
        </w:rPr>
      </w:pPr>
      <w:r>
        <w:rPr>
          <w:rFonts w:ascii="Arial" w:cs="Arial" w:eastAsia="Arial" w:hAnsi="Arial"/>
          <w:sz w:val="21"/>
          <w:szCs w:val="21"/>
          <w:color w:val="auto"/>
        </w:rPr>
        <w:t>Shareholder hereby agrees to execute a Stock Power in “blank” and deliver the same to Secured Party to be held by Secured Party pending payment of the Note. Shareholder hereby irrevocably authorizes the Secured Party, to hold all of the certificate or certificates representing the shares pending repayment of the</w:t>
      </w:r>
    </w:p>
    <w:p>
      <w:pPr>
        <w:spacing w:after="0" w:line="196" w:lineRule="exact"/>
        <w:rPr>
          <w:rFonts w:ascii="Arial" w:cs="Arial" w:eastAsia="Arial" w:hAnsi="Arial"/>
          <w:sz w:val="21"/>
          <w:szCs w:val="21"/>
          <w:color w:val="auto"/>
        </w:rPr>
      </w:pPr>
    </w:p>
    <w:p>
      <w:pPr>
        <w:ind w:left="-20" w:firstLine="1304"/>
        <w:spacing w:after="0" w:line="252" w:lineRule="auto"/>
        <w:tabs>
          <w:tab w:leader="none" w:pos="2068" w:val="left"/>
        </w:tabs>
        <w:numPr>
          <w:ilvl w:val="1"/>
          <w:numId w:val="18"/>
        </w:numPr>
        <w:rPr>
          <w:rFonts w:ascii="Arial" w:cs="Arial" w:eastAsia="Arial" w:hAnsi="Arial"/>
          <w:sz w:val="21"/>
          <w:szCs w:val="21"/>
          <w:color w:val="auto"/>
        </w:rPr>
      </w:pPr>
      <w:r>
        <w:rPr>
          <w:rFonts w:ascii="Arial" w:cs="Arial" w:eastAsia="Arial" w:hAnsi="Arial"/>
          <w:sz w:val="21"/>
          <w:szCs w:val="21"/>
          <w:color w:val="auto"/>
        </w:rPr>
        <w:t>Shareholder hereby irrevocably authorizes the Secured Party, to the extent that the Secured Party deems it necessary or advisable, to file in any filing office in any UCC jurisdiction any initial financing statements and amendments thereto that identifies the Collateral and provides any other information required by part 5 of Article 9 of the UCC for the sufficiency or filing office acceptance of any financing statement or amendment.</w:t>
      </w:r>
    </w:p>
    <w:p>
      <w:pPr>
        <w:spacing w:after="0" w:line="200" w:lineRule="exact"/>
        <w:rPr>
          <w:rFonts w:ascii="Arial" w:cs="Arial" w:eastAsia="Arial" w:hAnsi="Arial"/>
          <w:sz w:val="21"/>
          <w:szCs w:val="21"/>
          <w:color w:val="auto"/>
        </w:rPr>
      </w:pPr>
    </w:p>
    <w:p>
      <w:pPr>
        <w:ind w:left="-20" w:right="600" w:firstLine="656"/>
        <w:spacing w:after="0" w:line="287" w:lineRule="auto"/>
        <w:tabs>
          <w:tab w:leader="none" w:pos="138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General Representations and Warranties</w:t>
      </w:r>
      <w:r>
        <w:rPr>
          <w:rFonts w:ascii="Arial" w:cs="Arial" w:eastAsia="Arial" w:hAnsi="Arial"/>
          <w:sz w:val="19"/>
          <w:szCs w:val="19"/>
          <w:color w:val="auto"/>
        </w:rPr>
        <w:t>. Shareholder represents and warrants to Secured Party that (i) Shareholder is the owner of the Collateral and that no other Person has any right, title, claim or interest (by way of lien or otherwise) in, against or to the Collateral; and (ii) upon execution of this Security Agreement and delivery of the certificate representing the Shares, Secured Party will have a perfected security interest in and to the Collateral.</w:t>
      </w:r>
    </w:p>
    <w:p>
      <w:pPr>
        <w:spacing w:after="0" w:line="169" w:lineRule="exact"/>
        <w:rPr>
          <w:rFonts w:ascii="Arial" w:cs="Arial" w:eastAsia="Arial" w:hAnsi="Arial"/>
          <w:sz w:val="19"/>
          <w:szCs w:val="19"/>
          <w:color w:val="auto"/>
        </w:rPr>
      </w:pPr>
    </w:p>
    <w:p>
      <w:pPr>
        <w:ind w:left="-20" w:right="80" w:firstLine="656"/>
        <w:spacing w:after="0" w:line="245" w:lineRule="auto"/>
        <w:tabs>
          <w:tab w:leader="none" w:pos="1384"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Covenants Relating to Collateral</w:t>
      </w:r>
      <w:r>
        <w:rPr>
          <w:rFonts w:ascii="Arial" w:cs="Arial" w:eastAsia="Arial" w:hAnsi="Arial"/>
          <w:sz w:val="21"/>
          <w:szCs w:val="21"/>
          <w:color w:val="auto"/>
        </w:rPr>
        <w:t>. Shareholder hereby agrees (i) to perform all acts that may be necessary to maintain, preserve, protect and perfect the Collateral, the Lien granted to Secured Party therein and the perfection and priority of such Lien; (ii) to pay promptly when due all taxes and other governmental charges, all Liens and all other charges now or hereafter imposed upon or affecting any Collateral; (iii) to procure, execute and deliver from time to time any endorsements, assignments, financing statements and other writings reasonably deemed necessary or appropriate by Secured Party to maintain and protect its Lien hereunder and the priority thereof and to deliver promptly upon the request of the Secured Party all originals of Collateral consisting of instruments; (iv) to appear in and defend any action or proceeding which may affect its title to or Secured Party’s interest in the Collateral; and (v) not to surrender or lose possession of (other than to Secured Party), sell, encumber, lease or otherwise dispose of or transfer any Collateral or right or interest therein, and to keep the Collateral free of all Liens.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68" w:name="page69"/>
    <w:bookmarkEnd w:id="68"/>
    <w:p>
      <w:pPr>
        <w:jc w:val="both"/>
        <w:ind w:right="60" w:firstLine="656"/>
        <w:spacing w:after="0" w:line="287" w:lineRule="auto"/>
        <w:tabs>
          <w:tab w:leader="none" w:pos="1404"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Litigation and Other Proceedings</w:t>
      </w:r>
      <w:r>
        <w:rPr>
          <w:rFonts w:ascii="Arial" w:cs="Arial" w:eastAsia="Arial" w:hAnsi="Arial"/>
          <w:sz w:val="19"/>
          <w:szCs w:val="19"/>
          <w:color w:val="auto"/>
        </w:rPr>
        <w:t>. Upon the occurrence and during the continuation of an event of default, Secured Party shall have the right but not the obligation to bring suit or institute proceedings in the name of Shareholder or Secured Party to enforce any rights in the Collateral, in which event Shareholder shall at the request of Secured Party do any and all lawful acts and execute any and all documents reasonably required by Secured Party in aid of such enforcement.</w:t>
      </w:r>
    </w:p>
    <w:p>
      <w:pPr>
        <w:spacing w:after="0" w:line="170" w:lineRule="exact"/>
        <w:rPr>
          <w:rFonts w:ascii="Arial" w:cs="Arial" w:eastAsia="Arial" w:hAnsi="Arial"/>
          <w:sz w:val="19"/>
          <w:szCs w:val="19"/>
          <w:color w:val="auto"/>
        </w:rPr>
      </w:pPr>
    </w:p>
    <w:p>
      <w:pPr>
        <w:ind w:left="1420" w:hanging="764"/>
        <w:spacing w:after="0"/>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Default and Remedies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1304"/>
        <w:spacing w:after="0"/>
        <w:tabs>
          <w:tab w:leader="none" w:pos="2076"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Shareholder shall be deemed in default under this Security Agreement upon the occurrence and during the continuance of a default or breach of any of Shareholder’s obligations arising under the terms of the Note, or this Security Agreement.</w:t>
      </w:r>
    </w:p>
    <w:p>
      <w:pPr>
        <w:spacing w:after="0" w:line="213" w:lineRule="exact"/>
        <w:rPr>
          <w:rFonts w:ascii="Arial" w:cs="Arial" w:eastAsia="Arial" w:hAnsi="Arial"/>
          <w:sz w:val="22"/>
          <w:szCs w:val="22"/>
          <w:color w:val="auto"/>
        </w:rPr>
      </w:pPr>
    </w:p>
    <w:p>
      <w:pPr>
        <w:ind w:right="100" w:firstLine="1304"/>
        <w:spacing w:after="0" w:line="297" w:lineRule="auto"/>
        <w:tabs>
          <w:tab w:leader="none" w:pos="2088"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Upon the occurrence and during the continuance of any event of default, Secured Party shall have the rights of a secured creditor under the UCC and all rights granted by this Security Agreement and by law. Following a default, the Secured Party shall have the right to repossess the number of shares equal to the following formula: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Balance Due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Per Share FMV</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For purposes of this paragraph, if Secured Party’s shares are traded on a national stock exchange, “Per Share FMV” shall mean the price per shares of the Secured Party’s common stock on such national exchange as of the close of business on the day of repossession. If Secured Party’s common stock is not traded on a national stock exchange, then “Per Share FMV” shall mean the book value of a single share of stock on the date of repossession as determined by Secured Party’s Board of Directors in its sole subjective discretion in accordance with past practice. “Balance Due” shall mean the total amount due under the Note and this Agreement at the time of repossession. Fractional amounts shall be rounded up to the next whole share even if closer to the lesser number of shares.</w:t>
      </w:r>
    </w:p>
    <w:p>
      <w:pPr>
        <w:spacing w:after="0" w:line="211" w:lineRule="exact"/>
        <w:rPr>
          <w:sz w:val="20"/>
          <w:szCs w:val="20"/>
          <w:color w:val="auto"/>
        </w:rPr>
      </w:pPr>
    </w:p>
    <w:p>
      <w:pPr>
        <w:ind w:left="1420" w:hanging="764"/>
        <w:spacing w:after="0"/>
        <w:tabs>
          <w:tab w:leader="none" w:pos="14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60" w:firstLine="1304"/>
        <w:spacing w:after="0" w:line="297" w:lineRule="auto"/>
        <w:tabs>
          <w:tab w:leader="none" w:pos="2076"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provided herein, all notices, requests, demands, consents, instructions or other communications to or upon Shareholder or Secured Party under this Security Agreement shall be in writing and faxed, mailed or delivered to each party to the facsimile number or the address set forth in the signature page hereof.</w:t>
      </w:r>
    </w:p>
    <w:p>
      <w:pPr>
        <w:spacing w:after="0" w:line="160" w:lineRule="exact"/>
        <w:rPr>
          <w:rFonts w:ascii="Arial" w:cs="Arial" w:eastAsia="Arial" w:hAnsi="Arial"/>
          <w:sz w:val="19"/>
          <w:szCs w:val="19"/>
          <w:color w:val="auto"/>
        </w:rPr>
      </w:pPr>
    </w:p>
    <w:p>
      <w:pPr>
        <w:ind w:firstLine="1304"/>
        <w:spacing w:after="0"/>
        <w:tabs>
          <w:tab w:leader="none" w:pos="2088"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Nonwaiver</w:t>
      </w:r>
      <w:r>
        <w:rPr>
          <w:rFonts w:ascii="Arial" w:cs="Arial" w:eastAsia="Arial" w:hAnsi="Arial"/>
          <w:sz w:val="22"/>
          <w:szCs w:val="22"/>
          <w:color w:val="auto"/>
        </w:rPr>
        <w:t>. No failure or delay on the part of Secured Party in exercising any of its rights hereunder will operate as a waiver thereof or of any other right nor shall any single or partial exercise of any such right preclude any other further exercise thereof or of any other right.</w:t>
      </w:r>
    </w:p>
    <w:p>
      <w:pPr>
        <w:spacing w:after="0" w:line="213" w:lineRule="exact"/>
        <w:rPr>
          <w:rFonts w:ascii="Arial" w:cs="Arial" w:eastAsia="Arial" w:hAnsi="Arial"/>
          <w:sz w:val="22"/>
          <w:szCs w:val="22"/>
          <w:color w:val="auto"/>
        </w:rPr>
      </w:pPr>
    </w:p>
    <w:p>
      <w:pPr>
        <w:jc w:val="both"/>
        <w:ind w:right="160" w:firstLine="1304"/>
        <w:spacing w:after="0" w:line="257" w:lineRule="auto"/>
        <w:tabs>
          <w:tab w:leader="none" w:pos="2076"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This Security Agreement may not be amended or modified, nor may any of its terms be waived, except by written instruments signed by Shareholder and Secured Party. Each waiver or consent under any provision hereof shall be effective only in the specific instances for the purpose for which given.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ind w:right="40" w:firstLine="1304"/>
        <w:spacing w:after="0" w:line="258" w:lineRule="auto"/>
        <w:tabs>
          <w:tab w:leader="none" w:pos="208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Assignments</w:t>
      </w:r>
      <w:r>
        <w:rPr>
          <w:rFonts w:ascii="Arial" w:cs="Arial" w:eastAsia="Arial" w:hAnsi="Arial"/>
          <w:sz w:val="21"/>
          <w:szCs w:val="21"/>
          <w:color w:val="auto"/>
        </w:rPr>
        <w:t>. This Security Agreement shall be binding upon and inure to the benefit of Secured Party and Shareholder and their respective successors and assigns; provided, however, that Shareholder may not sell, assign or delegate rights and obligations hereunder without the prior written consent of Secured Party.</w:t>
      </w:r>
    </w:p>
    <w:p>
      <w:pPr>
        <w:spacing w:after="0" w:line="193" w:lineRule="exact"/>
        <w:rPr>
          <w:rFonts w:ascii="Arial" w:cs="Arial" w:eastAsia="Arial" w:hAnsi="Arial"/>
          <w:sz w:val="21"/>
          <w:szCs w:val="21"/>
          <w:color w:val="auto"/>
        </w:rPr>
      </w:pPr>
    </w:p>
    <w:p>
      <w:pPr>
        <w:ind w:firstLine="1304"/>
        <w:spacing w:after="0" w:line="235" w:lineRule="auto"/>
        <w:tabs>
          <w:tab w:leader="none" w:pos="207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Cumulative Rights, etc</w:t>
      </w:r>
      <w:r>
        <w:rPr>
          <w:rFonts w:ascii="Arial" w:cs="Arial" w:eastAsia="Arial" w:hAnsi="Arial"/>
          <w:sz w:val="22"/>
          <w:szCs w:val="22"/>
          <w:color w:val="auto"/>
        </w:rPr>
        <w:t>. The rights, powers and remedies of Secured Party under this Security Agreement shall be in addition to all rights, powers and remedies given to Secured Party by virtue of any applicable law, rule or regulation of any governmental authority and the Note, all of which rights, powers, and remedies will be cumulative and may be exercised successively or concurrently without impairing Secured Party’s rights hereunder. Shareholder waives any right to require Secured Party to proceed against any person or entity or to exhaust any Collateral or to pursue any remedy in Secured Party’s power.</w:t>
      </w:r>
    </w:p>
    <w:p>
      <w:pPr>
        <w:spacing w:after="0" w:line="214" w:lineRule="exact"/>
        <w:rPr>
          <w:rFonts w:ascii="Arial" w:cs="Arial" w:eastAsia="Arial" w:hAnsi="Arial"/>
          <w:sz w:val="22"/>
          <w:szCs w:val="22"/>
          <w:color w:val="auto"/>
        </w:rPr>
      </w:pPr>
    </w:p>
    <w:p>
      <w:pPr>
        <w:ind w:right="540" w:firstLine="1304"/>
        <w:spacing w:after="0"/>
        <w:tabs>
          <w:tab w:leader="none" w:pos="210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Payments Free of Taxes, Etc</w:t>
      </w:r>
      <w:r>
        <w:rPr>
          <w:rFonts w:ascii="Arial" w:cs="Arial" w:eastAsia="Arial" w:hAnsi="Arial"/>
          <w:sz w:val="22"/>
          <w:szCs w:val="22"/>
          <w:color w:val="auto"/>
        </w:rPr>
        <w:t>. All payments made by Shareholder under the Note will be made by Shareholder free and clear of and without deduction for any and all present and future taxes, levies, charges, deductions and withholdings.</w:t>
      </w:r>
    </w:p>
    <w:p>
      <w:pPr>
        <w:spacing w:after="0" w:line="213" w:lineRule="exact"/>
        <w:rPr>
          <w:rFonts w:ascii="Arial" w:cs="Arial" w:eastAsia="Arial" w:hAnsi="Arial"/>
          <w:sz w:val="22"/>
          <w:szCs w:val="22"/>
          <w:color w:val="auto"/>
        </w:rPr>
      </w:pPr>
    </w:p>
    <w:p>
      <w:pPr>
        <w:jc w:val="both"/>
        <w:ind w:right="200" w:firstLine="1304"/>
        <w:spacing w:after="0" w:line="238" w:lineRule="auto"/>
        <w:tabs>
          <w:tab w:leader="none" w:pos="208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Partial Invalidity</w:t>
      </w:r>
      <w:r>
        <w:rPr>
          <w:rFonts w:ascii="Arial" w:cs="Arial" w:eastAsia="Arial" w:hAnsi="Arial"/>
          <w:sz w:val="22"/>
          <w:szCs w:val="22"/>
          <w:color w:val="auto"/>
        </w:rPr>
        <w:t>. If at any time any provision of this Security Agreement is or becomes illegal, invalid or unenforceable in any respect under the law of any jurisdiction, neither the legality, validity or enforceability of the remaining provisions of this Security Agreement nor the legality, validity or enforceability of such provision under the law of any other jurisdiction shall in any way be affected or impaired thereby.</w:t>
      </w:r>
    </w:p>
    <w:p>
      <w:pPr>
        <w:spacing w:after="0" w:line="211" w:lineRule="exact"/>
        <w:rPr>
          <w:rFonts w:ascii="Arial" w:cs="Arial" w:eastAsia="Arial" w:hAnsi="Arial"/>
          <w:sz w:val="22"/>
          <w:szCs w:val="22"/>
          <w:color w:val="auto"/>
        </w:rPr>
      </w:pPr>
    </w:p>
    <w:p>
      <w:pPr>
        <w:ind w:right="100" w:firstLine="1304"/>
        <w:spacing w:after="0" w:line="297" w:lineRule="auto"/>
        <w:tabs>
          <w:tab w:leader="none" w:pos="208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Each of this Security Agreement and the Note is the result of negotiations among, and has been reviewed by, Shareholder and Secured Party. Accordingly, this Security Agreement and the Note will be deemed to be the product of all parties hereto, and no ambiguity shall be construed in favor of or against Shareholder or Secured Party.</w:t>
      </w:r>
    </w:p>
    <w:p>
      <w:pPr>
        <w:spacing w:after="0" w:line="161" w:lineRule="exact"/>
        <w:rPr>
          <w:sz w:val="20"/>
          <w:szCs w:val="20"/>
          <w:color w:val="auto"/>
        </w:rPr>
      </w:pPr>
    </w:p>
    <w:p>
      <w:pPr>
        <w:ind w:right="120" w:firstLine="1304"/>
        <w:spacing w:after="0" w:line="297" w:lineRule="auto"/>
        <w:tabs>
          <w:tab w:leader="none" w:pos="208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Security Agreement and the Note constitute and contain the entire agreement of Shareholder and Secured Party and supersede any and all prior agreements, negotiations, correspondence, understandings and communications among the parties, whether written or oral, respecting the subject matter hereof.</w:t>
      </w:r>
    </w:p>
    <w:p>
      <w:pPr>
        <w:spacing w:after="0" w:line="160" w:lineRule="exact"/>
        <w:rPr>
          <w:rFonts w:ascii="Arial" w:cs="Arial" w:eastAsia="Arial" w:hAnsi="Arial"/>
          <w:sz w:val="19"/>
          <w:szCs w:val="19"/>
          <w:color w:val="auto"/>
        </w:rPr>
      </w:pPr>
    </w:p>
    <w:p>
      <w:pPr>
        <w:ind w:right="340" w:firstLine="1304"/>
        <w:spacing w:after="0" w:line="250" w:lineRule="auto"/>
        <w:tabs>
          <w:tab w:leader="none" w:pos="208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Security Agreement shall be governed by and construed in accordance with the laws of the State of Utah without reference to conflicts of law rules.</w:t>
      </w:r>
    </w:p>
    <w:p>
      <w:pPr>
        <w:spacing w:after="0" w:line="201" w:lineRule="exact"/>
        <w:rPr>
          <w:rFonts w:ascii="Arial" w:cs="Arial" w:eastAsia="Arial" w:hAnsi="Arial"/>
          <w:sz w:val="22"/>
          <w:szCs w:val="22"/>
          <w:color w:val="auto"/>
        </w:rPr>
      </w:pPr>
    </w:p>
    <w:p>
      <w:pPr>
        <w:ind w:right="260" w:firstLine="1304"/>
        <w:spacing w:after="0" w:line="250" w:lineRule="auto"/>
        <w:tabs>
          <w:tab w:leader="none" w:pos="209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Security Agreement may be executed in any number of counterparts, each of which shall be an original, but all of which together shall be deemed to constitute one instrument.</w:t>
      </w:r>
    </w:p>
    <w:p>
      <w:pPr>
        <w:spacing w:after="0" w:line="201" w:lineRule="exact"/>
        <w:rPr>
          <w:rFonts w:ascii="Arial" w:cs="Arial" w:eastAsia="Arial" w:hAnsi="Arial"/>
          <w:sz w:val="22"/>
          <w:szCs w:val="22"/>
          <w:color w:val="auto"/>
        </w:rPr>
      </w:pPr>
    </w:p>
    <w:p>
      <w:pPr>
        <w:jc w:val="both"/>
        <w:ind w:firstLine="1304"/>
        <w:spacing w:after="0" w:line="279" w:lineRule="auto"/>
        <w:tabs>
          <w:tab w:leader="none" w:pos="212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Waiver of Right to Jury</w:t>
      </w:r>
      <w:r>
        <w:rPr>
          <w:rFonts w:ascii="Arial" w:cs="Arial" w:eastAsia="Arial" w:hAnsi="Arial"/>
          <w:sz w:val="19"/>
          <w:szCs w:val="19"/>
          <w:color w:val="auto"/>
        </w:rPr>
        <w:t>. In order to avoid delays and minimize expense Shareholder and Secured Party knowingly, voluntarily and intentionally waive any right to trial by jury in respect of any claim, demand, action or cause of action arising out of, under or in connection with this agreement or any related writing or any amendment thereto, whether now existing or hereinafter arising and whether sounding in contract or tort or otherwise, and each party hereby agrees and consents that any such claim, demand, action or cause of action shall be decided by a court trial without a jury, and a copy of this agreement may be filed with any court as evidence of the consent of each of the parties hereto to the waiver of its right to trial by jury.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Next Page]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Security Agreement to be executed as of the day and year first above written.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SHAREHOLDER: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Alan Weichselbaum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1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Alan Weichselbaum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50 Sealey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4312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Lawrence, NY 11559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4312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FinWise Bancorp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Kent Landvatter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515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764 E. Winchester St., Suite 100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Murray UT 84121</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80"/>
        </w:trPr>
        <w:tc>
          <w:tcPr>
            <w:tcW w:w="236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22"/>
                <w:szCs w:val="22"/>
                <w:b w:val="1"/>
                <w:bCs w:val="1"/>
                <w:color w:val="auto"/>
              </w:rPr>
              <w:t>Exhibit 10.3</w:t>
            </w:r>
          </w:p>
        </w:tc>
      </w:tr>
      <w:tr>
        <w:trPr>
          <w:trHeight w:val="486"/>
        </w:trPr>
        <w:tc>
          <w:tcPr>
            <w:tcW w:w="2360" w:type="dxa"/>
            <w:vAlign w:val="bottom"/>
          </w:tcPr>
          <w:p>
            <w:pPr>
              <w:spacing w:after="0"/>
              <w:rPr>
                <w:sz w:val="24"/>
                <w:szCs w:val="24"/>
                <w:color w:val="auto"/>
              </w:rPr>
            </w:pPr>
          </w:p>
        </w:tc>
        <w:tc>
          <w:tcPr>
            <w:tcW w:w="8880" w:type="dxa"/>
            <w:vAlign w:val="bottom"/>
          </w:tcPr>
          <w:p>
            <w:pPr>
              <w:jc w:val="right"/>
              <w:ind w:right="3921"/>
              <w:spacing w:after="0"/>
              <w:rPr>
                <w:sz w:val="20"/>
                <w:szCs w:val="20"/>
                <w:color w:val="auto"/>
              </w:rPr>
            </w:pPr>
            <w:r>
              <w:rPr>
                <w:rFonts w:ascii="Arial" w:cs="Arial" w:eastAsia="Arial" w:hAnsi="Arial"/>
                <w:sz w:val="22"/>
                <w:szCs w:val="22"/>
                <w:b w:val="1"/>
                <w:bCs w:val="1"/>
                <w:color w:val="auto"/>
              </w:rPr>
              <w:t>SECURED PROMISSORY NOTE</w:t>
            </w:r>
          </w:p>
        </w:tc>
      </w:tr>
      <w:tr>
        <w:trPr>
          <w:trHeight w:val="435"/>
        </w:trPr>
        <w:tc>
          <w:tcPr>
            <w:tcW w:w="2360" w:type="dxa"/>
            <w:vAlign w:val="bottom"/>
          </w:tcPr>
          <w:p>
            <w:pPr>
              <w:jc w:val="right"/>
              <w:ind w:right="1590"/>
              <w:spacing w:after="0"/>
              <w:rPr>
                <w:sz w:val="20"/>
                <w:szCs w:val="20"/>
                <w:color w:val="auto"/>
              </w:rPr>
            </w:pPr>
            <w:r>
              <w:rPr>
                <w:rFonts w:ascii="Arial" w:cs="Arial" w:eastAsia="Arial" w:hAnsi="Arial"/>
                <w:sz w:val="18"/>
                <w:szCs w:val="18"/>
                <w:color w:val="auto"/>
                <w:w w:val="87"/>
              </w:rPr>
              <w:t>$143,410</w:t>
            </w:r>
          </w:p>
        </w:tc>
        <w:tc>
          <w:tcPr>
            <w:tcW w:w="8880" w:type="dxa"/>
            <w:vAlign w:val="bottom"/>
          </w:tcPr>
          <w:p>
            <w:pPr>
              <w:jc w:val="right"/>
              <w:spacing w:after="0"/>
              <w:rPr>
                <w:sz w:val="20"/>
                <w:szCs w:val="20"/>
                <w:color w:val="auto"/>
              </w:rPr>
            </w:pPr>
            <w:r>
              <w:rPr>
                <w:rFonts w:ascii="Arial" w:cs="Arial" w:eastAsia="Arial" w:hAnsi="Arial"/>
                <w:sz w:val="18"/>
                <w:szCs w:val="18"/>
                <w:color w:val="auto"/>
              </w:rPr>
              <w:t>Murray, Utah</w:t>
            </w:r>
          </w:p>
        </w:tc>
      </w:tr>
      <w:tr>
        <w:trPr>
          <w:trHeight w:val="230"/>
        </w:trPr>
        <w:tc>
          <w:tcPr>
            <w:tcW w:w="2360" w:type="dxa"/>
            <w:vAlign w:val="bottom"/>
          </w:tcPr>
          <w:p>
            <w:pPr>
              <w:spacing w:after="0"/>
              <w:rPr>
                <w:sz w:val="20"/>
                <w:szCs w:val="20"/>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June 1, 2022</w:t>
            </w: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right="20" w:firstLine="648"/>
        <w:spacing w:after="0" w:line="252" w:lineRule="auto"/>
        <w:rPr>
          <w:sz w:val="20"/>
          <w:szCs w:val="20"/>
          <w:color w:val="auto"/>
        </w:rPr>
      </w:pPr>
      <w:r>
        <w:rPr>
          <w:rFonts w:ascii="Arial" w:cs="Arial" w:eastAsia="Arial" w:hAnsi="Arial"/>
          <w:sz w:val="21"/>
          <w:szCs w:val="21"/>
          <w:color w:val="auto"/>
        </w:rPr>
        <w:t>FOR VALUE RECEIVED, Alan Weichselbaum (“Shareholder”), promises to pay to FinWise Bancorp, a Utah corporation (“Bancorp”), or its order, at 756 E. Winchester St., Suite 100, Murray, Utah 84107, or at such other place as the Bancorp may from time to time designate in writing, the sum of One Hundred Forty Three Thousand Four Hundred Ten ($143,410), in lawful money of the United States, plus interest calculated as set forth below (the “Loan”):</w:t>
      </w:r>
    </w:p>
    <w:p>
      <w:pPr>
        <w:spacing w:after="0" w:line="201" w:lineRule="exact"/>
        <w:rPr>
          <w:sz w:val="20"/>
          <w:szCs w:val="20"/>
          <w:color w:val="auto"/>
        </w:rPr>
      </w:pPr>
    </w:p>
    <w:p>
      <w:pPr>
        <w:ind w:right="120" w:firstLine="656"/>
        <w:spacing w:after="0" w:line="250" w:lineRule="auto"/>
        <w:tabs>
          <w:tab w:leader="none" w:pos="14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Shareholder promises to pay to Bancorp or its order, in lawful money of the United States of America, the principal sum of $143,410, together with interest on the unpaid balance as set forth below.</w:t>
      </w:r>
    </w:p>
    <w:p>
      <w:pPr>
        <w:spacing w:after="0" w:line="201" w:lineRule="exact"/>
        <w:rPr>
          <w:rFonts w:ascii="Arial" w:cs="Arial" w:eastAsia="Arial" w:hAnsi="Arial"/>
          <w:sz w:val="22"/>
          <w:szCs w:val="22"/>
          <w:color w:val="auto"/>
        </w:rPr>
      </w:pPr>
    </w:p>
    <w:p>
      <w:pPr>
        <w:ind w:right="300" w:firstLine="656"/>
        <w:spacing w:after="0" w:line="274" w:lineRule="auto"/>
        <w:tabs>
          <w:tab w:leader="none" w:pos="140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Interest shall accrue on the Note at the rate of 4% per annum. Interest will be calculated for the actual number of days the principal is outstanding and based on a three hundred sixty-five (365) day year.</w:t>
      </w:r>
    </w:p>
    <w:p>
      <w:pPr>
        <w:spacing w:after="0" w:line="177" w:lineRule="exact"/>
        <w:rPr>
          <w:rFonts w:ascii="Arial" w:cs="Arial" w:eastAsia="Arial" w:hAnsi="Arial"/>
          <w:sz w:val="21"/>
          <w:szCs w:val="21"/>
          <w:color w:val="auto"/>
        </w:rPr>
      </w:pPr>
    </w:p>
    <w:p>
      <w:pPr>
        <w:ind w:right="140" w:firstLine="656"/>
        <w:spacing w:after="0" w:line="250" w:lineRule="auto"/>
        <w:tabs>
          <w:tab w:leader="none" w:pos="14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Balloon Payment</w:t>
      </w:r>
      <w:r>
        <w:rPr>
          <w:rFonts w:ascii="Arial" w:cs="Arial" w:eastAsia="Arial" w:hAnsi="Arial"/>
          <w:sz w:val="22"/>
          <w:szCs w:val="22"/>
          <w:color w:val="auto"/>
        </w:rPr>
        <w:t>. Shareholder will make a single payment of principal and interest on December 31, 2022. Any and all payments hereunder shall be applied first and unpaid interest, and then to principal.</w:t>
      </w:r>
    </w:p>
    <w:p>
      <w:pPr>
        <w:spacing w:after="0" w:line="201" w:lineRule="exact"/>
        <w:rPr>
          <w:rFonts w:ascii="Arial" w:cs="Arial" w:eastAsia="Arial" w:hAnsi="Arial"/>
          <w:sz w:val="22"/>
          <w:szCs w:val="22"/>
          <w:color w:val="auto"/>
        </w:rPr>
      </w:pPr>
    </w:p>
    <w:p>
      <w:pPr>
        <w:ind w:right="300" w:firstLine="656"/>
        <w:spacing w:after="0"/>
        <w:tabs>
          <w:tab w:leader="none" w:pos="14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Security</w:t>
      </w:r>
      <w:r>
        <w:rPr>
          <w:rFonts w:ascii="Arial" w:cs="Arial" w:eastAsia="Arial" w:hAnsi="Arial"/>
          <w:sz w:val="22"/>
          <w:szCs w:val="22"/>
          <w:color w:val="auto"/>
        </w:rPr>
        <w:t>. This Note is secured by the Security Agreement delivered by Shareholder pursuant to which Shareholder has granted Bancorp a security interest in 30,000 shares of stock of the Bancorp (the “Security Agreement”). This Note and the Security Agreement are defined herein as the “Loan Documents.”</w:t>
      </w:r>
    </w:p>
    <w:p>
      <w:pPr>
        <w:spacing w:after="0" w:line="213" w:lineRule="exact"/>
        <w:rPr>
          <w:rFonts w:ascii="Arial" w:cs="Arial" w:eastAsia="Arial" w:hAnsi="Arial"/>
          <w:sz w:val="22"/>
          <w:szCs w:val="22"/>
          <w:color w:val="auto"/>
        </w:rPr>
      </w:pPr>
    </w:p>
    <w:p>
      <w:pPr>
        <w:ind w:right="240" w:firstLine="656"/>
        <w:spacing w:after="0" w:line="236" w:lineRule="auto"/>
        <w:tabs>
          <w:tab w:leader="none" w:pos="14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Maturity Date</w:t>
      </w:r>
      <w:r>
        <w:rPr>
          <w:rFonts w:ascii="Arial" w:cs="Arial" w:eastAsia="Arial" w:hAnsi="Arial"/>
          <w:sz w:val="22"/>
          <w:szCs w:val="22"/>
          <w:color w:val="auto"/>
        </w:rPr>
        <w:t>. Absent the occurrence of an Event of Default hereunder and the acceleration thereafter by Bancorp, the principal and interest and all other amounts payable by Shareholder under the terms of the Loan Documents, shall be due and payable in full on or before December 31, 2022 (the “Maturity Date”). If the Maturity Date should fall (whether by acceleration or otherwise) on a day that is not a business day, payment of the outstanding amounts shall be made on the next succeeding business day.</w:t>
      </w:r>
    </w:p>
    <w:p>
      <w:pPr>
        <w:spacing w:after="0" w:line="214" w:lineRule="exact"/>
        <w:rPr>
          <w:rFonts w:ascii="Arial" w:cs="Arial" w:eastAsia="Arial" w:hAnsi="Arial"/>
          <w:sz w:val="22"/>
          <w:szCs w:val="22"/>
          <w:color w:val="auto"/>
        </w:rPr>
      </w:pPr>
    </w:p>
    <w:p>
      <w:pPr>
        <w:ind w:left="1420" w:hanging="764"/>
        <w:spacing w:after="0"/>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Shareholder may prepay the Loan, in whole or in part, at any time without penalty or premium.</w:t>
      </w:r>
    </w:p>
    <w:p>
      <w:pPr>
        <w:spacing w:after="0" w:line="267" w:lineRule="exact"/>
        <w:rPr>
          <w:rFonts w:ascii="Arial" w:cs="Arial" w:eastAsia="Arial" w:hAnsi="Arial"/>
          <w:sz w:val="19"/>
          <w:szCs w:val="19"/>
          <w:color w:val="auto"/>
        </w:rPr>
      </w:pPr>
    </w:p>
    <w:p>
      <w:pPr>
        <w:ind w:right="260" w:firstLine="656"/>
        <w:spacing w:after="0" w:line="244" w:lineRule="auto"/>
        <w:tabs>
          <w:tab w:leader="none" w:pos="140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Application of Payments</w:t>
      </w:r>
      <w:r>
        <w:rPr>
          <w:rFonts w:ascii="Arial" w:cs="Arial" w:eastAsia="Arial" w:hAnsi="Arial"/>
          <w:sz w:val="21"/>
          <w:szCs w:val="21"/>
          <w:color w:val="auto"/>
        </w:rPr>
        <w:t>. Unless otherwise agreed to in writing, or otherwise required by applicable law, payments will be applied first, to costs of collection incurred after an Event of Default, including reasonable attorney's fees; second, to payments made by Bancorp after an Event of Default to preserve any collateral securing this Note; third, to any accrued interest; if any, and fourth, to the principal amount. All payments due hereunder shall be made (i) without deduction of any present and future taxes, levies, imposts, deductions, charges or withholdings, all of which amounts shall be paid by the Shareholder, and (ii) without any other</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set off.</w:t>
      </w:r>
    </w:p>
    <w:p>
      <w:pPr>
        <w:spacing w:after="0" w:line="393" w:lineRule="exact"/>
        <w:rPr>
          <w:rFonts w:ascii="Arial" w:cs="Arial" w:eastAsia="Arial" w:hAnsi="Arial"/>
          <w:sz w:val="21"/>
          <w:szCs w:val="21"/>
          <w:color w:val="auto"/>
        </w:rPr>
      </w:pPr>
    </w:p>
    <w:p>
      <w:pPr>
        <w:ind w:left="5580" w:hanging="76"/>
        <w:spacing w:after="0"/>
        <w:tabs>
          <w:tab w:leader="none" w:pos="55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2" w:name="page73"/>
    <w:bookmarkEnd w:id="72"/>
    <w:p>
      <w:pPr>
        <w:ind w:left="-656" w:right="300" w:firstLine="656"/>
        <w:spacing w:after="0" w:line="251" w:lineRule="auto"/>
        <w:tabs>
          <w:tab w:leader="none" w:pos="74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The occurrence of any of the following shall be deemed to be an event of default (“Event of Default”) hereunder:</w:t>
      </w:r>
    </w:p>
    <w:p>
      <w:pPr>
        <w:spacing w:after="0" w:line="200" w:lineRule="exact"/>
        <w:rPr>
          <w:rFonts w:ascii="Arial" w:cs="Arial" w:eastAsia="Arial" w:hAnsi="Arial"/>
          <w:sz w:val="22"/>
          <w:szCs w:val="22"/>
          <w:color w:val="auto"/>
        </w:rPr>
      </w:pPr>
    </w:p>
    <w:p>
      <w:pPr>
        <w:ind w:left="1424" w:hanging="776"/>
        <w:spacing w:after="0"/>
        <w:tabs>
          <w:tab w:leader="none" w:pos="1424" w:val="left"/>
        </w:tabs>
        <w:numPr>
          <w:ilvl w:val="1"/>
          <w:numId w:val="24"/>
        </w:numPr>
        <w:rPr>
          <w:rFonts w:ascii="Arial" w:cs="Arial" w:eastAsia="Arial" w:hAnsi="Arial"/>
          <w:sz w:val="22"/>
          <w:szCs w:val="22"/>
          <w:color w:val="auto"/>
        </w:rPr>
      </w:pPr>
      <w:r>
        <w:rPr>
          <w:rFonts w:ascii="Arial" w:cs="Arial" w:eastAsia="Arial" w:hAnsi="Arial"/>
          <w:sz w:val="22"/>
          <w:szCs w:val="22"/>
          <w:color w:val="auto"/>
        </w:rPr>
        <w:t>Failure by Shareholder to pay any monetary amount within thirty (30) days of its due date;</w:t>
      </w:r>
    </w:p>
    <w:p>
      <w:pPr>
        <w:spacing w:after="0" w:line="233" w:lineRule="exact"/>
        <w:rPr>
          <w:rFonts w:ascii="Arial" w:cs="Arial" w:eastAsia="Arial" w:hAnsi="Arial"/>
          <w:sz w:val="22"/>
          <w:szCs w:val="22"/>
          <w:color w:val="auto"/>
        </w:rPr>
      </w:pPr>
    </w:p>
    <w:p>
      <w:pPr>
        <w:ind w:left="-656" w:right="180" w:firstLine="1304"/>
        <w:spacing w:after="0" w:line="250" w:lineRule="auto"/>
        <w:tabs>
          <w:tab w:leader="none" w:pos="1432" w:val="left"/>
        </w:tabs>
        <w:numPr>
          <w:ilvl w:val="1"/>
          <w:numId w:val="24"/>
        </w:numPr>
        <w:rPr>
          <w:rFonts w:ascii="Arial" w:cs="Arial" w:eastAsia="Arial" w:hAnsi="Arial"/>
          <w:sz w:val="22"/>
          <w:szCs w:val="22"/>
          <w:color w:val="auto"/>
        </w:rPr>
      </w:pPr>
      <w:r>
        <w:rPr>
          <w:rFonts w:ascii="Arial" w:cs="Arial" w:eastAsia="Arial" w:hAnsi="Arial"/>
          <w:sz w:val="22"/>
          <w:szCs w:val="22"/>
          <w:color w:val="auto"/>
        </w:rPr>
        <w:t>Failure by Shareholder to perform any other obligation under this Note, and failure to cure such default within thirty (30) days after written notice from Bancorp;</w:t>
      </w:r>
    </w:p>
    <w:p>
      <w:pPr>
        <w:spacing w:after="0" w:line="201" w:lineRule="exact"/>
        <w:rPr>
          <w:rFonts w:ascii="Arial" w:cs="Arial" w:eastAsia="Arial" w:hAnsi="Arial"/>
          <w:sz w:val="22"/>
          <w:szCs w:val="22"/>
          <w:color w:val="auto"/>
        </w:rPr>
      </w:pPr>
    </w:p>
    <w:p>
      <w:pPr>
        <w:ind w:left="1424" w:hanging="776"/>
        <w:spacing w:after="0"/>
        <w:tabs>
          <w:tab w:leader="none" w:pos="1424"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occurrence of a default or an event of default as defined in any of the Loan Documents;</w:t>
      </w:r>
    </w:p>
    <w:p>
      <w:pPr>
        <w:spacing w:after="0" w:line="233" w:lineRule="exact"/>
        <w:rPr>
          <w:rFonts w:ascii="Arial" w:cs="Arial" w:eastAsia="Arial" w:hAnsi="Arial"/>
          <w:sz w:val="22"/>
          <w:szCs w:val="22"/>
          <w:color w:val="auto"/>
        </w:rPr>
      </w:pPr>
    </w:p>
    <w:p>
      <w:pPr>
        <w:ind w:left="-656" w:right="260" w:firstLine="1304"/>
        <w:spacing w:after="0" w:line="250" w:lineRule="auto"/>
        <w:tabs>
          <w:tab w:leader="none" w:pos="14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bankruptcy petition is filed made by Shareholder or a bankruptcy filing is made against Shareholder and such involuntary petition is not dismissed with sixty (60) days.</w:t>
      </w:r>
    </w:p>
    <w:p>
      <w:pPr>
        <w:spacing w:after="0" w:line="201" w:lineRule="exact"/>
        <w:rPr>
          <w:rFonts w:ascii="Arial" w:cs="Arial" w:eastAsia="Arial" w:hAnsi="Arial"/>
          <w:sz w:val="22"/>
          <w:szCs w:val="22"/>
          <w:color w:val="auto"/>
        </w:rPr>
      </w:pPr>
    </w:p>
    <w:p>
      <w:pPr>
        <w:ind w:left="-656" w:firstLine="656"/>
        <w:spacing w:after="0" w:line="277" w:lineRule="auto"/>
        <w:tabs>
          <w:tab w:leader="none" w:pos="74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Upon the occurrence of an Event of Default, and after any applicable notice period, at the option of the Bancorp, the entire principal amount of this Note together with all accrued interest thereon, if any, and all other amounts payable by Shareholder under the Loan Documents shall, without demand or notice, immediately become due and payable. Upon the occurrence of an Event of Default (and so long as such Event of Default shall continue), the entire principal amount of this Note, together with all accrued interest thereon, if any, all other amounts due, and any judgment for the principal, interest, if any, and other amounts shall bear interest at the rate of 15% per annum. No delay or omission on the part of the Bancorp in exercising any right under this Note shall operate as a waiver of such right.</w:t>
      </w:r>
    </w:p>
    <w:p>
      <w:pPr>
        <w:spacing w:after="0" w:line="178" w:lineRule="exact"/>
        <w:rPr>
          <w:rFonts w:ascii="Arial" w:cs="Arial" w:eastAsia="Arial" w:hAnsi="Arial"/>
          <w:sz w:val="19"/>
          <w:szCs w:val="19"/>
          <w:color w:val="auto"/>
        </w:rPr>
      </w:pPr>
    </w:p>
    <w:p>
      <w:pPr>
        <w:ind w:left="-656" w:firstLine="656"/>
        <w:spacing w:after="0" w:line="282" w:lineRule="auto"/>
        <w:tabs>
          <w:tab w:leader="none" w:pos="74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Shareholder hereby waives diligence, demand for payment, presentment for payment, protest, notice of nonpayment, notice of protest, notice of intent to accelerate, notice of acceleration, notice of dishonor, and notice of nonpayment, and all other notices or demands of any kind (except notices specifically provided for in the Loan Documents) and expressly agrees that, without in any way affecting the liability of Shareholder, the Bancorp may extend any maturity date or the time for payment of any installment due hereunder, accept additional security, and release any security or guaranty.</w:t>
      </w:r>
    </w:p>
    <w:p>
      <w:pPr>
        <w:spacing w:after="0" w:line="174" w:lineRule="exact"/>
        <w:rPr>
          <w:rFonts w:ascii="Arial" w:cs="Arial" w:eastAsia="Arial" w:hAnsi="Arial"/>
          <w:sz w:val="19"/>
          <w:szCs w:val="19"/>
          <w:color w:val="auto"/>
        </w:rPr>
      </w:pPr>
    </w:p>
    <w:p>
      <w:pPr>
        <w:jc w:val="both"/>
        <w:ind w:left="-656" w:right="140" w:firstLine="656"/>
        <w:spacing w:after="0" w:line="252"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Change, Discharge, Termination, or Waiver</w:t>
      </w:r>
      <w:r>
        <w:rPr>
          <w:rFonts w:ascii="Arial" w:cs="Arial" w:eastAsia="Arial" w:hAnsi="Arial"/>
          <w:sz w:val="21"/>
          <w:szCs w:val="21"/>
          <w:color w:val="auto"/>
        </w:rPr>
        <w:t>. No provision of this Note may be changed, discharged, terminated, or waived except in a writing signed by the party against whom enforcement of the change, discharge, termination, or waiver is sought. No failure on the part of the Bancorp to exercise and no delay by the Bancorp in exercising any right or remedy under this Note or under the law shall operate as a waiver thereof.</w:t>
      </w:r>
    </w:p>
    <w:p>
      <w:pPr>
        <w:spacing w:after="0" w:line="200" w:lineRule="exact"/>
        <w:rPr>
          <w:rFonts w:ascii="Arial" w:cs="Arial" w:eastAsia="Arial" w:hAnsi="Arial"/>
          <w:sz w:val="21"/>
          <w:szCs w:val="21"/>
          <w:color w:val="auto"/>
        </w:rPr>
      </w:pPr>
    </w:p>
    <w:p>
      <w:pPr>
        <w:ind w:left="-656" w:right="160" w:firstLine="656"/>
        <w:spacing w:after="0" w:line="236" w:lineRule="auto"/>
        <w:tabs>
          <w:tab w:leader="none" w:pos="74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If any Event of Default occurs, Shareholder promises to pay all costs of enforcement and collection and preparation therefor, including but not limited to, reasonable attorneys’ fees, whether or not any action or proceeding is brought to enforce the provisions hereof (including, without limitation, all such costs incurred in connection with any bankruptcy, receivership, or other court proceedings, whether at the trial or appellate level) or with regard to any arbitration proceeding.</w:t>
      </w:r>
    </w:p>
    <w:p>
      <w:pPr>
        <w:spacing w:after="0" w:line="392" w:lineRule="exact"/>
        <w:rPr>
          <w:rFonts w:ascii="Arial" w:cs="Arial" w:eastAsia="Arial" w:hAnsi="Arial"/>
          <w:sz w:val="22"/>
          <w:szCs w:val="22"/>
          <w:color w:val="auto"/>
        </w:rPr>
      </w:pPr>
    </w:p>
    <w:p>
      <w:pPr>
        <w:ind w:left="4924" w:hanging="76"/>
        <w:spacing w:after="0"/>
        <w:tabs>
          <w:tab w:leader="none" w:pos="4924" w:val="left"/>
        </w:tabs>
        <w:numPr>
          <w:ilvl w:val="2"/>
          <w:numId w:val="2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18" w:right="379" w:bottom="1440" w:gutter="0" w:footer="0" w:header="0"/>
        </w:sectPr>
      </w:pPr>
    </w:p>
    <w:bookmarkStart w:id="73" w:name="page74"/>
    <w:bookmarkEnd w:id="73"/>
    <w:p>
      <w:pPr>
        <w:ind w:right="260" w:firstLine="656"/>
        <w:spacing w:after="0" w:line="251" w:lineRule="auto"/>
        <w:tabs>
          <w:tab w:leader="none" w:pos="140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note shall be governed by and construed in accordance with the laws of the state of Utah without giving effect to conflict of laws principles.</w:t>
      </w:r>
    </w:p>
    <w:p>
      <w:pPr>
        <w:spacing w:after="0" w:line="200" w:lineRule="exact"/>
        <w:rPr>
          <w:rFonts w:ascii="Arial" w:cs="Arial" w:eastAsia="Arial" w:hAnsi="Arial"/>
          <w:sz w:val="22"/>
          <w:szCs w:val="22"/>
          <w:color w:val="auto"/>
        </w:rPr>
      </w:pPr>
    </w:p>
    <w:p>
      <w:pPr>
        <w:ind w:left="1420" w:hanging="764"/>
        <w:spacing w:after="0"/>
        <w:tabs>
          <w:tab w:leader="none" w:pos="142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Time of the Essence</w:t>
      </w:r>
      <w:r>
        <w:rPr>
          <w:rFonts w:ascii="Arial" w:cs="Arial" w:eastAsia="Arial" w:hAnsi="Arial"/>
          <w:sz w:val="19"/>
          <w:szCs w:val="19"/>
          <w:color w:val="auto"/>
        </w:rPr>
        <w:t>. Time is of the essence with regard to each provision of the Loan Documents as to which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is a factor.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Shareholder has executed and delivered this Note as of the day and year first above written.</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Alan Weichselbaum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Alan Weichselbaum</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AGREEMENT</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This Security Agreement (this "Security Agreement") is entered into effective as of June 1, 2022 (the “Effective Date”), by and between Alan Weichselbaum (the "Shareholder"), and FinWise Bancorp, a Utah corporation (“Secured Party”).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Secured Party has previously agreed to loan the Shareholder $143,410 so that Shareholder could exercise options to purchase 30,000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(5,000 shares prior to the July 26, 2021 forward stock split) of stock in FinWise Bancorp, a Utah corporation, (the “Shares”); and</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Secured Party to continue to extend the credit by a promissory note executed by Shareholder on even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(the “Note”), Shareholder has agreed to enter into this Security Agreement and to grant to Secured Party a security interest in the Collateral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above recitals and for other good and valuable consideration, the receipt and adequacy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Shareholder and Secured Party hereby agree as follows:</w:t>
      </w:r>
    </w:p>
    <w:p>
      <w:pPr>
        <w:spacing w:after="0" w:line="185" w:lineRule="exact"/>
        <w:rPr>
          <w:sz w:val="20"/>
          <w:szCs w:val="20"/>
          <w:color w:val="auto"/>
        </w:rPr>
      </w:pPr>
    </w:p>
    <w:p>
      <w:pPr>
        <w:ind w:right="280" w:firstLine="656"/>
        <w:spacing w:after="0" w:line="250" w:lineRule="auto"/>
        <w:tabs>
          <w:tab w:leader="none" w:pos="140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 and Interpretation</w:t>
      </w:r>
      <w:r>
        <w:rPr>
          <w:rFonts w:ascii="Arial" w:cs="Arial" w:eastAsia="Arial" w:hAnsi="Arial"/>
          <w:sz w:val="22"/>
          <w:szCs w:val="22"/>
          <w:color w:val="auto"/>
        </w:rPr>
        <w:t>. When used in this Security Agreement, the following terms have the following respective meanings: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shall mean all of Shareholder’s right, title and interest in and to the Shares.</w:t>
      </w:r>
    </w:p>
    <w:p>
      <w:pPr>
        <w:spacing w:after="0" w:line="233"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shall mean, with respect to the Collateral, any security interest, mortgage, pledge, lien, claim, charge or other encumbrance in, of, or on such property or the income therefrom.</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all obligations arising or owed by Shareholder to Secured Party or its affiliates under the Note or this Security Agreement.</w:t>
      </w:r>
    </w:p>
    <w:p>
      <w:pPr>
        <w:spacing w:after="0" w:line="202"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Shares”</w:t>
      </w:r>
      <w:r>
        <w:rPr>
          <w:rFonts w:ascii="Arial" w:cs="Arial" w:eastAsia="Arial" w:hAnsi="Arial"/>
          <w:sz w:val="22"/>
          <w:szCs w:val="22"/>
          <w:color w:val="auto"/>
        </w:rPr>
        <w:t xml:space="preserve"> shall have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UCC</w:t>
      </w:r>
      <w:r>
        <w:rPr>
          <w:rFonts w:ascii="Arial" w:cs="Arial" w:eastAsia="Arial" w:hAnsi="Arial"/>
          <w:sz w:val="22"/>
          <w:szCs w:val="22"/>
          <w:color w:val="auto"/>
        </w:rPr>
        <w:t>” means the Uniform Commercial Code as in effect in the State of Utah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defined herein, all terms defined in the UCC have the respective meanings given to those terms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UCC.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5" w:name="page76"/>
    <w:bookmarkEnd w:id="75"/>
    <w:p>
      <w:pPr>
        <w:ind w:left="1400" w:hanging="764"/>
        <w:spacing w:after="0"/>
        <w:tabs>
          <w:tab w:leader="none" w:pos="14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Grant of Security Interest</w:t>
      </w:r>
    </w:p>
    <w:p>
      <w:pPr>
        <w:spacing w:after="0" w:line="233" w:lineRule="exact"/>
        <w:rPr>
          <w:rFonts w:ascii="Arial" w:cs="Arial" w:eastAsia="Arial" w:hAnsi="Arial"/>
          <w:sz w:val="22"/>
          <w:szCs w:val="22"/>
          <w:color w:val="auto"/>
        </w:rPr>
      </w:pPr>
    </w:p>
    <w:p>
      <w:pPr>
        <w:ind w:left="-20" w:right="180" w:firstLine="1304"/>
        <w:spacing w:after="0" w:line="248" w:lineRule="auto"/>
        <w:tabs>
          <w:tab w:leader="none" w:pos="2056" w:val="left"/>
        </w:tabs>
        <w:numPr>
          <w:ilvl w:val="1"/>
          <w:numId w:val="27"/>
        </w:numPr>
        <w:rPr>
          <w:rFonts w:ascii="Arial" w:cs="Arial" w:eastAsia="Arial" w:hAnsi="Arial"/>
          <w:sz w:val="21"/>
          <w:szCs w:val="21"/>
          <w:color w:val="auto"/>
        </w:rPr>
      </w:pPr>
      <w:r>
        <w:rPr>
          <w:rFonts w:ascii="Arial" w:cs="Arial" w:eastAsia="Arial" w:hAnsi="Arial"/>
          <w:sz w:val="21"/>
          <w:szCs w:val="21"/>
          <w:color w:val="auto"/>
        </w:rPr>
        <w:t>As security for the Obligations, Shareholder hereby pledges and grants to Secured Party a security interest in all right, title and interests of Shareholder in and to the Collateral, provided, however, that unless or until there is a default on the Note or this Agreement, any and all distributions and other amounts payable on the Collateral shall be paid to the holder or registered owner of the Collateral. Notwithstanding the foregoing, Shareholder hereby irrevocably assigns and directs that following a default on the Note or this Agreement that all distributions and other amounts payable with respect to the Collateral be paid directly to Secured Party.</w:t>
      </w:r>
    </w:p>
    <w:p>
      <w:pPr>
        <w:spacing w:after="0" w:line="203" w:lineRule="exact"/>
        <w:rPr>
          <w:rFonts w:ascii="Arial" w:cs="Arial" w:eastAsia="Arial" w:hAnsi="Arial"/>
          <w:sz w:val="21"/>
          <w:szCs w:val="21"/>
          <w:color w:val="auto"/>
        </w:rPr>
      </w:pPr>
    </w:p>
    <w:p>
      <w:pPr>
        <w:ind w:left="-20" w:right="320" w:firstLine="1304"/>
        <w:spacing w:after="0" w:line="274" w:lineRule="auto"/>
        <w:tabs>
          <w:tab w:leader="none" w:pos="2068" w:val="left"/>
        </w:tabs>
        <w:numPr>
          <w:ilvl w:val="1"/>
          <w:numId w:val="27"/>
        </w:numPr>
        <w:rPr>
          <w:rFonts w:ascii="Arial" w:cs="Arial" w:eastAsia="Arial" w:hAnsi="Arial"/>
          <w:sz w:val="21"/>
          <w:szCs w:val="21"/>
          <w:color w:val="auto"/>
        </w:rPr>
      </w:pPr>
      <w:r>
        <w:rPr>
          <w:rFonts w:ascii="Arial" w:cs="Arial" w:eastAsia="Arial" w:hAnsi="Arial"/>
          <w:sz w:val="21"/>
          <w:szCs w:val="21"/>
          <w:color w:val="auto"/>
        </w:rPr>
        <w:t>Shareholder hereby irrevocably agrees to deliver any and all certificates representing the Shares to the Secured Party together with a Stock Power executed in blank to transfer the Shares to Secured Party.</w:t>
      </w:r>
    </w:p>
    <w:p>
      <w:pPr>
        <w:spacing w:after="0" w:line="177" w:lineRule="exact"/>
        <w:rPr>
          <w:rFonts w:ascii="Arial" w:cs="Arial" w:eastAsia="Arial" w:hAnsi="Arial"/>
          <w:sz w:val="21"/>
          <w:szCs w:val="21"/>
          <w:color w:val="auto"/>
        </w:rPr>
      </w:pPr>
    </w:p>
    <w:p>
      <w:pPr>
        <w:jc w:val="both"/>
        <w:ind w:left="-20" w:right="140" w:firstLine="1304"/>
        <w:spacing w:after="0" w:line="257" w:lineRule="auto"/>
        <w:tabs>
          <w:tab w:leader="none" w:pos="2056" w:val="left"/>
        </w:tabs>
        <w:numPr>
          <w:ilvl w:val="1"/>
          <w:numId w:val="27"/>
        </w:numPr>
        <w:rPr>
          <w:rFonts w:ascii="Arial" w:cs="Arial" w:eastAsia="Arial" w:hAnsi="Arial"/>
          <w:sz w:val="21"/>
          <w:szCs w:val="21"/>
          <w:color w:val="auto"/>
        </w:rPr>
      </w:pPr>
      <w:r>
        <w:rPr>
          <w:rFonts w:ascii="Arial" w:cs="Arial" w:eastAsia="Arial" w:hAnsi="Arial"/>
          <w:sz w:val="21"/>
          <w:szCs w:val="21"/>
          <w:color w:val="auto"/>
        </w:rPr>
        <w:t>Shareholder hereby agrees to execute a Stock Power in “blank” and deliver the same to Secured Party to be held by Secured Party pending payment of the Note. Shareholder hereby irrevocably authorizes the Secured Party, to hold all of the certificate or certificates representing the shares pending repayment of the</w:t>
      </w:r>
    </w:p>
    <w:p>
      <w:pPr>
        <w:spacing w:after="0" w:line="196" w:lineRule="exact"/>
        <w:rPr>
          <w:rFonts w:ascii="Arial" w:cs="Arial" w:eastAsia="Arial" w:hAnsi="Arial"/>
          <w:sz w:val="21"/>
          <w:szCs w:val="21"/>
          <w:color w:val="auto"/>
        </w:rPr>
      </w:pPr>
    </w:p>
    <w:p>
      <w:pPr>
        <w:ind w:left="-20" w:firstLine="1304"/>
        <w:spacing w:after="0" w:line="252" w:lineRule="auto"/>
        <w:tabs>
          <w:tab w:leader="none" w:pos="2068" w:val="left"/>
        </w:tabs>
        <w:numPr>
          <w:ilvl w:val="1"/>
          <w:numId w:val="27"/>
        </w:numPr>
        <w:rPr>
          <w:rFonts w:ascii="Arial" w:cs="Arial" w:eastAsia="Arial" w:hAnsi="Arial"/>
          <w:sz w:val="21"/>
          <w:szCs w:val="21"/>
          <w:color w:val="auto"/>
        </w:rPr>
      </w:pPr>
      <w:r>
        <w:rPr>
          <w:rFonts w:ascii="Arial" w:cs="Arial" w:eastAsia="Arial" w:hAnsi="Arial"/>
          <w:sz w:val="21"/>
          <w:szCs w:val="21"/>
          <w:color w:val="auto"/>
        </w:rPr>
        <w:t>Shareholder hereby irrevocably authorizes the Secured Party, to the extent that the Secured Party deems it necessary or advisable, to file in any filing office in any UCC jurisdiction any initial financing statements and amendments thereto that identifies the Collateral and provides any other information required by part 5 of Article 9 of the UCC for the sufficiency or filing office acceptance of any financing statement or amendment.</w:t>
      </w:r>
    </w:p>
    <w:p>
      <w:pPr>
        <w:spacing w:after="0" w:line="200" w:lineRule="exact"/>
        <w:rPr>
          <w:rFonts w:ascii="Arial" w:cs="Arial" w:eastAsia="Arial" w:hAnsi="Arial"/>
          <w:sz w:val="21"/>
          <w:szCs w:val="21"/>
          <w:color w:val="auto"/>
        </w:rPr>
      </w:pPr>
    </w:p>
    <w:p>
      <w:pPr>
        <w:ind w:left="-20" w:right="600" w:firstLine="656"/>
        <w:spacing w:after="0" w:line="287" w:lineRule="auto"/>
        <w:tabs>
          <w:tab w:leader="none" w:pos="133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General Representations and Warranties</w:t>
      </w:r>
      <w:r>
        <w:rPr>
          <w:rFonts w:ascii="Arial" w:cs="Arial" w:eastAsia="Arial" w:hAnsi="Arial"/>
          <w:sz w:val="19"/>
          <w:szCs w:val="19"/>
          <w:color w:val="auto"/>
        </w:rPr>
        <w:t>. Shareholder represents and warrants to Secured Party that (i) Shareholder is the owner of the Collateral and that no other Person has any right, title, claim or interest (by way of lien or otherwise) in, against or to the Collateral; and (ii) upon execution of this Security Agreement and delivery of the certificate representing the Shares, Secured Party will have a perfected security interest in and to the Collateral.</w:t>
      </w:r>
    </w:p>
    <w:p>
      <w:pPr>
        <w:spacing w:after="0" w:line="169" w:lineRule="exact"/>
        <w:rPr>
          <w:rFonts w:ascii="Arial" w:cs="Arial" w:eastAsia="Arial" w:hAnsi="Arial"/>
          <w:sz w:val="19"/>
          <w:szCs w:val="19"/>
          <w:color w:val="auto"/>
        </w:rPr>
      </w:pPr>
    </w:p>
    <w:p>
      <w:pPr>
        <w:ind w:left="-20" w:right="80" w:firstLine="656"/>
        <w:spacing w:after="0" w:line="245" w:lineRule="auto"/>
        <w:tabs>
          <w:tab w:leader="none" w:pos="1384"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Covenants Relating to Collateral</w:t>
      </w:r>
      <w:r>
        <w:rPr>
          <w:rFonts w:ascii="Arial" w:cs="Arial" w:eastAsia="Arial" w:hAnsi="Arial"/>
          <w:sz w:val="21"/>
          <w:szCs w:val="21"/>
          <w:color w:val="auto"/>
        </w:rPr>
        <w:t>. Shareholder hereby agrees (i) to perform all acts that may be necessary to maintain, preserve, protect and perfect the Collateral, the Lien granted to Secured Party therein and the perfection and priority of such Lien; (ii) to pay promptly when due all taxes and other governmental charges, all Liens and all other charges now or hereafter imposed upon or affecting any Collateral; (iii) to procure, execute and deliver from time to time any endorsements, assignments, financing statements and other writings reasonably deemed necessary or appropriate by Secured Party to maintain and protect its Lien hereunder and the priority thereof and to deliver promptly upon the request of the Secured Party all originals of Collateral consisting of instruments; (iv) to appear in and defend any action or proceeding which may affect its title to or Secured Party’s interest in the Collateral; and (v) not to surrender or lose possession of (other than to Secured Party), sell, encumber, lease or otherwise dispose of or transfer any Collateral or right or interest therein, and to keep the Collateral free of all Liens.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76" w:name="page77"/>
    <w:bookmarkEnd w:id="76"/>
    <w:p>
      <w:pPr>
        <w:jc w:val="both"/>
        <w:ind w:right="60" w:firstLine="656"/>
        <w:spacing w:after="0" w:line="287" w:lineRule="auto"/>
        <w:tabs>
          <w:tab w:leader="none" w:pos="140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Litigation and Other Proceedings</w:t>
      </w:r>
      <w:r>
        <w:rPr>
          <w:rFonts w:ascii="Arial" w:cs="Arial" w:eastAsia="Arial" w:hAnsi="Arial"/>
          <w:sz w:val="19"/>
          <w:szCs w:val="19"/>
          <w:color w:val="auto"/>
        </w:rPr>
        <w:t>. Upon the occurrence and during the continuation of an event of default, Secured Party shall have the right but not the obligation to bring suit or institute proceedings in the name of Shareholder or Secured Party to enforce any rights in the Collateral, in which event Shareholder shall at the request of Secured Party do any and all lawful acts and execute any and all documents reasonably required by Secured Party in aid of such enforcement.</w:t>
      </w:r>
    </w:p>
    <w:p>
      <w:pPr>
        <w:spacing w:after="0" w:line="170" w:lineRule="exact"/>
        <w:rPr>
          <w:rFonts w:ascii="Arial" w:cs="Arial" w:eastAsia="Arial" w:hAnsi="Arial"/>
          <w:sz w:val="19"/>
          <w:szCs w:val="19"/>
          <w:color w:val="auto"/>
        </w:rPr>
      </w:pPr>
    </w:p>
    <w:p>
      <w:pPr>
        <w:ind w:left="1420" w:hanging="764"/>
        <w:spacing w:after="0"/>
        <w:tabs>
          <w:tab w:leader="none" w:pos="142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Default and Remedies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1304"/>
        <w:spacing w:after="0"/>
        <w:tabs>
          <w:tab w:leader="none" w:pos="2076"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Shareholder shall be deemed in default under this Security Agreement upon the occurrence and during the continuance of a default or breach of any of Shareholder’s obligations arising under the terms of the Note, or this Security Agreement.</w:t>
      </w:r>
    </w:p>
    <w:p>
      <w:pPr>
        <w:spacing w:after="0" w:line="213" w:lineRule="exact"/>
        <w:rPr>
          <w:rFonts w:ascii="Arial" w:cs="Arial" w:eastAsia="Arial" w:hAnsi="Arial"/>
          <w:sz w:val="22"/>
          <w:szCs w:val="22"/>
          <w:color w:val="auto"/>
        </w:rPr>
      </w:pPr>
    </w:p>
    <w:p>
      <w:pPr>
        <w:ind w:right="100" w:firstLine="1304"/>
        <w:spacing w:after="0" w:line="297" w:lineRule="auto"/>
        <w:tabs>
          <w:tab w:leader="none" w:pos="2088"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Upon the occurrence and during the continuance of any event of default, Secured Party shall have the rights of a secured creditor under the UCC and all rights granted by this Security Agreement and by law. Following a default, the Secured Party shall have the right to repossess the number of shares equal to the following formula: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Balance Due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Per Share FMV</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For purposes of this paragraph, if Secured Party’s shares are traded on a national stock exchange, “Per Share FMV” shall mean the price per shares of the Secured Party’s common stock on such national exchange as of the close of business on the day of repossession. If Secured Party’s common stock is not traded on a national stock exchange, then “Per Share FMV” shall mean the book value of a single share of stock on the date of repossession as determined by Secured Party’s Board of Directors in its sole subjective discretion in accordance with past practice. “Balance Due” shall mean the total amount due under the Note and this Agreement at the time of repossession. Fractional amounts shall be rounded up to the next whole share even if closer to the lesser number of shares.</w:t>
      </w:r>
    </w:p>
    <w:p>
      <w:pPr>
        <w:spacing w:after="0" w:line="211" w:lineRule="exact"/>
        <w:rPr>
          <w:sz w:val="20"/>
          <w:szCs w:val="20"/>
          <w:color w:val="auto"/>
        </w:rPr>
      </w:pPr>
    </w:p>
    <w:p>
      <w:pPr>
        <w:ind w:left="1420" w:hanging="764"/>
        <w:spacing w:after="0"/>
        <w:tabs>
          <w:tab w:leader="none" w:pos="14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60" w:firstLine="1304"/>
        <w:spacing w:after="0" w:line="297" w:lineRule="auto"/>
        <w:tabs>
          <w:tab w:leader="none" w:pos="2076"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provided herein, all notices, requests, demands, consents, instructions or other communications to or upon Shareholder or Secured Party under this Security Agreement shall be in writing and faxed, mailed or delivered to each party to the facsimile number or the address set forth in the signature page hereof.</w:t>
      </w:r>
    </w:p>
    <w:p>
      <w:pPr>
        <w:spacing w:after="0" w:line="160" w:lineRule="exact"/>
        <w:rPr>
          <w:rFonts w:ascii="Arial" w:cs="Arial" w:eastAsia="Arial" w:hAnsi="Arial"/>
          <w:sz w:val="19"/>
          <w:szCs w:val="19"/>
          <w:color w:val="auto"/>
        </w:rPr>
      </w:pPr>
    </w:p>
    <w:p>
      <w:pPr>
        <w:ind w:firstLine="1304"/>
        <w:spacing w:after="0"/>
        <w:tabs>
          <w:tab w:leader="none" w:pos="2088"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Nonwaiver</w:t>
      </w:r>
      <w:r>
        <w:rPr>
          <w:rFonts w:ascii="Arial" w:cs="Arial" w:eastAsia="Arial" w:hAnsi="Arial"/>
          <w:sz w:val="22"/>
          <w:szCs w:val="22"/>
          <w:color w:val="auto"/>
        </w:rPr>
        <w:t>. No failure or delay on the part of Secured Party in exercising any of its rights hereunder will operate as a waiver thereof or of any other right nor shall any single or partial exercise of any such right preclude any other further exercise thereof or of any other right.</w:t>
      </w:r>
    </w:p>
    <w:p>
      <w:pPr>
        <w:spacing w:after="0" w:line="213" w:lineRule="exact"/>
        <w:rPr>
          <w:rFonts w:ascii="Arial" w:cs="Arial" w:eastAsia="Arial" w:hAnsi="Arial"/>
          <w:sz w:val="22"/>
          <w:szCs w:val="22"/>
          <w:color w:val="auto"/>
        </w:rPr>
      </w:pPr>
    </w:p>
    <w:p>
      <w:pPr>
        <w:jc w:val="both"/>
        <w:ind w:right="160" w:firstLine="1304"/>
        <w:spacing w:after="0" w:line="257" w:lineRule="auto"/>
        <w:tabs>
          <w:tab w:leader="none" w:pos="2076"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This Security Agreement may not be amended or modified, nor may any of its terms be waived, except by written instruments signed by Shareholder and Secured Party. Each waiver or consent under any provision hereof shall be effective only in the specific instances for the purpose for which given.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ind w:right="40" w:firstLine="1304"/>
        <w:spacing w:after="0" w:line="258" w:lineRule="auto"/>
        <w:tabs>
          <w:tab w:leader="none" w:pos="208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Assignments</w:t>
      </w:r>
      <w:r>
        <w:rPr>
          <w:rFonts w:ascii="Arial" w:cs="Arial" w:eastAsia="Arial" w:hAnsi="Arial"/>
          <w:sz w:val="21"/>
          <w:szCs w:val="21"/>
          <w:color w:val="auto"/>
        </w:rPr>
        <w:t>. This Security Agreement shall be binding upon and inure to the benefit of Secured Party and Shareholder and their respective successors and assigns; provided, however, that Shareholder may not sell, assign or delegate rights and obligations hereunder without the prior written consent of Secured Party.</w:t>
      </w:r>
    </w:p>
    <w:p>
      <w:pPr>
        <w:spacing w:after="0" w:line="193" w:lineRule="exact"/>
        <w:rPr>
          <w:rFonts w:ascii="Arial" w:cs="Arial" w:eastAsia="Arial" w:hAnsi="Arial"/>
          <w:sz w:val="21"/>
          <w:szCs w:val="21"/>
          <w:color w:val="auto"/>
        </w:rPr>
      </w:pPr>
    </w:p>
    <w:p>
      <w:pPr>
        <w:ind w:firstLine="1304"/>
        <w:spacing w:after="0" w:line="235" w:lineRule="auto"/>
        <w:tabs>
          <w:tab w:leader="none" w:pos="207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Cumulative Rights, etc</w:t>
      </w:r>
      <w:r>
        <w:rPr>
          <w:rFonts w:ascii="Arial" w:cs="Arial" w:eastAsia="Arial" w:hAnsi="Arial"/>
          <w:sz w:val="22"/>
          <w:szCs w:val="22"/>
          <w:color w:val="auto"/>
        </w:rPr>
        <w:t>. The rights, powers and remedies of Secured Party under this Security Agreement shall be in addition to all rights, powers and remedies given to Secured Party by virtue of any applicable law, rule or regulation of any governmental authority and the Note, all of which rights, powers, and remedies will be cumulative and may be exercised successively or concurrently without impairing Secured Party’s rights hereunder. Shareholder waives any right to require Secured Party to proceed against any person or entity or to exhaust any Collateral or to pursue any remedy in Secured Party’s power.</w:t>
      </w:r>
    </w:p>
    <w:p>
      <w:pPr>
        <w:spacing w:after="0" w:line="214" w:lineRule="exact"/>
        <w:rPr>
          <w:rFonts w:ascii="Arial" w:cs="Arial" w:eastAsia="Arial" w:hAnsi="Arial"/>
          <w:sz w:val="22"/>
          <w:szCs w:val="22"/>
          <w:color w:val="auto"/>
        </w:rPr>
      </w:pPr>
    </w:p>
    <w:p>
      <w:pPr>
        <w:ind w:right="540" w:firstLine="1304"/>
        <w:spacing w:after="0"/>
        <w:tabs>
          <w:tab w:leader="none" w:pos="210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Payments Free of Taxes, Etc</w:t>
      </w:r>
      <w:r>
        <w:rPr>
          <w:rFonts w:ascii="Arial" w:cs="Arial" w:eastAsia="Arial" w:hAnsi="Arial"/>
          <w:sz w:val="22"/>
          <w:szCs w:val="22"/>
          <w:color w:val="auto"/>
        </w:rPr>
        <w:t>. All payments made by Shareholder under the Note will be made by Shareholder free and clear of and without deduction for any and all present and future taxes, levies, charges, deductions and withholdings.</w:t>
      </w:r>
    </w:p>
    <w:p>
      <w:pPr>
        <w:spacing w:after="0" w:line="213" w:lineRule="exact"/>
        <w:rPr>
          <w:rFonts w:ascii="Arial" w:cs="Arial" w:eastAsia="Arial" w:hAnsi="Arial"/>
          <w:sz w:val="22"/>
          <w:szCs w:val="22"/>
          <w:color w:val="auto"/>
        </w:rPr>
      </w:pPr>
    </w:p>
    <w:p>
      <w:pPr>
        <w:jc w:val="both"/>
        <w:ind w:right="200" w:firstLine="1304"/>
        <w:spacing w:after="0" w:line="238" w:lineRule="auto"/>
        <w:tabs>
          <w:tab w:leader="none" w:pos="208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Partial Invalidity</w:t>
      </w:r>
      <w:r>
        <w:rPr>
          <w:rFonts w:ascii="Arial" w:cs="Arial" w:eastAsia="Arial" w:hAnsi="Arial"/>
          <w:sz w:val="22"/>
          <w:szCs w:val="22"/>
          <w:color w:val="auto"/>
        </w:rPr>
        <w:t>. If at any time any provision of this Security Agreement is or becomes illegal, invalid or unenforceable in any respect under the law of any jurisdiction, neither the legality, validity or enforceability of the remaining provisions of this Security Agreement nor the legality, validity or enforceability of such provision under the law of any other jurisdiction shall in any way be affected or impaired thereby.</w:t>
      </w:r>
    </w:p>
    <w:p>
      <w:pPr>
        <w:spacing w:after="0" w:line="211" w:lineRule="exact"/>
        <w:rPr>
          <w:rFonts w:ascii="Arial" w:cs="Arial" w:eastAsia="Arial" w:hAnsi="Arial"/>
          <w:sz w:val="22"/>
          <w:szCs w:val="22"/>
          <w:color w:val="auto"/>
        </w:rPr>
      </w:pPr>
    </w:p>
    <w:p>
      <w:pPr>
        <w:ind w:right="100" w:firstLine="1304"/>
        <w:spacing w:after="0" w:line="297" w:lineRule="auto"/>
        <w:tabs>
          <w:tab w:leader="none" w:pos="208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Each of this Security Agreement and the Note is the result of negotiations among, and has been reviewed by, Shareholder and Secured Party. Accordingly, this Security Agreement and the Note will be deemed to be the product of all parties hereto, and no ambiguity shall be construed in favor of or against Shareholder or Secured Party.</w:t>
      </w:r>
    </w:p>
    <w:p>
      <w:pPr>
        <w:spacing w:after="0" w:line="161" w:lineRule="exact"/>
        <w:rPr>
          <w:sz w:val="20"/>
          <w:szCs w:val="20"/>
          <w:color w:val="auto"/>
        </w:rPr>
      </w:pPr>
    </w:p>
    <w:p>
      <w:pPr>
        <w:ind w:right="120" w:firstLine="1304"/>
        <w:spacing w:after="0" w:line="297" w:lineRule="auto"/>
        <w:tabs>
          <w:tab w:leader="none" w:pos="208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Security Agreement and the Note constitute and contain the entire agreement of Shareholder and Secured Party and supersede any and all prior agreements, negotiations, correspondence, understandings and communications among the parties, whether written or oral, respecting the subject matter hereof.</w:t>
      </w:r>
    </w:p>
    <w:p>
      <w:pPr>
        <w:spacing w:after="0" w:line="160" w:lineRule="exact"/>
        <w:rPr>
          <w:rFonts w:ascii="Arial" w:cs="Arial" w:eastAsia="Arial" w:hAnsi="Arial"/>
          <w:sz w:val="19"/>
          <w:szCs w:val="19"/>
          <w:color w:val="auto"/>
        </w:rPr>
      </w:pPr>
    </w:p>
    <w:p>
      <w:pPr>
        <w:ind w:right="340" w:firstLine="1304"/>
        <w:spacing w:after="0" w:line="250" w:lineRule="auto"/>
        <w:tabs>
          <w:tab w:leader="none" w:pos="208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Security Agreement shall be governed by and construed in accordance with the laws of the State of Utah without reference to conflicts of law rules.</w:t>
      </w:r>
    </w:p>
    <w:p>
      <w:pPr>
        <w:spacing w:after="0" w:line="201" w:lineRule="exact"/>
        <w:rPr>
          <w:rFonts w:ascii="Arial" w:cs="Arial" w:eastAsia="Arial" w:hAnsi="Arial"/>
          <w:sz w:val="22"/>
          <w:szCs w:val="22"/>
          <w:color w:val="auto"/>
        </w:rPr>
      </w:pPr>
    </w:p>
    <w:p>
      <w:pPr>
        <w:ind w:right="260" w:firstLine="1304"/>
        <w:spacing w:after="0" w:line="250" w:lineRule="auto"/>
        <w:tabs>
          <w:tab w:leader="none" w:pos="209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Security Agreement may be executed in any number of counterparts, each of which shall be an original, but all of which together shall be deemed to constitute one instrument.</w:t>
      </w:r>
    </w:p>
    <w:p>
      <w:pPr>
        <w:spacing w:after="0" w:line="201" w:lineRule="exact"/>
        <w:rPr>
          <w:rFonts w:ascii="Arial" w:cs="Arial" w:eastAsia="Arial" w:hAnsi="Arial"/>
          <w:sz w:val="22"/>
          <w:szCs w:val="22"/>
          <w:color w:val="auto"/>
        </w:rPr>
      </w:pPr>
    </w:p>
    <w:p>
      <w:pPr>
        <w:ind w:right="20" w:firstLine="1304"/>
        <w:spacing w:after="0" w:line="279" w:lineRule="auto"/>
        <w:tabs>
          <w:tab w:leader="none" w:pos="209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Waiver of Right to Jury</w:t>
      </w:r>
      <w:r>
        <w:rPr>
          <w:rFonts w:ascii="Arial" w:cs="Arial" w:eastAsia="Arial" w:hAnsi="Arial"/>
          <w:sz w:val="19"/>
          <w:szCs w:val="19"/>
          <w:color w:val="auto"/>
        </w:rPr>
        <w:t>. In order to avoid delays and minimize expense Shareholder and Secured Party knowingly, voluntarily and intentionally waive any right to trial by jury in respect of any claim, demand, action or cause of action arising out of, under or in connection with this agreement or any related writing or any amendment thereto, whether now existing or hereinafter arising and whether sounding in contract or tort or otherwise, and each party hereby agrees and consents that any such claim, demand, action or cause of action shall be decided by a court trial without a jury, and a copy of this agreement may be filed with any court as evidence of the consent of each of the parties hereto to the waiver of its right to trial by jury.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Next Page]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Security Agreement to be executed as of the day and year first above written.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SHAREHOLDER: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Alan Weichselbaum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Weichselbaum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50 Sealey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4312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Lawrence, NY 11559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4312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FinWise Bancorp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Javvis Jacobson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Its: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515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756 E. Winchester St., Suite 100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Murray UT 84107</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Kent Landvatter, certify that:</w:t>
      </w:r>
    </w:p>
    <w:p>
      <w:pPr>
        <w:spacing w:after="0" w:line="240"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820" w:right="220" w:hanging="326"/>
        <w:spacing w:after="0" w:line="263"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820" w:right="520" w:hanging="326"/>
        <w:spacing w:after="0" w:line="263"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820" w:right="700" w:hanging="326"/>
        <w:spacing w:after="0" w:line="342"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200" w:hanging="326"/>
        <w:spacing w:after="0" w:line="263"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20" w:right="120" w:hanging="326"/>
        <w:spacing w:after="0" w:line="277"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80" w:hanging="326"/>
        <w:spacing w:after="0" w:line="277"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Javvis Jacobson, certify that:</w:t>
      </w:r>
    </w:p>
    <w:p>
      <w:pPr>
        <w:spacing w:after="0" w:line="240"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486"/>
        <w:spacing w:after="0" w:line="342"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00"/>
        <w:spacing w:after="0" w:line="24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FinWise Bancorp (the “Company”) on Form 10-Q for the period ended September 30,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1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foregoing certification is being furnished solely pursuant to the requirements of 18 U.S.C. § 1350 and is not being filed as a part of the Report or as a separate disclosure document.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upperLetter"/>
      <w:start w:val="68"/>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lvl w:ilvl="1">
      <w:lvlJc w:val="left"/>
      <w:lvlText w:val="-"/>
      <w:numFmt w:val="bullet"/>
      <w:start w:val="1"/>
    </w:lvl>
  </w:abstractNum>
  <w:abstractNum w:abstractNumId="14">
    <w:nsid w:val="8EDBDA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lvl w:ilvl="1">
      <w:lvlJc w:val="left"/>
      <w:lvlText w:val="(%2)"/>
      <w:numFmt w:val="lowerLetter"/>
      <w:start w:val="1"/>
    </w:lvl>
  </w:abstractNum>
  <w:abstractNum w:abstractNumId="18">
    <w:nsid w:val="189A769B"/>
    <w:multiLevelType w:val="hybridMultilevel"/>
    <w:lvl w:ilvl="0">
      <w:lvlJc w:val="left"/>
      <w:lvlText w:val="%1."/>
      <w:numFmt w:val="decimal"/>
      <w:start w:val="5"/>
    </w:lvl>
    <w:lvl w:ilvl="1">
      <w:lvlJc w:val="left"/>
      <w:lvlText w:val="(%2)"/>
      <w:numFmt w:val="lowerLetter"/>
      <w:start w:val="1"/>
    </w:lvl>
  </w:abstractNum>
  <w:abstractNum w:abstractNumId="19">
    <w:nsid w:val="54E49EB4"/>
    <w:multiLevelType w:val="hybridMultilevel"/>
    <w:lvl w:ilvl="0">
      <w:lvlJc w:val="left"/>
      <w:lvlText w:val="%1."/>
      <w:numFmt w:val="decimal"/>
      <w:start w:val="7"/>
    </w:lvl>
    <w:lvl w:ilvl="1">
      <w:lvlJc w:val="left"/>
      <w:lvlText w:val="(%2)"/>
      <w:numFmt w:val="lowerLetter"/>
      <w:start w:val="1"/>
    </w:lvl>
  </w:abstractNum>
  <w:abstractNum w:abstractNumId="20">
    <w:nsid w:val="71F32454"/>
    <w:multiLevelType w:val="hybridMultilevel"/>
    <w:lvl w:ilvl="0">
      <w:lvlJc w:val="left"/>
      <w:lvlText w:val="(%1)"/>
      <w:numFmt w:val="lowerLetter"/>
      <w:start w:val="4"/>
    </w:lvl>
  </w:abstractNum>
  <w:abstractNum w:abstractNumId="21">
    <w:nsid w:val="2CA88611"/>
    <w:multiLevelType w:val="hybridMultilevel"/>
    <w:lvl w:ilvl="0">
      <w:lvlJc w:val="left"/>
      <w:lvlText w:val="(%1)"/>
      <w:numFmt w:val="lowerLetter"/>
      <w:start w:val="7"/>
    </w:lvl>
  </w:abstractNum>
  <w:abstractNum w:abstractNumId="22">
    <w:nsid w:val="836C40E"/>
    <w:multiLevelType w:val="hybridMultilevel"/>
    <w:lvl w:ilvl="0">
      <w:lvlJc w:val="left"/>
      <w:lvlText w:val="%1."/>
      <w:numFmt w:val="decimal"/>
      <w:start w:val="1"/>
    </w:lvl>
    <w:lvl w:ilvl="1">
      <w:lvlJc w:val="left"/>
      <w:lvlText w:val="-"/>
      <w:numFmt w:val="bullet"/>
      <w:start w:val="1"/>
    </w:lvl>
  </w:abstractNum>
  <w:abstractNum w:abstractNumId="23">
    <w:nsid w:val="2901D82"/>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4">
    <w:nsid w:val="3A95F874"/>
    <w:multiLevelType w:val="hybridMultilevel"/>
    <w:lvl w:ilvl="0">
      <w:lvlJc w:val="left"/>
      <w:lvlText w:val="%1."/>
      <w:numFmt w:val="decimal"/>
      <w:start w:val="13"/>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2"/>
    </w:lvl>
    <w:lvl w:ilvl="1">
      <w:lvlJc w:val="left"/>
      <w:lvlText w:val="(%2)"/>
      <w:numFmt w:val="lowerLetter"/>
      <w:start w:val="1"/>
    </w:lvl>
  </w:abstractNum>
  <w:abstractNum w:abstractNumId="27">
    <w:nsid w:val="7C3DBD3D"/>
    <w:multiLevelType w:val="hybridMultilevel"/>
    <w:lvl w:ilvl="0">
      <w:lvlJc w:val="left"/>
      <w:lvlText w:val="%1."/>
      <w:numFmt w:val="decimal"/>
      <w:start w:val="5"/>
    </w:lvl>
    <w:lvl w:ilvl="1">
      <w:lvlJc w:val="left"/>
      <w:lvlText w:val="(%2)"/>
      <w:numFmt w:val="lowerLetter"/>
      <w:start w:val="1"/>
    </w:lvl>
  </w:abstractNum>
  <w:abstractNum w:abstractNumId="28">
    <w:nsid w:val="737B8DDC"/>
    <w:multiLevelType w:val="hybridMultilevel"/>
    <w:lvl w:ilvl="0">
      <w:lvlJc w:val="left"/>
      <w:lvlText w:val="%1."/>
      <w:numFmt w:val="decimal"/>
      <w:start w:val="7"/>
    </w:lvl>
    <w:lvl w:ilvl="1">
      <w:lvlJc w:val="left"/>
      <w:lvlText w:val="(%2)"/>
      <w:numFmt w:val="lowerLetter"/>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lowerLetter"/>
      <w:start w:val="7"/>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66" Type="http://schemas.openxmlformats.org/officeDocument/2006/relationships/hyperlink" Target="https://www.sec.gov/Archives/edgar/data/1856365/000114036121026281/nt10024103x7_ex3-1.htm" TargetMode="External"/><Relationship Id="rId67" Type="http://schemas.openxmlformats.org/officeDocument/2006/relationships/hyperlink" Target="https://www.sec.gov/Archives/edgar/data/1856365/000114036121026281/nt10024103x7_ex3-2.htm" TargetMode="External"/><Relationship Id="rId68" Type="http://schemas.openxmlformats.org/officeDocument/2006/relationships/hyperlink" Target="https://www.sec.gov/Archives/edgar/data/1856365/000114036121024467/nt10024103x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2022-11-15T00:25:08Z</dcterms:created>
  <dcterms:modified xsi:type="dcterms:W3CDTF">2022-11-15T00:25:08Z</dcterms:modified>
</cp:coreProperties>
</file>