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603885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__________________________________________________</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__________________________________________________</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480" w:hanging="454"/>
        <w:spacing w:after="0"/>
        <w:tabs>
          <w:tab w:leader="none" w:pos="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480" w:hanging="454"/>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________to 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001-40721</w:t>
      </w:r>
    </w:p>
    <w:p>
      <w:pPr>
        <w:spacing w:after="0" w:line="2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__________________________________________________</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FINWISE BANCORP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__________________________________________________</w:t>
      </w:r>
    </w:p>
    <w:p>
      <w:pPr>
        <w:spacing w:after="0" w:line="220"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47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4"/>
              </w:rPr>
              <w:t>Utah</w:t>
            </w:r>
          </w:p>
        </w:tc>
        <w:tc>
          <w:tcPr>
            <w:tcW w:w="3120" w:type="dxa"/>
            <w:vAlign w:val="bottom"/>
          </w:tcPr>
          <w:p>
            <w:pPr>
              <w:jc w:val="right"/>
              <w:ind w:right="190"/>
              <w:spacing w:after="0"/>
              <w:rPr>
                <w:sz w:val="20"/>
                <w:szCs w:val="20"/>
                <w:color w:val="auto"/>
              </w:rPr>
            </w:pPr>
            <w:r>
              <w:rPr>
                <w:rFonts w:ascii="Arial" w:cs="Arial" w:eastAsia="Arial" w:hAnsi="Arial"/>
                <w:sz w:val="18"/>
                <w:szCs w:val="18"/>
                <w:b w:val="1"/>
                <w:bCs w:val="1"/>
                <w:color w:val="auto"/>
              </w:rPr>
              <w:t>83-0356689</w:t>
            </w:r>
          </w:p>
        </w:tc>
        <w:tc>
          <w:tcPr>
            <w:tcW w:w="0" w:type="dxa"/>
            <w:vAlign w:val="bottom"/>
          </w:tcPr>
          <w:p>
            <w:pPr>
              <w:spacing w:after="0"/>
              <w:rPr>
                <w:sz w:val="1"/>
                <w:szCs w:val="1"/>
                <w:color w:val="auto"/>
              </w:rPr>
            </w:pPr>
          </w:p>
        </w:tc>
      </w:tr>
      <w:tr>
        <w:trPr>
          <w:trHeight w:val="238"/>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(State or other jurisdiction of</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incorporation or organization)</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252"/>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89"/>
              </w:rPr>
              <w:t>756 East Winchester, Suite 100</w:t>
            </w:r>
          </w:p>
        </w:tc>
        <w:tc>
          <w:tcPr>
            <w:tcW w:w="31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84107</w:t>
            </w:r>
          </w:p>
        </w:tc>
        <w:tc>
          <w:tcPr>
            <w:tcW w:w="0" w:type="dxa"/>
            <w:vAlign w:val="bottom"/>
          </w:tcPr>
          <w:p>
            <w:pPr>
              <w:spacing w:after="0"/>
              <w:rPr>
                <w:sz w:val="1"/>
                <w:szCs w:val="1"/>
                <w:color w:val="auto"/>
              </w:rPr>
            </w:pPr>
          </w:p>
        </w:tc>
      </w:tr>
      <w:tr>
        <w:trPr>
          <w:trHeight w:val="234"/>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8"/>
              </w:rPr>
              <w:t>Murray, Utah</w:t>
            </w:r>
          </w:p>
        </w:tc>
        <w:tc>
          <w:tcPr>
            <w:tcW w:w="3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tcPr>
          <w:p>
            <w:pPr>
              <w:jc w:val="center"/>
              <w:ind w:right="1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bl>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(801) 501-7200</w:t>
      </w:r>
    </w:p>
    <w:p>
      <w:pPr>
        <w:spacing w:after="0" w:line="2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__________________________________________________</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3"/>
          </w:tcPr>
          <w:p>
            <w:pPr>
              <w:ind w:left="500"/>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27"/>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Trading</w:t>
            </w:r>
          </w:p>
        </w:tc>
        <w:tc>
          <w:tcPr>
            <w:tcW w:w="4560" w:type="dxa"/>
            <w:vAlign w:val="bottom"/>
          </w:tcPr>
          <w:p>
            <w:pPr>
              <w:spacing w:after="0"/>
              <w:rPr>
                <w:sz w:val="24"/>
                <w:szCs w:val="24"/>
                <w:color w:val="auto"/>
              </w:rPr>
            </w:pPr>
          </w:p>
        </w:tc>
      </w:tr>
      <w:tr>
        <w:trPr>
          <w:trHeight w:val="255"/>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Symbol(s)</w:t>
            </w:r>
          </w:p>
        </w:tc>
        <w:tc>
          <w:tcPr>
            <w:tcW w:w="100" w:type="dxa"/>
            <w:vAlign w:val="bottom"/>
          </w:tcPr>
          <w:p>
            <w:pPr>
              <w:spacing w:after="0"/>
              <w:rPr>
                <w:sz w:val="22"/>
                <w:szCs w:val="22"/>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43"/>
        </w:trPr>
        <w:tc>
          <w:tcPr>
            <w:tcW w:w="49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7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FINW</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69" w:lineRule="exact"/>
        <w:rPr>
          <w:sz w:val="24"/>
          <w:szCs w:val="24"/>
          <w:color w:val="auto"/>
        </w:rPr>
      </w:pPr>
    </w:p>
    <w:p>
      <w:pPr>
        <w:ind w:right="60" w:firstLine="486"/>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3" w:lineRule="exact"/>
        <w:rPr>
          <w:sz w:val="24"/>
          <w:szCs w:val="24"/>
          <w:color w:val="auto"/>
        </w:rPr>
      </w:pPr>
    </w:p>
    <w:p>
      <w:pPr>
        <w:ind w:right="60" w:firstLine="486"/>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57" w:lineRule="exact"/>
        <w:rPr>
          <w:sz w:val="24"/>
          <w:szCs w:val="24"/>
          <w:color w:val="auto"/>
        </w:rPr>
      </w:pPr>
    </w:p>
    <w:p>
      <w:pPr>
        <w:ind w:right="16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880"/>
              <w:spacing w:after="0"/>
              <w:rPr>
                <w:sz w:val="20"/>
                <w:szCs w:val="20"/>
                <w:color w:val="auto"/>
              </w:rPr>
            </w:pPr>
            <w:r>
              <w:rPr>
                <w:rFonts w:ascii="Arial" w:cs="Arial" w:eastAsia="Arial" w:hAnsi="Arial"/>
                <w:sz w:val="18"/>
                <w:szCs w:val="18"/>
                <w:color w:val="auto"/>
              </w:rPr>
              <w:t>o</w:t>
            </w:r>
          </w:p>
        </w:tc>
        <w:tc>
          <w:tcPr>
            <w:tcW w:w="4620" w:type="dxa"/>
            <w:vAlign w:val="bottom"/>
          </w:tcPr>
          <w:p>
            <w:pPr>
              <w:ind w:left="194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720"/>
              <w:spacing w:after="0"/>
              <w:rPr>
                <w:sz w:val="20"/>
                <w:szCs w:val="20"/>
                <w:color w:val="auto"/>
              </w:rPr>
            </w:pPr>
            <w:r>
              <w:rPr>
                <w:rFonts w:ascii="Arial" w:cs="Arial" w:eastAsia="Arial" w:hAnsi="Arial"/>
                <w:sz w:val="18"/>
                <w:szCs w:val="18"/>
                <w:color w:val="auto"/>
                <w:w w:val="79"/>
              </w:rPr>
              <w:t>o</w:t>
            </w:r>
          </w:p>
        </w:tc>
      </w:tr>
      <w:tr>
        <w:trPr>
          <w:trHeight w:val="256"/>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880"/>
              <w:spacing w:after="0"/>
              <w:rPr>
                <w:sz w:val="20"/>
                <w:szCs w:val="20"/>
                <w:color w:val="auto"/>
              </w:rPr>
            </w:pPr>
            <w:r>
              <w:rPr>
                <w:rFonts w:ascii="Arial" w:cs="Arial" w:eastAsia="Arial" w:hAnsi="Arial"/>
                <w:sz w:val="18"/>
                <w:szCs w:val="18"/>
                <w:color w:val="auto"/>
              </w:rPr>
              <w:t>x</w:t>
            </w:r>
          </w:p>
        </w:tc>
        <w:tc>
          <w:tcPr>
            <w:tcW w:w="4620" w:type="dxa"/>
            <w:vAlign w:val="bottom"/>
          </w:tcPr>
          <w:p>
            <w:pPr>
              <w:ind w:left="194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720"/>
              <w:spacing w:after="0"/>
              <w:rPr>
                <w:sz w:val="20"/>
                <w:szCs w:val="20"/>
                <w:color w:val="auto"/>
              </w:rPr>
            </w:pPr>
            <w:r>
              <w:rPr>
                <w:rFonts w:ascii="Arial" w:cs="Arial" w:eastAsia="Arial" w:hAnsi="Arial"/>
                <w:sz w:val="18"/>
                <w:szCs w:val="18"/>
                <w:color w:val="auto"/>
                <w:w w:val="88"/>
              </w:rPr>
              <w:t>x</w:t>
            </w:r>
          </w:p>
        </w:tc>
      </w:tr>
      <w:tr>
        <w:trPr>
          <w:trHeight w:val="256"/>
        </w:trPr>
        <w:tc>
          <w:tcPr>
            <w:tcW w:w="25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620" w:type="dxa"/>
            <w:vAlign w:val="bottom"/>
          </w:tcPr>
          <w:p>
            <w:pPr>
              <w:ind w:left="194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720"/>
              <w:spacing w:after="0"/>
              <w:rPr>
                <w:sz w:val="20"/>
                <w:szCs w:val="20"/>
                <w:color w:val="auto"/>
              </w:rPr>
            </w:pPr>
            <w:r>
              <w:rPr>
                <w:rFonts w:ascii="Arial" w:cs="Arial" w:eastAsia="Arial" w:hAnsi="Arial"/>
                <w:sz w:val="18"/>
                <w:szCs w:val="18"/>
                <w:color w:val="auto"/>
                <w:w w:val="88"/>
              </w:rPr>
              <w:t>x</w:t>
            </w:r>
          </w:p>
        </w:tc>
      </w:tr>
    </w:tbl>
    <w:p>
      <w:pPr>
        <w:spacing w:after="0" w:line="269" w:lineRule="exact"/>
        <w:rPr>
          <w:sz w:val="24"/>
          <w:szCs w:val="24"/>
          <w:color w:val="auto"/>
        </w:rPr>
      </w:pPr>
    </w:p>
    <w:p>
      <w:pPr>
        <w:ind w:right="20" w:firstLine="486"/>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4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August 10, 2023, the registrant had 12,719,773 shares of common stock, $0.001 par value per share, outstanding.</w:t>
      </w:r>
    </w:p>
    <w:p>
      <w:pPr>
        <w:sectPr>
          <w:pgSz w:w="11900" w:h="16838" w:orient="portrait"/>
          <w:cols w:equalWidth="0" w:num="1">
            <w:col w:w="11240"/>
          </w:cols>
          <w:pgMar w:left="320" w:top="296"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20" w:type="dxa"/>
            <w:vAlign w:val="bottom"/>
            <w:gridSpan w:val="6"/>
          </w:tcPr>
          <w:p>
            <w:pPr>
              <w:ind w:left="9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Page</w:t>
            </w:r>
          </w:p>
        </w:tc>
      </w:tr>
      <w:tr>
        <w:trPr>
          <w:trHeight w:val="257"/>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6"/>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PART I.</w:t>
            </w:r>
          </w:p>
        </w:tc>
        <w:tc>
          <w:tcPr>
            <w:tcW w:w="91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FINANCIAL INFORMATION</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0"/>
            <w:shd w:val="clear" w:color="auto" w:fill="CCEEFF"/>
          </w:tcPr>
          <w:p>
            <w:pPr>
              <w:spacing w:after="0" w:line="202" w:lineRule="exact"/>
              <w:rPr>
                <w:sz w:val="20"/>
                <w:szCs w:val="20"/>
                <w:color w:val="auto"/>
              </w:rPr>
            </w:pPr>
            <w:r>
              <w:rPr>
                <w:rFonts w:ascii="Arial" w:cs="Arial" w:eastAsia="Arial" w:hAnsi="Arial"/>
                <w:sz w:val="18"/>
                <w:szCs w:val="18"/>
                <w:color w:val="0000FF"/>
                <w:w w:val="89"/>
              </w:rPr>
              <w:t>Financial Statements (Unaudited)</w:t>
            </w:r>
          </w:p>
        </w:tc>
        <w:tc>
          <w:tcPr>
            <w:tcW w:w="6760" w:type="dxa"/>
            <w:vAlign w:val="bottom"/>
            <w:tcBorders>
              <w:bottom w:val="single" w:sz="8" w:color="CCEEFF"/>
            </w:tcBorders>
            <w:gridSpan w:val="8"/>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80" w:type="dxa"/>
            <w:vAlign w:val="bottom"/>
            <w:gridSpan w:val="18"/>
          </w:tcPr>
          <w:p>
            <w:pPr>
              <w:spacing w:after="0" w:line="202" w:lineRule="exact"/>
              <w:rPr>
                <w:sz w:val="20"/>
                <w:szCs w:val="20"/>
                <w:color w:val="auto"/>
              </w:rPr>
            </w:pPr>
            <w:r>
              <w:rPr>
                <w:rFonts w:ascii="Arial" w:cs="Arial" w:eastAsia="Arial" w:hAnsi="Arial"/>
                <w:sz w:val="18"/>
                <w:szCs w:val="18"/>
                <w:color w:val="0000FF"/>
              </w:rPr>
              <w:t>Consolidated Balance Sheets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1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Consolidated Statements of Income</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80" w:type="dxa"/>
            <w:vAlign w:val="bottom"/>
            <w:gridSpan w:val="18"/>
          </w:tcPr>
          <w:p>
            <w:pPr>
              <w:spacing w:after="0" w:line="202" w:lineRule="exact"/>
              <w:rPr>
                <w:sz w:val="20"/>
                <w:szCs w:val="20"/>
                <w:color w:val="auto"/>
              </w:rPr>
            </w:pPr>
            <w:r>
              <w:rPr>
                <w:rFonts w:ascii="Arial" w:cs="Arial" w:eastAsia="Arial" w:hAnsi="Arial"/>
                <w:sz w:val="18"/>
                <w:szCs w:val="18"/>
                <w:color w:val="0000FF"/>
              </w:rPr>
              <w:t>Consolidated Statement of Changes in Stockholders’ Equity</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1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Consolidated Statements of Cash Flows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80" w:type="dxa"/>
            <w:vAlign w:val="bottom"/>
            <w:gridSpan w:val="18"/>
          </w:tcPr>
          <w:p>
            <w:pPr>
              <w:spacing w:after="0" w:line="202" w:lineRule="exact"/>
              <w:rPr>
                <w:sz w:val="20"/>
                <w:szCs w:val="20"/>
                <w:color w:val="auto"/>
              </w:rPr>
            </w:pPr>
            <w:r>
              <w:rPr>
                <w:rFonts w:ascii="Arial" w:cs="Arial" w:eastAsia="Arial" w:hAnsi="Arial"/>
                <w:sz w:val="18"/>
                <w:szCs w:val="18"/>
                <w:color w:val="0000FF"/>
              </w:rPr>
              <w:t>Notes to Unaudited Consolidated Financial Statements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shd w:val="clear" w:color="auto" w:fill="CCEEFF"/>
          </w:tcPr>
          <w:p>
            <w:pPr>
              <w:spacing w:after="0" w:line="202" w:lineRule="exact"/>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Arial" w:cs="Arial" w:eastAsia="Arial" w:hAnsi="Arial"/>
                <w:sz w:val="18"/>
                <w:szCs w:val="18"/>
                <w:color w:val="auto"/>
              </w:rPr>
              <w:t>Item 3.</w:t>
            </w:r>
          </w:p>
        </w:tc>
        <w:tc>
          <w:tcPr>
            <w:tcW w:w="9180" w:type="dxa"/>
            <w:vAlign w:val="bottom"/>
            <w:gridSpan w:val="18"/>
          </w:tcPr>
          <w:p>
            <w:pPr>
              <w:spacing w:after="0" w:line="202" w:lineRule="exact"/>
              <w:rPr>
                <w:sz w:val="20"/>
                <w:szCs w:val="20"/>
                <w:color w:val="auto"/>
              </w:rPr>
            </w:pPr>
            <w:r>
              <w:rPr>
                <w:rFonts w:ascii="Arial" w:cs="Arial" w:eastAsia="Arial" w:hAnsi="Arial"/>
                <w:sz w:val="18"/>
                <w:szCs w:val="18"/>
                <w:color w:val="0000FF"/>
              </w:rPr>
              <w:t>Quantitative and Qualitative Disclosures About Market Risk</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1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Controls and Procedures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PART II.</w:t>
            </w:r>
          </w:p>
        </w:tc>
        <w:tc>
          <w:tcPr>
            <w:tcW w:w="91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OTHER INFORMATION</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1.</w:t>
            </w:r>
          </w:p>
        </w:tc>
        <w:tc>
          <w:tcPr>
            <w:tcW w:w="91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Legal Proceeding</w:t>
            </w:r>
            <w:r>
              <w:rPr>
                <w:rFonts w:ascii="Arial" w:cs="Arial" w:eastAsia="Arial" w:hAnsi="Arial"/>
                <w:sz w:val="18"/>
                <w:szCs w:val="18"/>
                <w:color w:val="000000"/>
              </w:rPr>
              <w:t>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Arial" w:cs="Arial" w:eastAsia="Arial" w:hAnsi="Arial"/>
                <w:sz w:val="18"/>
                <w:szCs w:val="18"/>
                <w:color w:val="auto"/>
              </w:rPr>
              <w:t>Item 1A.</w:t>
            </w:r>
          </w:p>
        </w:tc>
        <w:tc>
          <w:tcPr>
            <w:tcW w:w="1260" w:type="dxa"/>
            <w:vAlign w:val="bottom"/>
            <w:tcBorders>
              <w:top w:val="single" w:sz="8" w:color="0000FF"/>
            </w:tcBorders>
            <w:gridSpan w:val="3"/>
          </w:tcPr>
          <w:p>
            <w:pPr>
              <w:spacing w:after="0" w:line="202" w:lineRule="exact"/>
              <w:rPr>
                <w:sz w:val="20"/>
                <w:szCs w:val="20"/>
                <w:color w:val="auto"/>
              </w:rPr>
            </w:pPr>
            <w:r>
              <w:rPr>
                <w:rFonts w:ascii="Arial" w:cs="Arial" w:eastAsia="Arial" w:hAnsi="Arial"/>
                <w:sz w:val="18"/>
                <w:szCs w:val="18"/>
                <w:color w:val="0000FF"/>
              </w:rPr>
              <w:t>Risk Factors</w:t>
            </w:r>
          </w:p>
        </w:tc>
        <w:tc>
          <w:tcPr>
            <w:tcW w:w="7920" w:type="dxa"/>
            <w:vAlign w:val="bottom"/>
            <w:tcBorders>
              <w:top w:val="single" w:sz="8" w:color="CCEEFF"/>
            </w:tcBorders>
            <w:gridSpan w:val="15"/>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66</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2.</w:t>
            </w:r>
          </w:p>
        </w:tc>
        <w:tc>
          <w:tcPr>
            <w:tcW w:w="91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5"/>
          </w:tcPr>
          <w:p>
            <w:pPr>
              <w:spacing w:after="0" w:line="202" w:lineRule="exact"/>
              <w:rPr>
                <w:sz w:val="20"/>
                <w:szCs w:val="20"/>
                <w:color w:val="auto"/>
              </w:rPr>
            </w:pPr>
            <w:r>
              <w:rPr>
                <w:rFonts w:ascii="Arial" w:cs="Arial" w:eastAsia="Arial" w:hAnsi="Arial"/>
                <w:sz w:val="18"/>
                <w:szCs w:val="18"/>
                <w:color w:val="0000FF"/>
              </w:rPr>
              <w:t>Defaults Upon Senior Securities</w:t>
            </w:r>
          </w:p>
        </w:tc>
        <w:tc>
          <w:tcPr>
            <w:tcW w:w="4840" w:type="dxa"/>
            <w:vAlign w:val="bottom"/>
            <w:tcBorders>
              <w:top w:val="single" w:sz="8" w:color="CCEEFF"/>
            </w:tcBorders>
            <w:gridSpan w:val="3"/>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67</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4.</w:t>
            </w:r>
          </w:p>
        </w:tc>
        <w:tc>
          <w:tcPr>
            <w:tcW w:w="91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Mine Safety Disclosures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5"/>
          </w:tcPr>
          <w:p>
            <w:pPr>
              <w:spacing w:after="0" w:line="202" w:lineRule="exact"/>
              <w:rPr>
                <w:sz w:val="20"/>
                <w:szCs w:val="20"/>
                <w:color w:val="auto"/>
              </w:rPr>
            </w:pPr>
            <w:r>
              <w:rPr>
                <w:rFonts w:ascii="Arial" w:cs="Arial" w:eastAsia="Arial" w:hAnsi="Arial"/>
                <w:sz w:val="18"/>
                <w:szCs w:val="18"/>
                <w:color w:val="0000FF"/>
              </w:rPr>
              <w:t>Other Information</w:t>
            </w:r>
          </w:p>
        </w:tc>
        <w:tc>
          <w:tcPr>
            <w:tcW w:w="7420" w:type="dxa"/>
            <w:vAlign w:val="bottom"/>
            <w:tcBorders>
              <w:top w:val="single" w:sz="8" w:color="CCEEFF"/>
            </w:tcBorders>
            <w:gridSpan w:val="13"/>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67</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Item 6.</w:t>
            </w:r>
          </w:p>
        </w:tc>
        <w:tc>
          <w:tcPr>
            <w:tcW w:w="918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Exhibits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68</w:t>
            </w:r>
          </w:p>
        </w:tc>
      </w:tr>
      <w:tr>
        <w:trPr>
          <w:trHeight w:val="1053"/>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(this “Report”)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factors, among others, could cause our financial performance to differ materially from that expressed in such forward-looking statements, including, but not limited to, the following:</w:t>
      </w:r>
    </w:p>
    <w:p>
      <w:pPr>
        <w:spacing w:after="0" w:line="143" w:lineRule="exact"/>
        <w:rPr>
          <w:sz w:val="20"/>
          <w:szCs w:val="20"/>
          <w:color w:val="auto"/>
        </w:rPr>
      </w:pPr>
    </w:p>
    <w:p>
      <w:pPr>
        <w:ind w:left="500" w:hanging="492"/>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the financial technology industry, the development and acceptance of which is subject to a high degree of uncertainty, as well as the continued evolution of the regulation of this industry;</w:t>
      </w:r>
    </w:p>
    <w:p>
      <w:pPr>
        <w:spacing w:after="0" w:line="129" w:lineRule="exact"/>
        <w:rPr>
          <w:rFonts w:ascii="Arial" w:cs="Arial" w:eastAsia="Arial" w:hAnsi="Arial"/>
          <w:sz w:val="18"/>
          <w:szCs w:val="18"/>
          <w:color w:val="auto"/>
        </w:rPr>
      </w:pPr>
    </w:p>
    <w:p>
      <w:pPr>
        <w:ind w:left="500" w:right="20" w:hanging="492"/>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Strategic Program service providers to comply with regulatory regimes, including laws and regulations applicable to consumer credit transactions, and our ability to adequately oversee and monitor our Strategic Program service providers;</w:t>
      </w:r>
    </w:p>
    <w:p>
      <w:pPr>
        <w:spacing w:after="0" w:line="129"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grow our relationships with our Strategic Program service providers;</w:t>
      </w:r>
    </w:p>
    <w:p>
      <w:pPr>
        <w:spacing w:after="0" w:line="198"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application of interest rate caps or maximums;</w:t>
      </w:r>
    </w:p>
    <w:p>
      <w:pPr>
        <w:spacing w:after="0" w:line="129"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changes in the industry or implement new technology effectively;</w:t>
      </w:r>
    </w:p>
    <w:p>
      <w:pPr>
        <w:spacing w:after="0" w:line="184" w:lineRule="exact"/>
        <w:rPr>
          <w:rFonts w:ascii="Arial" w:cs="Arial" w:eastAsia="Arial" w:hAnsi="Arial"/>
          <w:sz w:val="18"/>
          <w:szCs w:val="18"/>
          <w:color w:val="auto"/>
        </w:rPr>
      </w:pPr>
    </w:p>
    <w:p>
      <w:pPr>
        <w:ind w:left="500" w:right="20" w:hanging="492"/>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developments in the banking industry associated with high-profile bank failures and the potential impact of such developments on customer confidence, liquidity and regulatory responses;</w:t>
      </w:r>
    </w:p>
    <w:p>
      <w:pPr>
        <w:spacing w:after="0" w:line="143"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failure or cybersecurity breaches of our network security;</w:t>
      </w:r>
    </w:p>
    <w:p>
      <w:pPr>
        <w:spacing w:after="0" w:line="184"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service providers for core systems support, informational website hosting, internet services, online account opening and other processing services;</w:t>
      </w:r>
    </w:p>
    <w:p>
      <w:pPr>
        <w:spacing w:after="0" w:line="129" w:lineRule="exact"/>
        <w:rPr>
          <w:rFonts w:ascii="Arial" w:cs="Arial" w:eastAsia="Arial" w:hAnsi="Arial"/>
          <w:sz w:val="18"/>
          <w:szCs w:val="18"/>
          <w:color w:val="auto"/>
        </w:rPr>
      </w:pPr>
    </w:p>
    <w:p>
      <w:pPr>
        <w:ind w:left="500" w:right="20" w:hanging="492"/>
        <w:spacing w:after="0" w:line="308" w:lineRule="auto"/>
        <w:tabs>
          <w:tab w:leader="none" w:pos="495"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conditions, either nationally or in our market areas (including interest rate environment, government economic and monetary policies, the strength of global financial markets and inflation and deflation), that impact the financial services industry and/or our business;</w:t>
      </w:r>
    </w:p>
    <w:p>
      <w:pPr>
        <w:spacing w:after="0" w:line="119" w:lineRule="exact"/>
        <w:rPr>
          <w:rFonts w:ascii="Arial" w:cs="Arial" w:eastAsia="Arial" w:hAnsi="Arial"/>
          <w:sz w:val="17"/>
          <w:szCs w:val="17"/>
          <w:color w:val="auto"/>
        </w:rPr>
      </w:pPr>
    </w:p>
    <w:p>
      <w:pPr>
        <w:ind w:left="500" w:hanging="492"/>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 and other companies that offer banking services;</w:t>
      </w:r>
    </w:p>
    <w:p>
      <w:pPr>
        <w:spacing w:after="0" w:line="129"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measure and manage our credit risk effectively and the potential deterioration of the business and economic conditions in our primary market areas;</w:t>
      </w:r>
    </w:p>
    <w:p>
      <w:pPr>
        <w:spacing w:after="0" w:line="129"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198"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allowance for credit losses (“ACL”);</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lines of business or new products and services;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hanging="492"/>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Small Business Administration (“SBA”) rules, regulations and loan products, including specifically the Section 7(a) program, changes in SBA standard operating procedures or changes to the status of the Bank as an SBA Preferred Lender;</w:t>
      </w:r>
    </w:p>
    <w:p>
      <w:pPr>
        <w:spacing w:after="0" w:line="12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increases in our levels of nonperforming assets;</w:t>
      </w:r>
    </w:p>
    <w:p>
      <w:pPr>
        <w:spacing w:after="0" w:line="198"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losses from loan defaults and nonperformance on loans;</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the risks we face with respect to claims and litigation initiated against us;</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small- and medium-sized businesses to whom we lend to weather adverse business conditions and repay loans;</w:t>
      </w:r>
    </w:p>
    <w:p>
      <w:pPr>
        <w:spacing w:after="0" w:line="198"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aspects of our growth strategy and to sustain our historic rate of growth;</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originate, sell and retain loans, including through our Strategic Programs;</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lending and depositor relationships through Strategic Programs in the financial technology industry generally;</w:t>
      </w:r>
    </w:p>
    <w:p>
      <w:pPr>
        <w:spacing w:after="0" w:line="198"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additional merchants and retain and grow our existing merchant relationships;</w:t>
      </w:r>
    </w:p>
    <w:p>
      <w:pPr>
        <w:spacing w:after="0" w:line="184" w:lineRule="exact"/>
        <w:rPr>
          <w:rFonts w:ascii="Arial" w:cs="Arial" w:eastAsia="Arial" w:hAnsi="Arial"/>
          <w:sz w:val="18"/>
          <w:szCs w:val="18"/>
          <w:color w:val="auto"/>
        </w:rPr>
      </w:pPr>
    </w:p>
    <w:p>
      <w:pPr>
        <w:ind w:left="500" w:right="20" w:hanging="492"/>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129" w:lineRule="exact"/>
        <w:rPr>
          <w:rFonts w:ascii="Arial" w:cs="Arial" w:eastAsia="Arial" w:hAnsi="Arial"/>
          <w:sz w:val="18"/>
          <w:szCs w:val="18"/>
          <w:color w:val="auto"/>
        </w:rPr>
      </w:pPr>
    </w:p>
    <w:p>
      <w:pPr>
        <w:ind w:left="500" w:right="20" w:hanging="492"/>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internal control over financial reporting and our ability to remediate any future material weakness in our internal control over financial reporting;</w:t>
      </w:r>
    </w:p>
    <w:p>
      <w:pPr>
        <w:spacing w:after="0" w:line="143"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 and other disruptions in our computer systems relating to our development and use of new technology platforms;</w:t>
      </w:r>
    </w:p>
    <w:p>
      <w:pPr>
        <w:spacing w:after="0" w:line="12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our management team and changes in management composition;</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sufficiency of our capital, including sources of capital and the extent to which we may be required to raise additional capital to meet our goals;</w:t>
      </w:r>
    </w:p>
    <w:p>
      <w:pPr>
        <w:spacing w:after="0" w:line="221" w:lineRule="exact"/>
        <w:rPr>
          <w:rFonts w:ascii="Arial" w:cs="Arial" w:eastAsia="Arial" w:hAnsi="Arial"/>
          <w:sz w:val="16"/>
          <w:szCs w:val="16"/>
          <w:color w:val="auto"/>
        </w:rPr>
      </w:pPr>
    </w:p>
    <w:p>
      <w:pPr>
        <w:ind w:left="500" w:right="20" w:hanging="492"/>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laws and regulations, supervisory actions, the Dodd-Frank Act, capital requirements, the Bank Secrecy Act, anti-money laundering laws, predatory lending laws, and other statutes and regulations;</w:t>
      </w:r>
    </w:p>
    <w:p>
      <w:pPr>
        <w:spacing w:after="0" w:line="12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 strong core deposit base or other low-cost funding sources;</w:t>
      </w:r>
    </w:p>
    <w:p>
      <w:pPr>
        <w:spacing w:after="0" w:line="184" w:lineRule="exact"/>
        <w:rPr>
          <w:rFonts w:ascii="Arial" w:cs="Arial" w:eastAsia="Arial" w:hAnsi="Arial"/>
          <w:sz w:val="18"/>
          <w:szCs w:val="18"/>
          <w:color w:val="auto"/>
        </w:rPr>
      </w:pPr>
    </w:p>
    <w:p>
      <w:pPr>
        <w:ind w:left="500" w:right="20" w:hanging="492"/>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ACL or to write-down assets;</w:t>
      </w:r>
    </w:p>
    <w:p>
      <w:pPr>
        <w:spacing w:after="0" w:line="143"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184" w:lineRule="exact"/>
        <w:rPr>
          <w:rFonts w:ascii="Arial" w:cs="Arial" w:eastAsia="Arial" w:hAnsi="Arial"/>
          <w:sz w:val="18"/>
          <w:szCs w:val="18"/>
          <w:color w:val="auto"/>
        </w:rPr>
      </w:pPr>
    </w:p>
    <w:p>
      <w:pPr>
        <w:ind w:left="500" w:hanging="492"/>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pandemics, an outbreak of hostilities or other international or domestic calamities, and other matters beyond our control;</w:t>
      </w:r>
    </w:p>
    <w:p>
      <w:pPr>
        <w:spacing w:after="0" w:line="143"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requirements associated with being a public company;</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of coverage of our business by securities analysts;</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equity and debt issuances;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hanging="492"/>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the proposed acquisition of BFG equity interests does not close when expected or at all because required regulatory approvals are not received or other conditions to closing are not satisfied on a timely basis or at all;</w:t>
      </w:r>
    </w:p>
    <w:p>
      <w:pPr>
        <w:spacing w:after="0" w:line="12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may be required to modify the terms and conditions of the proposed acquisition to obtain regulatory approval;</w:t>
      </w:r>
    </w:p>
    <w:p>
      <w:pPr>
        <w:spacing w:after="0" w:line="184" w:lineRule="exact"/>
        <w:rPr>
          <w:rFonts w:ascii="Arial" w:cs="Arial" w:eastAsia="Arial" w:hAnsi="Arial"/>
          <w:sz w:val="18"/>
          <w:szCs w:val="18"/>
          <w:color w:val="auto"/>
        </w:rPr>
      </w:pPr>
    </w:p>
    <w:p>
      <w:pPr>
        <w:ind w:left="500" w:right="20" w:hanging="492"/>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the anticipated benefits of the proposed acquisition are not realized within the expected time frame or at all as a result of such things as the strength or weakness of the economy and competitive factors in the areas where we and BFG do business; and</w:t>
      </w:r>
    </w:p>
    <w:p>
      <w:pPr>
        <w:spacing w:after="0" w:line="143" w:lineRule="exact"/>
        <w:rPr>
          <w:rFonts w:ascii="Arial" w:cs="Arial" w:eastAsia="Arial" w:hAnsi="Arial"/>
          <w:sz w:val="18"/>
          <w:szCs w:val="18"/>
          <w:color w:val="auto"/>
        </w:rPr>
      </w:pPr>
    </w:p>
    <w:p>
      <w:pPr>
        <w:jc w:val="both"/>
        <w:ind w:left="500" w:hanging="492"/>
        <w:spacing w:after="0" w:line="263"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listed from time to time in the Company’s filings with the Securities and Exchange Commission (the “SEC”), including, without limitation, this Report, the Company’s Annual Report on Form 10-K for the year ended December 31, 2022 (the “2022 Form 10-K”) and subsequent reports on Form 10-Q and Form 8-K.</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8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due from banks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Interest-bearing deposits</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118,674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100,181</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cash and cash equivalents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119,043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100,567</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Investment securities held-to-maturity, at cost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14,292</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Investment in Federal Home Loan Bank (FHLB) stock, at cost</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Strategic Program loans held-for-sale, at lower of cost or fair value</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42,362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23,589</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Loans receivable, net</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277,663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224,217</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Premises and equipment, net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9,478</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Accrued interest receivable</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Deferred taxes, net</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SBA servicing asset, net</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5,210</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Investment in Business Funding Group (BFG), at fair value</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Operating lease right-of-use (“ROU”) assets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5,041</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Income taxes receivable, net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10,152</w:t>
            </w: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495,625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400,780</w:t>
            </w:r>
          </w:p>
        </w:tc>
        <w:tc>
          <w:tcPr>
            <w:tcW w:w="0" w:type="dxa"/>
            <w:vAlign w:val="bottom"/>
          </w:tcPr>
          <w:p>
            <w:pPr>
              <w:spacing w:after="0"/>
              <w:rPr>
                <w:sz w:val="1"/>
                <w:szCs w:val="1"/>
                <w:color w:val="auto"/>
              </w:rPr>
            </w:pPr>
          </w:p>
        </w:tc>
      </w:tr>
      <w:tr>
        <w:trPr>
          <w:trHeight w:val="52"/>
        </w:trPr>
        <w:tc>
          <w:tcPr>
            <w:tcW w:w="81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18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8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Deposits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Noninterest-bearing</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93,347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78,817</w:t>
            </w:r>
          </w:p>
        </w:tc>
        <w:tc>
          <w:tcPr>
            <w:tcW w:w="0" w:type="dxa"/>
            <w:vAlign w:val="bottom"/>
          </w:tcPr>
          <w:p>
            <w:pPr>
              <w:spacing w:after="0"/>
              <w:rPr>
                <w:sz w:val="1"/>
                <w:szCs w:val="1"/>
                <w:color w:val="auto"/>
              </w:rPr>
            </w:pP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Interest-bearing</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239,183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164,181</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deposits</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332,530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242,998</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Accrued interest payable</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Income taxes payable, net</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Deferred taxes, net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PPP Liquidity Facility</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Operating lease liabilities</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7,020</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8,858</w:t>
            </w:r>
          </w:p>
        </w:tc>
        <w:tc>
          <w:tcPr>
            <w:tcW w:w="0" w:type="dxa"/>
            <w:vAlign w:val="bottom"/>
          </w:tcPr>
          <w:p>
            <w:pPr>
              <w:spacing w:after="0"/>
              <w:rPr>
                <w:sz w:val="1"/>
                <w:szCs w:val="1"/>
                <w:color w:val="auto"/>
              </w:rPr>
            </w:pP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348,177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260,321</w:t>
            </w:r>
          </w:p>
        </w:tc>
        <w:tc>
          <w:tcPr>
            <w:tcW w:w="0" w:type="dxa"/>
            <w:vAlign w:val="bottom"/>
          </w:tcPr>
          <w:p>
            <w:pPr>
              <w:spacing w:after="0"/>
              <w:rPr>
                <w:sz w:val="1"/>
                <w:szCs w:val="1"/>
                <w:color w:val="auto"/>
              </w:rPr>
            </w:pPr>
          </w:p>
        </w:tc>
      </w:tr>
      <w:tr>
        <w:trPr>
          <w:trHeight w:val="73"/>
        </w:trPr>
        <w:tc>
          <w:tcPr>
            <w:tcW w:w="818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12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7)</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8180" w:type="dxa"/>
            <w:vAlign w:val="bottom"/>
            <w:tcBorders>
              <w:bottom w:val="single" w:sz="8" w:color="CCEEFF"/>
            </w:tcBorders>
          </w:tcPr>
          <w:p>
            <w:pPr>
              <w:spacing w:after="0"/>
              <w:rPr>
                <w:sz w:val="6"/>
                <w:szCs w:val="6"/>
                <w:color w:val="auto"/>
              </w:rPr>
            </w:pPr>
          </w:p>
        </w:tc>
        <w:tc>
          <w:tcPr>
            <w:tcW w:w="280" w:type="dxa"/>
            <w:vAlign w:val="bottom"/>
            <w:tcBorders>
              <w:bottom w:val="single" w:sz="8" w:color="CCEEFF"/>
            </w:tcBorders>
          </w:tcPr>
          <w:p>
            <w:pPr>
              <w:spacing w:after="0"/>
              <w:rPr>
                <w:sz w:val="6"/>
                <w:szCs w:val="6"/>
                <w:color w:val="auto"/>
              </w:rPr>
            </w:pPr>
          </w:p>
        </w:tc>
        <w:tc>
          <w:tcPr>
            <w:tcW w:w="12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Preferred stock, $0.001 par value, 4,000,000 authorized; no shares issued and outstanding as of June 30, 2023 and December 31, 2022</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80" w:type="dxa"/>
            <w:vAlign w:val="bottom"/>
          </w:tcPr>
          <w:p>
            <w:pPr>
              <w:ind w:left="20"/>
              <w:spacing w:after="0"/>
              <w:rPr>
                <w:sz w:val="20"/>
                <w:szCs w:val="20"/>
                <w:color w:val="auto"/>
              </w:rPr>
            </w:pPr>
            <w:r>
              <w:rPr>
                <w:rFonts w:ascii="Arial" w:cs="Arial" w:eastAsia="Arial" w:hAnsi="Arial"/>
                <w:sz w:val="14"/>
                <w:szCs w:val="14"/>
                <w:color w:val="auto"/>
                <w:w w:val="94"/>
              </w:rPr>
              <w:t>Common stock, $0.001 par value, 40,000,000 shares authorized; 12,723,703 and 12,831,345 shares issued and outstanding as of June 30,</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180"/>
              <w:spacing w:after="0"/>
              <w:rPr>
                <w:sz w:val="20"/>
                <w:szCs w:val="20"/>
                <w:color w:val="auto"/>
              </w:rPr>
            </w:pPr>
            <w:r>
              <w:rPr>
                <w:rFonts w:ascii="Arial" w:cs="Arial" w:eastAsia="Arial" w:hAnsi="Arial"/>
                <w:sz w:val="14"/>
                <w:szCs w:val="14"/>
                <w:color w:val="auto"/>
              </w:rPr>
              <w:t>2023 and December 31, 2022, respectively</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paid-in-capital</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54,614</w:t>
            </w:r>
          </w:p>
        </w:tc>
        <w:tc>
          <w:tcPr>
            <w:tcW w:w="0" w:type="dxa"/>
            <w:vAlign w:val="bottom"/>
          </w:tcPr>
          <w:p>
            <w:pPr>
              <w:spacing w:after="0"/>
              <w:rPr>
                <w:sz w:val="1"/>
                <w:szCs w:val="1"/>
                <w:color w:val="auto"/>
              </w:rPr>
            </w:pPr>
          </w:p>
        </w:tc>
      </w:tr>
      <w:tr>
        <w:trPr>
          <w:trHeight w:val="191"/>
        </w:trPr>
        <w:tc>
          <w:tcPr>
            <w:tcW w:w="818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94,810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85,832</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shareholders’ equity</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147,448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140,459</w:t>
            </w: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shareholders’ equity</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495,625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400,780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320" w:type="dxa"/>
            <w:vAlign w:val="bottom"/>
          </w:tcPr>
          <w:p>
            <w:pPr>
              <w:spacing w:after="0"/>
              <w:rPr>
                <w:sz w:val="18"/>
                <w:szCs w:val="18"/>
                <w:color w:val="auto"/>
              </w:rPr>
            </w:pPr>
          </w:p>
        </w:tc>
        <w:tc>
          <w:tcPr>
            <w:tcW w:w="2760" w:type="dxa"/>
            <w:vAlign w:val="bottom"/>
            <w:gridSpan w:val="4"/>
          </w:tcPr>
          <w:p>
            <w:pPr>
              <w:jc w:val="right"/>
              <w:ind w:right="439"/>
              <w:spacing w:after="0"/>
              <w:rPr>
                <w:sz w:val="20"/>
                <w:szCs w:val="20"/>
                <w:color w:val="auto"/>
              </w:rPr>
            </w:pPr>
            <w:r>
              <w:rPr>
                <w:rFonts w:ascii="Arial" w:cs="Arial" w:eastAsia="Arial" w:hAnsi="Arial"/>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jc w:val="right"/>
              <w:ind w:right="59"/>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59"/>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8"/>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8"/>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9"/>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Interest income</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and fees on loans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26,020</w:t>
            </w:r>
          </w:p>
        </w:tc>
        <w:tc>
          <w:tcPr>
            <w:tcW w:w="0" w:type="dxa"/>
            <w:vAlign w:val="bottom"/>
          </w:tcPr>
          <w:p>
            <w:pPr>
              <w:spacing w:after="0"/>
              <w:rPr>
                <w:sz w:val="1"/>
                <w:szCs w:val="1"/>
                <w:color w:val="auto"/>
              </w:rPr>
            </w:pPr>
          </w:p>
        </w:tc>
      </w:tr>
      <w:tr>
        <w:trPr>
          <w:trHeight w:val="233"/>
        </w:trPr>
        <w:tc>
          <w:tcPr>
            <w:tcW w:w="5000" w:type="dxa"/>
            <w:vAlign w:val="bottom"/>
          </w:tcPr>
          <w:p>
            <w:pPr>
              <w:ind w:left="180"/>
              <w:spacing w:after="0"/>
              <w:rPr>
                <w:sz w:val="20"/>
                <w:szCs w:val="20"/>
                <w:color w:val="auto"/>
              </w:rPr>
            </w:pPr>
            <w:r>
              <w:rPr>
                <w:rFonts w:ascii="Arial" w:cs="Arial" w:eastAsia="Arial" w:hAnsi="Arial"/>
                <w:sz w:val="16"/>
                <w:szCs w:val="16"/>
                <w:color w:val="auto"/>
              </w:rPr>
              <w:t>Interest on securities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46"/>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interest income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2,424</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interest income</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29,270</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26,236</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Interest expense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on deposits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37"/>
        </w:trPr>
        <w:tc>
          <w:tcPr>
            <w:tcW w:w="5000" w:type="dxa"/>
            <w:vAlign w:val="bottom"/>
          </w:tcPr>
          <w:p>
            <w:pPr>
              <w:ind w:left="180"/>
              <w:spacing w:after="0"/>
              <w:rPr>
                <w:sz w:val="20"/>
                <w:szCs w:val="20"/>
                <w:color w:val="auto"/>
              </w:rPr>
            </w:pPr>
            <w:r>
              <w:rPr>
                <w:rFonts w:ascii="Arial" w:cs="Arial" w:eastAsia="Arial" w:hAnsi="Arial"/>
                <w:sz w:val="16"/>
                <w:szCs w:val="16"/>
                <w:color w:val="auto"/>
              </w:rPr>
              <w:t>Interest on PPP Liquidity Facility</w:t>
            </w:r>
          </w:p>
        </w:tc>
        <w:tc>
          <w:tcPr>
            <w:tcW w:w="2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50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interest expense</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3,489</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interest income</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25,730</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credit losses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5,359</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5,860</w:t>
            </w:r>
          </w:p>
        </w:tc>
        <w:tc>
          <w:tcPr>
            <w:tcW w:w="0" w:type="dxa"/>
            <w:vAlign w:val="bottom"/>
          </w:tcPr>
          <w:p>
            <w:pPr>
              <w:spacing w:after="0"/>
              <w:rPr>
                <w:sz w:val="1"/>
                <w:szCs w:val="1"/>
                <w:color w:val="auto"/>
              </w:rPr>
            </w:pPr>
          </w:p>
        </w:tc>
      </w:tr>
      <w:tr>
        <w:trPr>
          <w:trHeight w:val="237"/>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income after provision for loan losses</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10,987</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20,422</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19,870</w:t>
            </w: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Non-interest income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180"/>
              <w:spacing w:after="0"/>
              <w:rPr>
                <w:sz w:val="20"/>
                <w:szCs w:val="20"/>
                <w:color w:val="auto"/>
              </w:rPr>
            </w:pPr>
            <w:r>
              <w:rPr>
                <w:rFonts w:ascii="Arial" w:cs="Arial" w:eastAsia="Arial" w:hAnsi="Arial"/>
                <w:sz w:val="16"/>
                <w:szCs w:val="16"/>
                <w:color w:val="auto"/>
              </w:rPr>
              <w:t>Strategic Program fees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4,054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7,739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12,844</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sale of loans, net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7,464</w:t>
            </w:r>
          </w:p>
        </w:tc>
        <w:tc>
          <w:tcPr>
            <w:tcW w:w="0" w:type="dxa"/>
            <w:vAlign w:val="bottom"/>
          </w:tcPr>
          <w:p>
            <w:pPr>
              <w:spacing w:after="0"/>
              <w:rPr>
                <w:sz w:val="1"/>
                <w:szCs w:val="1"/>
                <w:color w:val="auto"/>
              </w:rPr>
            </w:pPr>
          </w:p>
        </w:tc>
      </w:tr>
      <w:tr>
        <w:trPr>
          <w:trHeight w:val="233"/>
        </w:trPr>
        <w:tc>
          <w:tcPr>
            <w:tcW w:w="5000" w:type="dxa"/>
            <w:vAlign w:val="bottom"/>
          </w:tcPr>
          <w:p>
            <w:pPr>
              <w:ind w:left="180"/>
              <w:spacing w:after="0"/>
              <w:rPr>
                <w:sz w:val="20"/>
                <w:szCs w:val="20"/>
                <w:color w:val="auto"/>
              </w:rPr>
            </w:pPr>
            <w:r>
              <w:rPr>
                <w:rFonts w:ascii="Arial" w:cs="Arial" w:eastAsia="Arial" w:hAnsi="Arial"/>
                <w:sz w:val="16"/>
                <w:szCs w:val="16"/>
                <w:color w:val="auto"/>
              </w:rPr>
              <w:t>SBA loan servicing fees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on investment in BFG</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miscellaneous income</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non-interest income</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5,288</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9,815</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20,113</w:t>
            </w:r>
          </w:p>
        </w:tc>
        <w:tc>
          <w:tcPr>
            <w:tcW w:w="0" w:type="dxa"/>
            <w:vAlign w:val="bottom"/>
          </w:tcPr>
          <w:p>
            <w:pPr>
              <w:spacing w:after="0"/>
              <w:rPr>
                <w:sz w:val="1"/>
                <w:szCs w:val="1"/>
                <w:color w:val="auto"/>
              </w:rPr>
            </w:pPr>
          </w:p>
        </w:tc>
      </w:tr>
      <w:tr>
        <w:trPr>
          <w:trHeight w:val="256"/>
        </w:trPr>
        <w:tc>
          <w:tcPr>
            <w:tcW w:w="5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Non-interest expense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180"/>
              <w:spacing w:after="0"/>
              <w:rPr>
                <w:sz w:val="20"/>
                <w:szCs w:val="20"/>
                <w:color w:val="auto"/>
              </w:rPr>
            </w:pPr>
            <w:r>
              <w:rPr>
                <w:rFonts w:ascii="Arial" w:cs="Arial" w:eastAsia="Arial" w:hAnsi="Arial"/>
                <w:sz w:val="16"/>
                <w:szCs w:val="16"/>
                <w:color w:val="auto"/>
              </w:rPr>
              <w:t>Salaries and employee benefits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6,681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11,938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13,547</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Professional services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233"/>
        </w:trPr>
        <w:tc>
          <w:tcPr>
            <w:tcW w:w="5000" w:type="dxa"/>
            <w:vAlign w:val="bottom"/>
          </w:tcPr>
          <w:p>
            <w:pPr>
              <w:ind w:left="180"/>
              <w:spacing w:after="0"/>
              <w:rPr>
                <w:sz w:val="20"/>
                <w:szCs w:val="20"/>
                <w:color w:val="auto"/>
              </w:rPr>
            </w:pPr>
            <w:r>
              <w:rPr>
                <w:rFonts w:ascii="Arial" w:cs="Arial" w:eastAsia="Arial" w:hAnsi="Arial"/>
                <w:sz w:val="16"/>
                <w:szCs w:val="16"/>
                <w:color w:val="auto"/>
              </w:rPr>
              <w:t>Occupancy and equipment expenses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(Recovery) impairment of SBA servicing asset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operating expenses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w:t>
            </w: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non-interest expense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18,736</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20,067</w:t>
            </w: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 expense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19,916</w:t>
            </w:r>
          </w:p>
        </w:tc>
        <w:tc>
          <w:tcPr>
            <w:tcW w:w="0" w:type="dxa"/>
            <w:vAlign w:val="bottom"/>
          </w:tcPr>
          <w:p>
            <w:pPr>
              <w:spacing w:after="0"/>
              <w:rPr>
                <w:sz w:val="1"/>
                <w:szCs w:val="1"/>
                <w:color w:val="auto"/>
              </w:rPr>
            </w:pPr>
          </w:p>
        </w:tc>
      </w:tr>
      <w:tr>
        <w:trPr>
          <w:trHeight w:val="280"/>
        </w:trPr>
        <w:tc>
          <w:tcPr>
            <w:tcW w:w="5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6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4,638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8,499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14,916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basic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Arial" w:cs="Arial" w:eastAsia="Arial" w:hAnsi="Arial"/>
                <w:sz w:val="16"/>
                <w:szCs w:val="16"/>
                <w:color w:val="auto"/>
              </w:rPr>
              <w:t>Earnings per share,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80"/>
        </w:trPr>
        <w:tc>
          <w:tcPr>
            <w:tcW w:w="5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Arial" w:cs="Arial" w:eastAsia="Arial" w:hAnsi="Arial"/>
                <w:sz w:val="16"/>
                <w:szCs w:val="16"/>
                <w:color w:val="auto"/>
              </w:rPr>
              <w:t>Weighted average shares outstanding, basic</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12,603,463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12,716,010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12,655,605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12,698,714</w:t>
            </w:r>
          </w:p>
        </w:tc>
        <w:tc>
          <w:tcPr>
            <w:tcW w:w="0" w:type="dxa"/>
            <w:vAlign w:val="bottom"/>
          </w:tcPr>
          <w:p>
            <w:pPr>
              <w:spacing w:after="0"/>
              <w:rPr>
                <w:sz w:val="1"/>
                <w:szCs w:val="1"/>
                <w:color w:val="auto"/>
              </w:rPr>
            </w:pPr>
          </w:p>
        </w:tc>
      </w:tr>
      <w:tr>
        <w:trPr>
          <w:trHeight w:val="25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diluted</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12,989,530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13,417,390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13,080,620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13,444,347</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(Unaudited)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Three Months Ended June 30, 2022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68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1280" w:type="dxa"/>
            <w:vAlign w:val="bottom"/>
          </w:tcPr>
          <w:p>
            <w:pPr>
              <w:jc w:val="center"/>
              <w:ind w:right="148"/>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128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12,788,810</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54,915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70,027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124,955</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60" w:type="dxa"/>
            <w:vAlign w:val="bottom"/>
          </w:tcPr>
          <w:p>
            <w:pPr>
              <w:jc w:val="right"/>
              <w:spacing w:after="0"/>
              <w:rPr>
                <w:sz w:val="20"/>
                <w:szCs w:val="20"/>
                <w:color w:val="auto"/>
              </w:rPr>
            </w:pPr>
            <w:r>
              <w:rPr>
                <w:rFonts w:ascii="Arial" w:cs="Arial" w:eastAsia="Arial" w:hAnsi="Arial"/>
                <w:sz w:val="14"/>
                <w:szCs w:val="14"/>
                <w:color w:val="auto"/>
              </w:rPr>
              <w:t>96,011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5,482</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12,884,821</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55,015</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75,509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130,537</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68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280" w:type="dxa"/>
            <w:vAlign w:val="bottom"/>
          </w:tcPr>
          <w:p>
            <w:pPr>
              <w:spacing w:after="0"/>
              <w:rPr>
                <w:sz w:val="3"/>
                <w:szCs w:val="3"/>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3"/>
                <w:szCs w:val="3"/>
                <w:color w:val="auto"/>
              </w:rPr>
            </w:pPr>
          </w:p>
        </w:tc>
        <w:tc>
          <w:tcPr>
            <w:tcW w:w="12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48"/>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128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35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12,772,010</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54,836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60,593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115,442</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60" w:type="dxa"/>
            <w:vAlign w:val="bottom"/>
          </w:tcPr>
          <w:p>
            <w:pPr>
              <w:jc w:val="right"/>
              <w:spacing w:after="0"/>
              <w:rPr>
                <w:sz w:val="20"/>
                <w:szCs w:val="20"/>
                <w:color w:val="auto"/>
              </w:rPr>
            </w:pPr>
            <w:r>
              <w:rPr>
                <w:rFonts w:ascii="Arial" w:cs="Arial" w:eastAsia="Arial" w:hAnsi="Arial"/>
                <w:sz w:val="14"/>
                <w:szCs w:val="14"/>
                <w:color w:val="auto"/>
              </w:rPr>
              <w:t>96,011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 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16,800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14,916</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12,884,821</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55,015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75,509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130,537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(Unaudited)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Three Months Ended June 30, 2023</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68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280" w:type="dxa"/>
            <w:vAlign w:val="bottom"/>
          </w:tcPr>
          <w:p>
            <w:pPr>
              <w:spacing w:after="0"/>
              <w:rPr>
                <w:sz w:val="3"/>
                <w:szCs w:val="3"/>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3"/>
                <w:szCs w:val="3"/>
                <w:color w:val="auto"/>
              </w:rPr>
            </w:pPr>
          </w:p>
        </w:tc>
        <w:tc>
          <w:tcPr>
            <w:tcW w:w="12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48"/>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128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35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12,824,572</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54,827</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89,513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144,353</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60" w:type="dxa"/>
            <w:vAlign w:val="bottom"/>
          </w:tcPr>
          <w:p>
            <w:pPr>
              <w:jc w:val="right"/>
              <w:spacing w:after="0"/>
              <w:rPr>
                <w:sz w:val="20"/>
                <w:szCs w:val="20"/>
                <w:color w:val="auto"/>
              </w:rPr>
            </w:pPr>
            <w:r>
              <w:rPr>
                <w:rFonts w:ascii="Arial" w:cs="Arial" w:eastAsia="Arial" w:hAnsi="Arial"/>
                <w:sz w:val="14"/>
                <w:szCs w:val="14"/>
                <w:color w:val="auto"/>
              </w:rPr>
              <w:t>168,821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 repurchased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(269,690)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4,638</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12,723,703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52,625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94,810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147,448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68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280" w:type="dxa"/>
            <w:vAlign w:val="bottom"/>
          </w:tcPr>
          <w:p>
            <w:pPr>
              <w:spacing w:after="0"/>
              <w:rPr>
                <w:sz w:val="3"/>
                <w:szCs w:val="3"/>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3"/>
                <w:szCs w:val="3"/>
                <w:color w:val="auto"/>
              </w:rPr>
            </w:pPr>
          </w:p>
        </w:tc>
        <w:tc>
          <w:tcPr>
            <w:tcW w:w="12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48"/>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56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128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35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12,831,345</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54,614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85,832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140,459</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Adjustment for adoption of ASC 2016-13, net of tax</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168,821</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Stock options exercised</w:t>
            </w:r>
          </w:p>
        </w:tc>
        <w:tc>
          <w:tcPr>
            <w:tcW w:w="1460" w:type="dxa"/>
            <w:vAlign w:val="bottom"/>
          </w:tcPr>
          <w:p>
            <w:pPr>
              <w:jc w:val="right"/>
              <w:spacing w:after="0"/>
              <w:rPr>
                <w:sz w:val="20"/>
                <w:szCs w:val="20"/>
                <w:color w:val="auto"/>
              </w:rPr>
            </w:pPr>
            <w:r>
              <w:rPr>
                <w:rFonts w:ascii="Arial" w:cs="Arial" w:eastAsia="Arial" w:hAnsi="Arial"/>
                <w:sz w:val="14"/>
                <w:szCs w:val="14"/>
                <w:color w:val="auto"/>
              </w:rPr>
              <w:t>16,800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 repurchased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(293,263)</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8,499</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12,723,703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52,625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94,810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147,448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p>
      <w:pPr>
        <w:jc w:val="center"/>
        <w:ind w:left="8160"/>
        <w:spacing w:after="0"/>
        <w:rPr>
          <w:sz w:val="20"/>
          <w:szCs w:val="20"/>
          <w:color w:val="auto"/>
        </w:rPr>
      </w:pPr>
      <w:r>
        <w:rPr>
          <w:rFonts w:ascii="Arial" w:cs="Arial" w:eastAsia="Arial" w:hAnsi="Arial"/>
          <w:sz w:val="13"/>
          <w:szCs w:val="13"/>
          <w:b w:val="1"/>
          <w:bCs w:val="1"/>
          <w:color w:val="auto"/>
        </w:rPr>
        <w:t>For the Six Months Ended</w:t>
      </w:r>
    </w:p>
    <w:p>
      <w:pPr>
        <w:spacing w:after="0" w:line="13" w:lineRule="exact"/>
        <w:rPr>
          <w:sz w:val="20"/>
          <w:szCs w:val="20"/>
          <w:color w:val="auto"/>
        </w:rPr>
      </w:pPr>
    </w:p>
    <w:p>
      <w:pPr>
        <w:jc w:val="center"/>
        <w:ind w:left="8160"/>
        <w:spacing w:after="0"/>
        <w:rPr>
          <w:sz w:val="20"/>
          <w:szCs w:val="20"/>
          <w:color w:val="auto"/>
        </w:rPr>
      </w:pPr>
      <w:r>
        <w:rPr>
          <w:rFonts w:ascii="Arial" w:cs="Arial" w:eastAsia="Arial" w:hAnsi="Arial"/>
          <w:sz w:val="13"/>
          <w:szCs w:val="13"/>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19050</wp:posOffset>
            </wp:positionV>
            <wp:extent cx="1945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5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9"/>
        </w:trPr>
        <w:tc>
          <w:tcPr>
            <w:tcW w:w="81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81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86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8,499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14,916</w:t>
            </w: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Adjustments to reconcile net income to net cash from operating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color w:val="auto"/>
              </w:rPr>
              <w:t>Depreciation and amortization</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754</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Provision for credit losses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5,359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5,860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color w:val="auto"/>
              </w:rPr>
              <w:t>Noncash operating lease cost</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amortization in securities discounts and premiums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color w:val="auto"/>
              </w:rPr>
              <w:t>Capitalized servicing assets</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(2,243)</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Gain on sale of loans, net</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(7,464)</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color w:val="auto"/>
              </w:rPr>
              <w:t>Originations of Strategic Program loans held-for-sale</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7"/>
              </w:rPr>
              <w:t>(1,942,395)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(4,436,343)</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Proceeds on Strategic Program loans held-for-sale</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1,923,622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4,465,492</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color w:val="auto"/>
              </w:rPr>
              <w:t>Change in fair value of BFG</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973</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(Recovery) impairment of SBA servicing asset</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1,076</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Deferred income tax benefit</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1,307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b w:val="1"/>
                <w:bCs w:val="1"/>
                <w:color w:val="auto"/>
              </w:rPr>
              <w:t>Net changes in:</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Accrued interest receivable</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73"/>
        </w:trPr>
        <w:tc>
          <w:tcPr>
            <w:tcW w:w="8180" w:type="dxa"/>
            <w:vAlign w:val="bottom"/>
          </w:tcPr>
          <w:p>
            <w:pPr>
              <w:ind w:left="360"/>
              <w:spacing w:after="0"/>
              <w:rPr>
                <w:sz w:val="20"/>
                <w:szCs w:val="20"/>
                <w:color w:val="auto"/>
              </w:rPr>
            </w:pPr>
            <w:r>
              <w:rPr>
                <w:rFonts w:ascii="Arial" w:cs="Arial" w:eastAsia="Arial" w:hAnsi="Arial"/>
                <w:sz w:val="13"/>
                <w:szCs w:val="13"/>
                <w:color w:val="auto"/>
              </w:rPr>
              <w:t>Accrued interest payable</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Other assets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(725)</w:t>
            </w:r>
          </w:p>
        </w:tc>
        <w:tc>
          <w:tcPr>
            <w:tcW w:w="0" w:type="dxa"/>
            <w:vAlign w:val="bottom"/>
          </w:tcPr>
          <w:p>
            <w:pPr>
              <w:spacing w:after="0"/>
              <w:rPr>
                <w:sz w:val="1"/>
                <w:szCs w:val="1"/>
                <w:color w:val="auto"/>
              </w:rPr>
            </w:pPr>
          </w:p>
        </w:tc>
      </w:tr>
      <w:tr>
        <w:trPr>
          <w:trHeight w:val="173"/>
        </w:trPr>
        <w:tc>
          <w:tcPr>
            <w:tcW w:w="8180" w:type="dxa"/>
            <w:vAlign w:val="bottom"/>
          </w:tcPr>
          <w:p>
            <w:pPr>
              <w:ind w:left="360"/>
              <w:spacing w:after="0"/>
              <w:rPr>
                <w:sz w:val="20"/>
                <w:szCs w:val="20"/>
                <w:color w:val="auto"/>
              </w:rPr>
            </w:pPr>
            <w:r>
              <w:rPr>
                <w:rFonts w:ascii="Arial" w:cs="Arial" w:eastAsia="Arial" w:hAnsi="Arial"/>
                <w:sz w:val="13"/>
                <w:szCs w:val="13"/>
                <w:color w:val="auto"/>
              </w:rPr>
              <w:t>Operating lease liabilities</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Other liabilities</w:t>
            </w: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(1,938)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(5,337)</w:t>
            </w:r>
          </w:p>
        </w:tc>
        <w:tc>
          <w:tcPr>
            <w:tcW w:w="0" w:type="dxa"/>
            <w:vAlign w:val="bottom"/>
          </w:tcPr>
          <w:p>
            <w:pPr>
              <w:spacing w:after="0"/>
              <w:rPr>
                <w:sz w:val="1"/>
                <w:szCs w:val="1"/>
                <w:color w:val="auto"/>
              </w:rPr>
            </w:pPr>
          </w:p>
        </w:tc>
      </w:tr>
      <w:tr>
        <w:trPr>
          <w:trHeight w:val="167"/>
        </w:trPr>
        <w:tc>
          <w:tcPr>
            <w:tcW w:w="8180" w:type="dxa"/>
            <w:vAlign w:val="bottom"/>
          </w:tcPr>
          <w:p>
            <w:pPr>
              <w:ind w:left="520"/>
              <w:spacing w:after="0"/>
              <w:rPr>
                <w:sz w:val="20"/>
                <w:szCs w:val="20"/>
                <w:color w:val="auto"/>
              </w:rPr>
            </w:pPr>
            <w:r>
              <w:rPr>
                <w:rFonts w:ascii="Arial" w:cs="Arial" w:eastAsia="Arial" w:hAnsi="Arial"/>
                <w:sz w:val="13"/>
                <w:szCs w:val="13"/>
                <w:color w:val="auto"/>
              </w:rPr>
              <w:t>Net cash provided by (used in) operating activities</w:t>
            </w:r>
          </w:p>
        </w:tc>
        <w:tc>
          <w:tcPr>
            <w:tcW w:w="8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(6,099)</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37,491</w:t>
            </w:r>
          </w:p>
        </w:tc>
        <w:tc>
          <w:tcPr>
            <w:tcW w:w="0" w:type="dxa"/>
            <w:vAlign w:val="bottom"/>
          </w:tcPr>
          <w:p>
            <w:pPr>
              <w:spacing w:after="0"/>
              <w:rPr>
                <w:sz w:val="1"/>
                <w:szCs w:val="1"/>
                <w:color w:val="auto"/>
              </w:rPr>
            </w:pPr>
          </w:p>
        </w:tc>
      </w:tr>
      <w:tr>
        <w:trPr>
          <w:trHeight w:val="68"/>
        </w:trPr>
        <w:tc>
          <w:tcPr>
            <w:tcW w:w="81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180" w:type="dxa"/>
            <w:vAlign w:val="bottom"/>
            <w:tcBorders>
              <w:top w:val="single" w:sz="8" w:color="CCEEFF"/>
            </w:tcBorders>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8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(increase) decrease in loans receivable</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(45,742)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10,036</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color w:val="auto"/>
              </w:rPr>
              <w:t>Purchase of lease pools</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(12,386)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Investment in equity investment</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color w:val="auto"/>
              </w:rPr>
              <w:t>Distributions from BFG</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Purchase of bank premises and equipment, net</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(4,605)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(2,784)</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color w:val="auto"/>
              </w:rPr>
              <w:t>Proceeds from maturities and paydowns of securities held-to-maturity</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Purchases of securities held to maturity</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(1,975)</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color w:val="auto"/>
              </w:rPr>
              <w:t>Purchase of FHLB stock</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Net cash (used in) provided by investing activities</w:t>
            </w: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(62,547)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6,450</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color w:val="auto"/>
              </w:rPr>
              <w:t>Net increase (decrease) in deposits</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89,532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(32,533)</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Common stock repurchased</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(2,388)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Arial" w:cs="Arial" w:eastAsia="Arial" w:hAnsi="Arial"/>
                <w:sz w:val="13"/>
                <w:szCs w:val="13"/>
                <w:color w:val="auto"/>
              </w:rPr>
              <w:t>Proceeds from exercise of stock options</w:t>
            </w:r>
          </w:p>
        </w:tc>
        <w:tc>
          <w:tcPr>
            <w:tcW w:w="8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Repayment of PPP Liquidity Facility</w:t>
            </w: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166"/>
        </w:trPr>
        <w:tc>
          <w:tcPr>
            <w:tcW w:w="8180" w:type="dxa"/>
            <w:vAlign w:val="bottom"/>
          </w:tcPr>
          <w:p>
            <w:pPr>
              <w:ind w:left="360"/>
              <w:spacing w:after="0"/>
              <w:rPr>
                <w:sz w:val="20"/>
                <w:szCs w:val="20"/>
                <w:color w:val="auto"/>
              </w:rPr>
            </w:pPr>
            <w:r>
              <w:rPr>
                <w:rFonts w:ascii="Arial" w:cs="Arial" w:eastAsia="Arial" w:hAnsi="Arial"/>
                <w:sz w:val="13"/>
                <w:szCs w:val="13"/>
                <w:color w:val="auto"/>
              </w:rPr>
              <w:t>Net cash used in financing activities</w:t>
            </w:r>
          </w:p>
        </w:tc>
        <w:tc>
          <w:tcPr>
            <w:tcW w:w="8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87,122</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(33,167)</w:t>
            </w:r>
          </w:p>
        </w:tc>
        <w:tc>
          <w:tcPr>
            <w:tcW w:w="0" w:type="dxa"/>
            <w:vAlign w:val="bottom"/>
          </w:tcPr>
          <w:p>
            <w:pPr>
              <w:spacing w:after="0"/>
              <w:rPr>
                <w:sz w:val="1"/>
                <w:szCs w:val="1"/>
                <w:color w:val="auto"/>
              </w:rPr>
            </w:pPr>
          </w:p>
        </w:tc>
      </w:tr>
      <w:tr>
        <w:trPr>
          <w:trHeight w:val="69"/>
        </w:trPr>
        <w:tc>
          <w:tcPr>
            <w:tcW w:w="818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8180" w:type="dxa"/>
            <w:vAlign w:val="bottom"/>
            <w:tcBorders>
              <w:top w:val="single" w:sz="8" w:color="CCEEFF"/>
            </w:tcBorders>
          </w:tcPr>
          <w:p>
            <w:pPr>
              <w:ind w:left="20"/>
              <w:spacing w:after="0"/>
              <w:rPr>
                <w:sz w:val="20"/>
                <w:szCs w:val="20"/>
                <w:color w:val="auto"/>
              </w:rPr>
            </w:pPr>
            <w:r>
              <w:rPr>
                <w:rFonts w:ascii="Arial" w:cs="Arial" w:eastAsia="Arial" w:hAnsi="Arial"/>
                <w:sz w:val="13"/>
                <w:szCs w:val="13"/>
                <w:b w:val="1"/>
                <w:bCs w:val="1"/>
                <w:color w:val="auto"/>
              </w:rPr>
              <w:t>Net change in cash and cash equivalents</w:t>
            </w:r>
          </w:p>
        </w:tc>
        <w:tc>
          <w:tcPr>
            <w:tcW w:w="8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18,476</w:t>
            </w: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10,774</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beginning of the period</w:t>
            </w:r>
          </w:p>
        </w:tc>
        <w:tc>
          <w:tcPr>
            <w:tcW w:w="8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100,567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85,754</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Arial" w:cs="Arial" w:eastAsia="Arial" w:hAnsi="Arial"/>
                <w:sz w:val="13"/>
                <w:szCs w:val="13"/>
                <w:color w:val="auto"/>
              </w:rPr>
              <w:t>Cash and cash equivalents, end of the period</w:t>
            </w:r>
          </w:p>
        </w:tc>
        <w:tc>
          <w:tcPr>
            <w:tcW w:w="86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119,043</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96,528</w:t>
            </w:r>
          </w:p>
        </w:tc>
        <w:tc>
          <w:tcPr>
            <w:tcW w:w="0" w:type="dxa"/>
            <w:vAlign w:val="bottom"/>
          </w:tcPr>
          <w:p>
            <w:pPr>
              <w:spacing w:after="0"/>
              <w:rPr>
                <w:sz w:val="1"/>
                <w:szCs w:val="1"/>
                <w:color w:val="auto"/>
              </w:rPr>
            </w:pPr>
          </w:p>
        </w:tc>
      </w:tr>
      <w:tr>
        <w:trPr>
          <w:trHeight w:val="47"/>
        </w:trPr>
        <w:tc>
          <w:tcPr>
            <w:tcW w:w="81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180" w:type="dxa"/>
            <w:vAlign w:val="bottom"/>
            <w:tcBorders>
              <w:top w:val="single" w:sz="8" w:color="CCEEFF"/>
            </w:tcBorders>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8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paid during the period</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Arial" w:cs="Arial" w:eastAsia="Arial" w:hAnsi="Arial"/>
                <w:sz w:val="13"/>
                <w:szCs w:val="13"/>
                <w:color w:val="auto"/>
              </w:rPr>
              <w:t>Income taxes</w:t>
            </w:r>
          </w:p>
        </w:tc>
        <w:tc>
          <w:tcPr>
            <w:tcW w:w="860" w:type="dxa"/>
            <w:vAlign w:val="bottom"/>
          </w:tcPr>
          <w:p>
            <w:pPr>
              <w:jc w:val="right"/>
              <w:ind w:right="717"/>
              <w:spacing w:after="0"/>
              <w:rPr>
                <w:sz w:val="20"/>
                <w:szCs w:val="20"/>
                <w:color w:val="auto"/>
              </w:rPr>
            </w:pPr>
            <w:r>
              <w:rPr>
                <w:rFonts w:ascii="Arial" w:cs="Arial" w:eastAsia="Arial" w:hAnsi="Arial"/>
                <w:sz w:val="13"/>
                <w:szCs w:val="13"/>
                <w:b w:val="1"/>
                <w:bCs w:val="1"/>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5,050</w:t>
            </w:r>
          </w:p>
        </w:tc>
        <w:tc>
          <w:tcPr>
            <w:tcW w:w="100" w:type="dxa"/>
            <w:vAlign w:val="bottom"/>
          </w:tcPr>
          <w:p>
            <w:pPr>
              <w:spacing w:after="0"/>
              <w:rPr>
                <w:sz w:val="15"/>
                <w:szCs w:val="15"/>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7,257</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w:t>
            </w:r>
          </w:p>
        </w:tc>
        <w:tc>
          <w:tcPr>
            <w:tcW w:w="86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3"/>
                <w:szCs w:val="13"/>
                <w:b w:val="1"/>
                <w:bCs w:val="1"/>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3,077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520</w:t>
            </w: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noncash operating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Arial" w:cs="Arial" w:eastAsia="Arial" w:hAnsi="Arial"/>
                <w:sz w:val="13"/>
                <w:szCs w:val="13"/>
                <w:color w:val="auto"/>
              </w:rPr>
              <w:t xml:space="preserve">Right-of-use assets obtained in exchange for operating lease liabilities </w:t>
            </w:r>
            <w:r>
              <w:rPr>
                <w:rFonts w:ascii="Arial" w:cs="Arial" w:eastAsia="Arial" w:hAnsi="Arial"/>
                <w:sz w:val="13"/>
                <w:szCs w:val="13"/>
                <w:i w:val="1"/>
                <w:iCs w:val="1"/>
                <w:color w:val="auto"/>
              </w:rPr>
              <w:t>(ASC 842 adoption effective January 1, 2022)</w:t>
            </w:r>
          </w:p>
        </w:tc>
        <w:tc>
          <w:tcPr>
            <w:tcW w:w="860" w:type="dxa"/>
            <w:vAlign w:val="bottom"/>
          </w:tcPr>
          <w:p>
            <w:pPr>
              <w:jc w:val="right"/>
              <w:ind w:right="717"/>
              <w:spacing w:after="0"/>
              <w:rPr>
                <w:sz w:val="20"/>
                <w:szCs w:val="20"/>
                <w:color w:val="auto"/>
              </w:rPr>
            </w:pPr>
            <w:r>
              <w:rPr>
                <w:rFonts w:ascii="Arial" w:cs="Arial" w:eastAsia="Arial" w:hAnsi="Arial"/>
                <w:sz w:val="13"/>
                <w:szCs w:val="13"/>
                <w:b w:val="1"/>
                <w:bCs w:val="1"/>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7,380</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Nature of business and organization – </w:t>
      </w:r>
      <w:r>
        <w:rPr>
          <w:rFonts w:ascii="Arial" w:cs="Arial" w:eastAsia="Arial" w:hAnsi="Arial"/>
          <w:sz w:val="16"/>
          <w:szCs w:val="16"/>
          <w:color w:val="auto"/>
        </w:rPr>
        <w:t>FinWise Bancorp is a Utah Corporation headquartered in Murray, Utah and operates all business activities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its wholly-owned subsidiaries FinWise Bank, f/k/a Utah Community Bank and FinWise Investment, LLC. FinWise Bank was incorporated in the state of Utah on May 7, 1999. FinWise Bancorp, f/k/a All West Bancorp, was incorporated in the state of Utah on October 22, 2002, after which, it acquired 100% of FinWise Bank. As of March 4, 2016, FinWise Bank’s articles of incorporation were amended to rename the entity FinWise Bank. As of March 15, 2021, FinWise Bancorp’s articles of incorporation were amended and restated to rename the entity FinWise Bancorp. References herein to “FinWise Bancorp,” “Bancorp” or the “holding company,” refer to FinWise Bancorp on a standalone basis. The word “Company” refers to FinWise Bancorp, FinWise Investment, LLC, and FinWise Bank collectively and on a consolidated basis. References to the “Bank” refer to FinWise Bank on a standalone basis.</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Bank provides a full range of banking services to individual and commercial customers. The Bank’s primary source of revenue is from loans including consumer, Small Business Administration (SBA), commercial, commercial real estate, and residential real estate.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subject to competition from other financial institutions and to the regulations of certain federal and state agencies and undergoes periodic examinations by those agencies.</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unaudited interim consolidated financial statements have been prepared in accordance with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principles generally accepted in the United States of America ("GAAP") for interim financial information and with rules and regulations of the Securities and Exchange Commission ("SEC") and include the activity of the Company and its wholly owned subsidiaries, FinWise Investments, LLC and the Bank. The statements do not include all of the information and footnotes required by GAAP for complete financial statements. All significant inter-company transactions have been eliminated in consolidation. In the opinion of management, all the adjustments (consisting of normal and recurring adjustments) necessary for the fair presentation of the consolidated financial condition and the consolidated results of operations for the periods presented have been included. The results of operations and other data presented for the three and six months ended June 30, 2023 are not necessarily indicative of the results of operations that may be expected for subsequent periods or the full year results. The unaudited consolidated financial statements presented should be read in conjunction with the Company’s audited consolidated financial statements and notes to the audited consolidated financial statements included in the Company’s December 31, 2022 Annual Report on Form 10-K. Certain prior period amounts have been reclassified to conform to current period presentation.</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subsequent events for potential recognition and/or disclosure in this Quarterly Report on Form 10-Q through the date these consolidated financial statements were issued.</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Out-of-period adjustments </w:t>
      </w:r>
      <w:r>
        <w:rPr>
          <w:rFonts w:ascii="Arial" w:cs="Arial" w:eastAsia="Arial" w:hAnsi="Arial"/>
          <w:sz w:val="18"/>
          <w:szCs w:val="18"/>
          <w:color w:val="auto"/>
        </w:rPr>
        <w:t>– During the first quarter of 2022, we recognized a $(0.8) million ($(0.6) million net of tax) reduction of interest and fees on</w:t>
      </w:r>
      <w:r>
        <w:rPr>
          <w:rFonts w:ascii="Arial" w:cs="Arial" w:eastAsia="Arial" w:hAnsi="Arial"/>
          <w:sz w:val="18"/>
          <w:szCs w:val="18"/>
          <w:b w:val="1"/>
          <w:bCs w:val="1"/>
          <w:color w:val="auto"/>
        </w:rPr>
        <w:t xml:space="preserve"> </w:t>
      </w:r>
      <w:r>
        <w:rPr>
          <w:rFonts w:ascii="Arial" w:cs="Arial" w:eastAsia="Arial" w:hAnsi="Arial"/>
          <w:sz w:val="18"/>
          <w:szCs w:val="18"/>
          <w:color w:val="auto"/>
        </w:rPr>
        <w:t>loans and loans receivable, net as an out-of-period adjustment. The impact associated with this correction was not considered material to the interim unaudited consolidated financial statements for the three and six months ended June 30, 2022, year ended December 31, 2022, or the financial statements of any previously filed interim or annual periods.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third quarter of 2022, the Company identified an error in the calculation of the Company’s tax provision which understated income tax expense for previously reported financial statements. The error was related to an incorrect application of Section 162(m) of the Internal Revenue Code, which limits tax deductions relating to executive compensation of certain executives of publicly held companies. The Company recorded an out-of-period adjustment during the third quarter of 2022 to correct the previously understated income tax expense. The adjustment resulted in a decrease to after-tax income of $(0.9) million for the year ended December 31, 2022. The impact associated with this correction was not considered material to the interim unaudited consolidated financial statements for the three months ended September 30, 2022, year ended December 31, 2022, or the financial statements of any previously filed interim or annual periods.</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During the fourth quarter of 2022, the Company established a new loan trailing fee asset which is included in “Other assets” on the Consolidated Balance Sheets of approximately $2.3 million and recognized $2.1 million in gain on sale of loans ($1.5 million net of tax) as an out-of-period adjustment of which $1.2 million ($0.9 million net of tax) would have been recorded in the first three quarters of 2022 with the remaining $0.9 million ($0.6 million net of tax) associated with years prior to 2022. Before this correction, the loan trailing fees had been recognized in revenue during the month payment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was owed by the Strategic Program rather than as a gain to be recognized upon sale of the loan receivables. The impact associated with this correction was not considered material to the interim unaudited consolidated financial statements for the three and six months ended December 31, 2022, year ended December 31, 2022, or the financial statements of any previously filed interim or annual periods.</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For purposes of reporting cash flows, the Company defines cash and cash equivalents as cash, cash due from banks,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interest-bearing deposits in other banks, other interest-bearing deposits, and federal funds sold.</w:t>
      </w:r>
    </w:p>
    <w:p>
      <w:pPr>
        <w:spacing w:after="0" w:line="1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Loans Receivable </w:t>
      </w:r>
      <w:r>
        <w:rPr>
          <w:rFonts w:ascii="Arial" w:cs="Arial" w:eastAsia="Arial" w:hAnsi="Arial"/>
          <w:sz w:val="16"/>
          <w:szCs w:val="16"/>
          <w:color w:val="auto"/>
        </w:rPr>
        <w:t>– Loans receivable are reported at their outstanding principal adjusted for any charge-offs, the allowance for credit losses, and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fees and costs. Loan origination fees, net of certain direct origination costs, if any, are deferred and recognized on an adjustment of the related loan yield using an effective-yield method over the contractual life of the loan. Interest income on loans is recognized on an accrual basis commencing in the month of origination using the interest method. Delinquency fees are recognized in income when chargeable and when collectability is reasonably assured.</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requires most loans to be substantially collateralized by real estate, equipment, vehicles, accounts receivable, inventories or other tangible or intangible assets. Real estate collateral is in the form of first and second mortgages on various types of property. The Company also originates unsecured loans to consumers and businesses.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change its intent from holding loans for investment and reclassify them as held-for-sale.</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Loans Held For Sale - </w:t>
      </w:r>
      <w:r>
        <w:rPr>
          <w:rFonts w:ascii="Arial" w:cs="Arial" w:eastAsia="Arial" w:hAnsi="Arial"/>
          <w:sz w:val="18"/>
          <w:szCs w:val="18"/>
          <w:color w:val="auto"/>
        </w:rPr>
        <w:t>Loans held-for-sale are carried at the lower of aggregate cost and fair value. Gains and losses are recorded in non-interest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difference between sales proceeds and carrying value.</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Nonaccrual Loans </w:t>
      </w:r>
      <w:r>
        <w:rPr>
          <w:rFonts w:ascii="Arial" w:cs="Arial" w:eastAsia="Arial" w:hAnsi="Arial"/>
          <w:sz w:val="18"/>
          <w:szCs w:val="18"/>
          <w:color w:val="auto"/>
        </w:rPr>
        <w:t>– The Company's policy is to place loans on a nonaccrual status when: 1) payment is in default for 90 days or more unless the loan is</w:t>
      </w:r>
      <w:r>
        <w:rPr>
          <w:rFonts w:ascii="Arial" w:cs="Arial" w:eastAsia="Arial" w:hAnsi="Arial"/>
          <w:sz w:val="18"/>
          <w:szCs w:val="18"/>
          <w:b w:val="1"/>
          <w:bCs w:val="1"/>
          <w:color w:val="auto"/>
        </w:rPr>
        <w:t xml:space="preserve"> </w:t>
      </w:r>
      <w:r>
        <w:rPr>
          <w:rFonts w:ascii="Arial" w:cs="Arial" w:eastAsia="Arial" w:hAnsi="Arial"/>
          <w:sz w:val="18"/>
          <w:szCs w:val="18"/>
          <w:color w:val="auto"/>
        </w:rPr>
        <w:t>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A loan is relieved of its nonaccrual status when all principal and interest payments are brought current, the loan is well secured, and an analysis of the borrower's financial condition provides reasonable assurance that the borrower can repay the loan as scheduled.</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Stock Repurchase Program </w:t>
      </w:r>
      <w:r>
        <w:rPr>
          <w:rFonts w:ascii="Arial" w:cs="Arial" w:eastAsia="Arial" w:hAnsi="Arial"/>
          <w:sz w:val="17"/>
          <w:szCs w:val="17"/>
          <w:color w:val="auto"/>
        </w:rPr>
        <w:t>– On August 18, 2022, the Company announced that its Board of Directors (the “Board”) has authorized, effective August 16,</w:t>
      </w:r>
      <w:r>
        <w:rPr>
          <w:rFonts w:ascii="Arial" w:cs="Arial" w:eastAsia="Arial" w:hAnsi="Arial"/>
          <w:sz w:val="17"/>
          <w:szCs w:val="17"/>
          <w:b w:val="1"/>
          <w:bCs w:val="1"/>
          <w:color w:val="auto"/>
        </w:rPr>
        <w:t xml:space="preserve"> </w:t>
      </w:r>
      <w:r>
        <w:rPr>
          <w:rFonts w:ascii="Arial" w:cs="Arial" w:eastAsia="Arial" w:hAnsi="Arial"/>
          <w:sz w:val="17"/>
          <w:szCs w:val="17"/>
          <w:color w:val="auto"/>
        </w:rPr>
        <w:t>2022, a common stock repurchase program to purchase up to 644,241 shares of the Company’s common stock in the aggregate. The repurchase program expires on August 31, 2024, but may be limited or terminated at any time without prior notice.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permits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 Since commencement of the repurchase program, the Company has repurchased 413,263 shares for approximately $3.5 million as of June 30, 2023 and retired them at cost.</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Revenue from Contracts with Customers </w:t>
      </w:r>
      <w:r>
        <w:rPr>
          <w:rFonts w:ascii="Arial" w:cs="Arial" w:eastAsia="Arial" w:hAnsi="Arial"/>
          <w:sz w:val="16"/>
          <w:szCs w:val="16"/>
          <w:color w:val="auto"/>
        </w:rPr>
        <w:t>– The Company applies the provisions of ASC 606, Revenue from Contracts with Customers (“ASC 606”).</w:t>
      </w:r>
      <w:r>
        <w:rPr>
          <w:rFonts w:ascii="Arial" w:cs="Arial" w:eastAsia="Arial" w:hAnsi="Arial"/>
          <w:sz w:val="16"/>
          <w:szCs w:val="16"/>
          <w:b w:val="1"/>
          <w:bCs w:val="1"/>
          <w:color w:val="auto"/>
        </w:rPr>
        <w:t xml:space="preserve"> </w:t>
      </w:r>
      <w:r>
        <w:rPr>
          <w:rFonts w:ascii="Arial" w:cs="Arial" w:eastAsia="Arial" w:hAnsi="Arial"/>
          <w:sz w:val="16"/>
          <w:szCs w:val="16"/>
          <w:color w:val="auto"/>
        </w:rPr>
        <w:t>The core principle of this standard is that a company should recognize revenue to depict the transfer of promised goods or services to customers in an amount that reflects the consideration to which the company expects to be entitled in exchange for those goods or services. Services that the Company reports as part of non-interest income are subject to ASC 606 and include fees from its deposit customers for transaction-based activities, account maintenance charges and overdraft services. Transaction-based fees, such as ACH and wire transfer fees, overdraft, return and stop payment charges, are recognized at the time such transactions are executed and the services have been fulfilled by the Company. The fees are typically withdrawn from the customer’s deposit account balance. The Company also receives fees from third-parties in its Strategic Programs for setting up systems and procedures to efficiently originate loans in a convenient, compliant and safe manner. Because the third-party simultaneously receives and benefits from the services,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evenly over the term of the loan program. Program Fees received in connection with the Company’s Strategic Programs are recorded at the time services are provided.</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 Operating segments are components of a business where separate financial information is available and evaluated regularly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operating decision makers ("CODMs") in deciding how to allocate resources and in assessing performance.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requires information to be reported about a company's operating segments using a "management approach", meaning it is based on the way management organizes segments internally to make operating decisions and assess performance. Based on this guidance, the Company has one reportable operating segment, the Bank.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9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Allowance for Credit Losses</w:t>
      </w:r>
      <w:r>
        <w:rPr>
          <w:rFonts w:ascii="Arial" w:cs="Arial" w:eastAsia="Arial" w:hAnsi="Arial"/>
          <w:sz w:val="16"/>
          <w:szCs w:val="16"/>
          <w:color w:val="auto"/>
        </w:rPr>
        <w:t>: On January 1, 2023, the Company adopted ASU 2016-13,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Topic 326</w:t>
      </w:r>
      <w:r>
        <w:rPr>
          <w:rFonts w:ascii="Arial" w:cs="Arial" w:eastAsia="Arial" w:hAnsi="Arial"/>
          <w:sz w:val="16"/>
          <w:szCs w:val="16"/>
          <w:b w:val="1"/>
          <w:bCs w:val="1"/>
          <w:color w:val="auto"/>
        </w:rPr>
        <w:t xml:space="preserve"> </w:t>
      </w:r>
      <w:r>
        <w:rPr>
          <w:rFonts w:ascii="Arial" w:cs="Arial" w:eastAsia="Arial" w:hAnsi="Arial"/>
          <w:sz w:val="16"/>
          <w:szCs w:val="16"/>
          <w:color w:val="auto"/>
        </w:rPr>
        <w:t>which replaced the incurred loss methodology with</w:t>
      </w:r>
      <w:r>
        <w:rPr>
          <w:rFonts w:ascii="Arial" w:cs="Arial" w:eastAsia="Arial" w:hAnsi="Arial"/>
          <w:sz w:val="16"/>
          <w:szCs w:val="16"/>
          <w:b w:val="1"/>
          <w:bCs w:val="1"/>
          <w:color w:val="auto"/>
        </w:rPr>
        <w:t xml:space="preserve"> </w:t>
      </w:r>
      <w:r>
        <w:rPr>
          <w:rFonts w:ascii="Arial" w:cs="Arial" w:eastAsia="Arial" w:hAnsi="Arial"/>
          <w:sz w:val="16"/>
          <w:szCs w:val="16"/>
          <w:color w:val="auto"/>
        </w:rPr>
        <w:t>CECL for financial instruments measured at amortized cost and other commitments to extend credit. CECL requires the immediate recognition of estimated credit losses expected to occur over the estimated remaining life of the asset. The forward-looking concept of CECL requires loss estimates to consider historical experience, current conditions and reasonable and supportable economic forecasts of future events and circumstances.</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allowance for credit losses (“ACL”) on loans held for investment is the combination of the allowance for loan losses and the reserve for unfunded loan commitments. The allowance for loan losses is reported as a reduction of the amortized cost basis of loans, while the reserve for unfunded loan commitments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ACL in accordance with CECL methodology</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With respect to the Bank's core portfolio which consists of SBA 7(a), local lending, retail point of sale, and equipment finance and leasing, the Bank pools similar loans that are collectively evaluated and determines an appropriate level of general allowance by portfolio segment using a non-discounted cash flow model taking into account probability of default, loss in the event of default, and prepayment speed estimates based on industry specific collected data. The model captures losses over the historical charge-off and prepayment cycle and applies those losses at a loan level over the remaining maturity of the loan. The model then calculates a historical loss rate using the average losses over the reporting period, which is then applied to each segment utilizing a standard reversion rate. With respect to the Bank's active retained Strategic Program loan portfolio, the Bank is using a methodology that compares the actual loan performance of a vintage to the worst performing loans within that vintage, known as the high-water mark. The Bank records the expected credit losses based on the high-water mark loss rate. With respect to the Bank's inactive retained Strategic Program loan portfolio, performance data at the summary level provided by the Strategic Programs is banded by credit profile and original loan term and compared to actual loan performance on a quarterly basis. The expected loss rate is supplemented with adjustments for reasonable and supportable forecasts of relevant economic indicators, including but not limited to national unemployment rate forecasts. Expected credit losses are estimated over the contractual term of the loans, adjusted for expected prepayments when appropriate. Also included in the ACL are qualitative factors based on the risks present for each portfolio segment. These qualitative factors include the following that are derived from the Interagency Policy Statement on Allowance for Credit Losses: changes in lending policies and procedures; changes in international, national, regional, and local economic and business conditions and developments that affect the collectability of the loan portfolio; changes in the nature and volume of the loan portfolio and in the terms of loans; changes in the experience, ability, and depth of lending management and staff; changes in the volume and severity of past due loans, nonaccrual loans, and classified or graded loans; changes in the quality of the Bank's loan review system; changes in the value of underlying collateral for loans that are not collateral-dependent; changes in the level of concentration of credit; changes in the effect of competition, legal, and regulatory requirements on the level of estimated credit losses; and, if applicable, changes in the composition and volume of the loan portfolio due to mergers, acquisitions, and other significant transactions not considered elsewhere. The Bank also considers as an additional qualitative factor any lingering "ripple" effects of the Covid-19 pandemic, including lasting changes to consumer behavior, lending, and society at large. It is also possible that these factors could include social, political, economic, and terrorist events or activities. All of these factors are susceptible to change, which may be significant.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When management identifies loans that do not share common risk characteristics (i.e., are not similar to other loans within a pool) they are evaluated on an individual basis. These loans are not included in the collective evaluation. For loans identified as having a likelihood of foreclosure or that the borrower is experiencing financial difficulty, a collateral dependent approach is used. These are loans for which the repayment is expected to be provided substantially through the operation or sale of the collateral. Under CECL, for collateral dependent loans, the Company has adopted the practical expedient method to measure the allowance for credit losses based on the fair value of collateral. The allowance for credit losses is calculated on an individual loan basis based on the shortfall between the fair value of the loan's collateral, which is adjusted for liquidation costs/discounts, and amortized cost. If the fair value of the collateral exceeds the amortized cost, no allowance is required.</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CECL methodology requires a significant amount of management judgment in determining the appropriate allowance for credit losses. Several of the steps in the methodology involve judgment and are subjective in nature including, among other things: segmenting the loan portfolio; determining the amount of loss history to consider; selecting predictive econometric regression models that use appropriate macroeconomic variables; determining the methodology to forecast prepayments; selecting the most appropriate economic forecast scenario; determining the length of the reasonable and supportable forecast and reversion periods; estimating expected utilization rates on unfunded loan commitments; and assessing relevant and appropriate qualitative factors. In addition, the CECL methodology is dependent on economic forecasts, which are inherently imprecise and will change from period to period.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Although the allowance for credit losses is considered appropriate, there can be no assurance that it will be sufficient to absorb future losses.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determining an appropriate amount for the allowance, the Bank segments and aggregates the loan portfolio based on common characteristics. The following segments have been identified:</w:t>
      </w:r>
    </w:p>
    <w:p>
      <w:pPr>
        <w:spacing w:after="0" w:line="130"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u w:val="single" w:color="auto"/>
          <w:color w:val="auto"/>
        </w:rPr>
        <w:t>Commercial Real Estate</w:t>
      </w:r>
      <w:r>
        <w:rPr>
          <w:rFonts w:ascii="Arial" w:cs="Arial" w:eastAsia="Arial" w:hAnsi="Arial"/>
          <w:sz w:val="16"/>
          <w:szCs w:val="16"/>
          <w:color w:val="auto"/>
        </w:rPr>
        <w:t>. These loans are generally secured by owner-occupied nonfarm, nonresidential properties, or by other nonfarm, nonresidential properties. Owner-occupied commercial real estate loans are typically repaid first by the cash flows generated by the underlying business. Factors that may influence a business' cash flows include, but are not limited to, demand for its products or services, quality and depth of management, degree of competition, regulatory changes, and general economic conditions. Non-owner occupied commercial real estate loans are generally considered to have a higher degree of credit risk as they may be dependent on the ongoing success and operating viability of a fewer number of tenants who are occupying the property and who may have a greater degree of exposure to economic conditions.</w:t>
      </w:r>
    </w:p>
    <w:p>
      <w:pPr>
        <w:spacing w:after="0" w:line="12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u w:val="single" w:color="auto"/>
          <w:color w:val="auto"/>
        </w:rPr>
        <w:t>Commercial and Industrial</w:t>
      </w:r>
      <w:r>
        <w:rPr>
          <w:rFonts w:ascii="Arial" w:cs="Arial" w:eastAsia="Arial" w:hAnsi="Arial"/>
          <w:sz w:val="18"/>
          <w:szCs w:val="18"/>
          <w:color w:val="auto"/>
        </w:rPr>
        <w:t>. These loans are generally secured by business assets such as furniture, fixtures, equipment. accounts receivable, inventory, business vehicles, and other business personal property. Commercial and industrial loans are typically repaid first by the cash flows generated by the borrower's business operations. The primary risk characteristics are specific to the underlying business and its ability to generate sustainable profitability and resulting positive cash flows. Factors that may influence a business' profitability include, but are not limited to, demand for its products or services, quality and depth of management, degree of competition, regulatory changes, and general economic conditions.</w:t>
      </w:r>
    </w:p>
    <w:p>
      <w:pPr>
        <w:spacing w:after="0" w:line="152"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u w:val="single" w:color="auto"/>
          <w:color w:val="auto"/>
        </w:rPr>
        <w:t>Lease Financing Receivables</w:t>
      </w:r>
      <w:r>
        <w:rPr>
          <w:rFonts w:ascii="Arial" w:cs="Arial" w:eastAsia="Arial" w:hAnsi="Arial"/>
          <w:sz w:val="16"/>
          <w:szCs w:val="16"/>
          <w:color w:val="auto"/>
        </w:rPr>
        <w:t>. Equipment financing and leasing typically involve the use of equipment as collateral for the loan. If the borrower defaults on the loan, the Bank may need to repossess and sell the equipment to recover the outstanding debt. However, the value of the equipment may depreciate over time, or disappear, making it difficult for the Bank to recover the full amount of the loan. In equipment leasing, the residual value of the equipment is an important consideration. The residual value is the estimated value of the equipment at the end of the lease term. If the actual value of the equipment is lower than the residual value, the lessor may not be able to recover the full amount of the lease payments.</w:t>
      </w:r>
    </w:p>
    <w:p>
      <w:pPr>
        <w:spacing w:after="0" w:line="13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u w:val="single" w:color="auto"/>
          <w:color w:val="auto"/>
        </w:rPr>
        <w:t>Construction and Land Development</w:t>
      </w:r>
      <w:r>
        <w:rPr>
          <w:rFonts w:ascii="Arial" w:cs="Arial" w:eastAsia="Arial" w:hAnsi="Arial"/>
          <w:sz w:val="18"/>
          <w:szCs w:val="18"/>
          <w:color w:val="auto"/>
        </w:rPr>
        <w:t>. Risks common to construction loans are cost overruns,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 Risks common to residential lot loans are those similar to other types of real estate construction loans, as many customers finance the purchase of improved lots in anticipation of constructing a 1 to 4 family residence. Accordingly, common risks are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u w:val="single" w:color="auto"/>
          <w:color w:val="auto"/>
        </w:rPr>
        <w:t>Consumer</w:t>
      </w:r>
      <w:r>
        <w:rPr>
          <w:rFonts w:ascii="Arial" w:cs="Arial" w:eastAsia="Arial" w:hAnsi="Arial"/>
          <w:sz w:val="18"/>
          <w:szCs w:val="18"/>
          <w:color w:val="auto"/>
        </w:rPr>
        <w:t>. These are loans to individuals for household, family, and other personal expenditures. Consumer loans generally have higher interest rates and shorter terms than residential loans but tend to have higher credit risk due to the type of collateral securing the loan or in some cases the absence of collateral.</w:t>
      </w:r>
    </w:p>
    <w:p>
      <w:pPr>
        <w:spacing w:after="0" w:line="14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u w:val="single" w:color="auto"/>
          <w:color w:val="auto"/>
        </w:rPr>
        <w:t>Residential Real Estate</w:t>
      </w:r>
      <w:r>
        <w:rPr>
          <w:rFonts w:ascii="Arial" w:cs="Arial" w:eastAsia="Arial" w:hAnsi="Arial"/>
          <w:sz w:val="18"/>
          <w:szCs w:val="18"/>
          <w:color w:val="auto"/>
        </w:rPr>
        <w:t>. These loans are generally secured by 1 to 4 family residential properties. The primary risk characteristics associated with residential mortgage loans typically involve: major living or lifestyle changes to the borrower, including unemployment or other loss of income; unexpected significant expenses, such as for major medical issues or catastrophic events; and divorce or death. In addition, residential mortgage loans that have adjustable rates could expose the borrower to higher debt service requirements in a rising interest rate environment. Further, real estate values could drop significantly and cause the value of the property to fall below the loan amount, creating additional potential loss exposure for the Bank.</w:t>
      </w:r>
    </w:p>
    <w:p>
      <w:pPr>
        <w:spacing w:after="0" w:line="1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u w:val="single" w:color="auto"/>
          <w:color w:val="auto"/>
        </w:rPr>
        <w:t>Residential Real Estate Multifamily</w:t>
      </w:r>
      <w:r>
        <w:rPr>
          <w:rFonts w:ascii="Arial" w:cs="Arial" w:eastAsia="Arial" w:hAnsi="Arial"/>
          <w:sz w:val="18"/>
          <w:szCs w:val="18"/>
          <w:color w:val="auto"/>
        </w:rPr>
        <w:t>. Risks common to multifamily loans are poor management, high vacancy rates and regulatory changes. The value of multi-family properties can be impacted by changes in the local real estate market. If property values decline, the Bank may not be able to recover the full amount of the loan if the property needs to be foreclosed.</w:t>
      </w:r>
    </w:p>
    <w:p>
      <w:pPr>
        <w:spacing w:after="0" w:line="157"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u w:val="single" w:color="auto"/>
          <w:color w:val="auto"/>
        </w:rPr>
        <w:t>Strategic Program Loans</w:t>
      </w:r>
      <w:r>
        <w:rPr>
          <w:rFonts w:ascii="Arial" w:cs="Arial" w:eastAsia="Arial" w:hAnsi="Arial"/>
          <w:sz w:val="16"/>
          <w:szCs w:val="16"/>
          <w:color w:val="auto"/>
        </w:rPr>
        <w:t>. Unsecured consumer loans and secured or unsecured business loans issued by the Company through these programs generally follow and are limited to specific predetermined underwriting criteria. Strategic Program loans cover a wide range of borrower credit profiles, loan terms and interest rates. Strategic Program loans generally have higher interest rates and shorter terms similar to consumer loans and tend to have higher credit risk due to the type of collateral securing the loan or in most cases the absence of collateral.</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March 2022, the FASB issued ASU 2022-02, </w:t>
      </w:r>
      <w:r>
        <w:rPr>
          <w:rFonts w:ascii="Arial" w:cs="Arial" w:eastAsia="Arial" w:hAnsi="Arial"/>
          <w:sz w:val="16"/>
          <w:szCs w:val="16"/>
          <w:i w:val="1"/>
          <w:iCs w:val="1"/>
          <w:color w:val="auto"/>
        </w:rPr>
        <w:t>Financial Instruments-Credit Losses (Topic 326), Troubled Debt Restructurings and Vintage Disclosures</w:t>
      </w:r>
      <w:r>
        <w:rPr>
          <w:rFonts w:ascii="Arial" w:cs="Arial" w:eastAsia="Arial" w:hAnsi="Arial"/>
          <w:sz w:val="16"/>
          <w:szCs w:val="16"/>
          <w:color w:val="auto"/>
        </w:rPr>
        <w:t>. ASU 2022-02 addresses areas identified by the FASB as part of its post-implementation review of the credit losses standard (ASU 2016-13) that introduced the CECL model. The amendments eliminate the accounting guidance for troubled debt restructurings by creditors that have adopted the CECL model and enhance the disclosure requirements for loan refinancings and modifications. The Company adopted ASU 2022-02 on January 1, 2023. Effective January 1, 2023 loan modifications to borrowers experiencing financial difficulty are required to be disclosed by type of modification and by type of loan. Prior accounting guidance classified loans which were modified as troubled debt restructurings only if the modification reflected a concession from the lender in the form of a below market interest rate or other concession in addition to borrower financial difficulty. Under the new guidance, loans with modifications will be reported whether a concession is made or not. In the first half of 2023, there were no loan modifications which were subject to the new reporting.</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Enactment of the Inflation Reduction Act of 2022</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16, 2022, the U.S. government enacted the Inflation Reduction Act (IRA) which, among other changes, created a new corporate alternative minimum tax (AMT) based on adjusted financial statement income and imposes a 1% excise tax on corporate stock repurchases. The effective date of these provisions is January 1, 2023. The Company is aware of the effects that the enactment of the IRA will have on its consolidated financial statements. If expected stock repurchases are likely to be more than the exemption threshold, we will account for them in our tax provision.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held-to-maturity, at cost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held-to-maturity ("HTM") investment portfolio consists of Agency mortgage-backed securities and Agency collateralized mortgage obligations. The Company reports HTM securities on the Company's Consolidated Balance Sheets at carrying value which is amortized cost. The amortized cost, unrealized gains and losses, and estimated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fair values of the Company’s held-to-maturity securities at June 30, 2023 and December 31, 2022,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0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Gain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6,086</w:t>
            </w: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securities held-to-maturity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58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0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Gain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5,461</w:t>
            </w: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securities held-to-maturity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 &amp; Allowance for Credit Losses - HTM</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 2023, the Company adopted ASU 2016-13, which replaced the legacy GAAP other-than-temporary impairment ("OTTI") model with a credit loss model. ASU 2016-13 requires an allowance on lifetime expected credit losses on HTM debt securities but retains the concept from the OTTI model that credit losses are recognized once securities become impaired. For HTM securities, the Company evaluates the credit risk of its securities on at least a quarterly basis. The Company estimates expected credit losses on HTM debt securities on a collective basis by major security type. Accrued interest receivable on HTM debt securities is excluded from the estimate of credit losses. At June 30, 2023 and at adoption of CECL on January 1, 2023, there was no ACL related to HTM securities due to the composition of the portfolio which is generally considered not to have credit risk given the government guarantee associated with these agencies.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nineteen securities, consisting of nine collateralized mortgage obligations and ten mortgage-backed securities, in an unrealized loss position at June 30, 2023 and seventeen securities, consisting of eight collateralized mortgage obligations and nine mortgage-backed securities, in an unrealized loss position at December 31, 2022, as summarized in the following tables: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5"/>
          </w:tcPr>
          <w:p>
            <w:pPr>
              <w:ind w:left="720"/>
              <w:spacing w:after="0"/>
              <w:rPr>
                <w:sz w:val="20"/>
                <w:szCs w:val="20"/>
                <w:color w:val="auto"/>
              </w:rPr>
            </w:pPr>
            <w:r>
              <w:rPr>
                <w:rFonts w:ascii="Arial" w:cs="Arial" w:eastAsia="Arial" w:hAnsi="Arial"/>
                <w:sz w:val="18"/>
                <w:szCs w:val="18"/>
                <w:b w:val="1"/>
                <w:bCs w:val="1"/>
                <w:color w:val="auto"/>
              </w:rPr>
              <w:t>June 30, 2023</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5"/>
          </w:tcPr>
          <w:p>
            <w:pPr>
              <w:ind w:left="420"/>
              <w:spacing w:after="0"/>
              <w:rPr>
                <w:sz w:val="20"/>
                <w:szCs w:val="20"/>
                <w:color w:val="auto"/>
              </w:rPr>
            </w:pPr>
            <w:r>
              <w:rPr>
                <w:rFonts w:ascii="Arial" w:cs="Arial" w:eastAsia="Arial" w:hAnsi="Arial"/>
                <w:sz w:val="18"/>
                <w:szCs w:val="18"/>
                <w:b w:val="1"/>
                <w:bCs w:val="1"/>
                <w:color w:val="auto"/>
              </w:rPr>
              <w:t>Less than 12 months</w:t>
            </w:r>
          </w:p>
        </w:tc>
        <w:tc>
          <w:tcPr>
            <w:tcW w:w="280" w:type="dxa"/>
            <w:vAlign w:val="bottom"/>
          </w:tcPr>
          <w:p>
            <w:pPr>
              <w:spacing w:after="0"/>
              <w:rPr>
                <w:sz w:val="20"/>
                <w:szCs w:val="20"/>
                <w:color w:val="auto"/>
              </w:rPr>
            </w:pPr>
          </w:p>
        </w:tc>
        <w:tc>
          <w:tcPr>
            <w:tcW w:w="2840" w:type="dxa"/>
            <w:vAlign w:val="bottom"/>
            <w:gridSpan w:val="5"/>
          </w:tcPr>
          <w:p>
            <w:pPr>
              <w:ind w:left="500"/>
              <w:spacing w:after="0"/>
              <w:rPr>
                <w:sz w:val="20"/>
                <w:szCs w:val="20"/>
                <w:color w:val="auto"/>
              </w:rPr>
            </w:pPr>
            <w:r>
              <w:rPr>
                <w:rFonts w:ascii="Arial" w:cs="Arial" w:eastAsia="Arial" w:hAnsi="Arial"/>
                <w:sz w:val="18"/>
                <w:szCs w:val="18"/>
                <w:b w:val="1"/>
                <w:bCs w:val="1"/>
                <w:color w:val="auto"/>
              </w:rPr>
              <w:t>12 Months or More</w:t>
            </w:r>
          </w:p>
        </w:tc>
        <w:tc>
          <w:tcPr>
            <w:tcW w:w="32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Fair</w:t>
            </w:r>
          </w:p>
        </w:tc>
        <w:tc>
          <w:tcPr>
            <w:tcW w:w="24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Unrealized</w:t>
            </w: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32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28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32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Mortgage-backed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5,850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9"/>
        </w:trPr>
        <w:tc>
          <w:tcPr>
            <w:tcW w:w="1960" w:type="dxa"/>
            <w:vAlign w:val="bottom"/>
          </w:tcPr>
          <w:p>
            <w:pPr>
              <w:ind w:left="20"/>
              <w:spacing w:after="0"/>
              <w:rPr>
                <w:sz w:val="20"/>
                <w:szCs w:val="20"/>
                <w:color w:val="auto"/>
              </w:rPr>
            </w:pPr>
            <w:r>
              <w:rPr>
                <w:rFonts w:ascii="Arial" w:cs="Arial" w:eastAsia="Arial" w:hAnsi="Arial"/>
                <w:sz w:val="18"/>
                <w:szCs w:val="18"/>
                <w:color w:val="auto"/>
              </w:rPr>
              <w:t>Collateralized mortgage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ind w:left="700"/>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6,086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securities held-to-</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9,305</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12,730</w:t>
            </w:r>
          </w:p>
        </w:tc>
        <w:tc>
          <w:tcPr>
            <w:tcW w:w="8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maturity</w:t>
            </w: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December 31, 2022</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ind w:left="52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9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12 Months or More</w:t>
            </w:r>
          </w:p>
        </w:tc>
        <w:tc>
          <w:tcPr>
            <w:tcW w:w="2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Unrealized</w:t>
            </w: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Mortgage-backed</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9"/>
        </w:trPr>
        <w:tc>
          <w:tcPr>
            <w:tcW w:w="1960" w:type="dxa"/>
            <w:vAlign w:val="bottom"/>
          </w:tcPr>
          <w:p>
            <w:pPr>
              <w:ind w:left="20"/>
              <w:spacing w:after="0"/>
              <w:rPr>
                <w:sz w:val="20"/>
                <w:szCs w:val="20"/>
                <w:color w:val="auto"/>
              </w:rPr>
            </w:pPr>
            <w:r>
              <w:rPr>
                <w:rFonts w:ascii="Arial" w:cs="Arial" w:eastAsia="Arial" w:hAnsi="Arial"/>
                <w:sz w:val="18"/>
                <w:szCs w:val="18"/>
                <w:color w:val="auto"/>
              </w:rPr>
              <w:t>Collateralized mortgage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securities held-to-</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11,797</w:t>
            </w:r>
          </w:p>
        </w:tc>
        <w:tc>
          <w:tcPr>
            <w:tcW w:w="8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maturity</w:t>
            </w: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estimated market value of debt securities at June 30, 2023 and December 31, 2022, by contractual maturity are shown below. Actual maturities may differ from contractual maturities because borrowers may have the right to call or prepay obligations with or without call or prepayment penalties.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Pr>
          <w:p>
            <w:pPr>
              <w:spacing w:after="0"/>
              <w:rPr>
                <w:sz w:val="20"/>
                <w:szCs w:val="20"/>
                <w:color w:val="auto"/>
              </w:rPr>
            </w:pPr>
          </w:p>
        </w:tc>
        <w:tc>
          <w:tcPr>
            <w:tcW w:w="28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Securities held-to-maturity</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9,526</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Securities held-to-maturity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June 30, 2023, held-to-maturity securities in the amount of $12.6 million were pledged as collateral for a credit line held by the Bank. There were no sales or transfers of investment securities and no realized gains or losses on these securities during the three and six months ended June 30, 2023 or 2022.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FHLB stock</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 is a member of the FHLB system. Members are required to own FHLB stock of at least the greater of 1% of FHLB membership asset value or 2.70% of outstanding FHLB advances. At June 30, 2023 and December 31, 2022, the Bank owned $0.5 million and $0.4 million, respectively, of FHLB stock, which is carried at cost. The Company evaluated the carrying value of its FHLB stock investment at June 30, 2023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our recorded investment.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Note 3 – Loans and Allowance for Credit Losses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760" w:type="dxa"/>
            <w:vAlign w:val="bottom"/>
            <w:gridSpan w:val="4"/>
          </w:tcPr>
          <w:p>
            <w:pPr>
              <w:spacing w:after="0"/>
              <w:rPr>
                <w:sz w:val="20"/>
                <w:szCs w:val="20"/>
                <w:color w:val="auto"/>
              </w:rPr>
            </w:pPr>
            <w:r>
              <w:rPr>
                <w:rFonts w:ascii="Arial" w:cs="Arial" w:eastAsia="Arial" w:hAnsi="Arial"/>
                <w:sz w:val="18"/>
                <w:szCs w:val="18"/>
                <w:color w:val="auto"/>
                <w:w w:val="99"/>
              </w:rPr>
              <w:t>Loans outstanding by general ledger classification as of June 30, 2023 and December 31, 2022,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145,172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11,484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47,848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260,190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Loans held-for-sale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 held for investment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236,601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Deferred loan fees,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0" w:type="dxa"/>
            <w:vAlign w:val="bottom"/>
          </w:tcPr>
          <w:p>
            <w:pPr>
              <w:spacing w:after="0"/>
              <w:rPr>
                <w:sz w:val="1"/>
                <w:szCs w:val="1"/>
                <w:color w:val="auto"/>
              </w:rPr>
            </w:pP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Net loans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277,663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224,217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 The Company adopted ASU 2016-13 as of January 1, 2023. The 2022 amounts presented are calculated under the prior accounting standard.</w:t>
      </w:r>
    </w:p>
    <w:p>
      <w:pPr>
        <w:spacing w:after="0" w:line="31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Strategic Program Loans </w:t>
      </w:r>
      <w:r>
        <w:rPr>
          <w:rFonts w:ascii="Arial" w:cs="Arial" w:eastAsia="Arial" w:hAnsi="Arial"/>
          <w:sz w:val="17"/>
          <w:szCs w:val="17"/>
          <w:color w:val="auto"/>
        </w:rPr>
        <w:t>– In 2016, the Company began originating loans with various third-party loan origination platforms that use technology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innovative systems to streamline the origination of unsecured consumer and secured or unsecured business loans to a wide array of borrowers within certain approved credit profiles. Loans issued by the Company through these programs generally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generally retains the loans and/or receivables for a number of business days after origination before selling the loans and/or receivables to the Strategic Program platform or another investor. Interest income is recognized by the Company while holding the loans. These loans are classified as held-for-sale on the balance sheet.</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also hold a portion of the loans or receivable and sell the remainder directly to the Strategic Programs or other investors. The Company generally services the loans originated through the Strategic Programs in consideration of servicing fees equal to a percentage of the loans generated under the Strategic Programs. In turn, the Strategic Program service providers, subject to the Company’s approval and oversight, serve as sub-servicer and perform typical primary servicing duties including loan collections, modifications, charging-off, reporting and monitoring.</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Strategic Program establishes a “reserve” deposit account with the Company. The agreements generally require that the reserve account deposit balance does not fall below an agreed upon dollar or percentage threshold related to the total loans currently outstanding as held for sale by the Company for the specific Strategic Program. If necessary, the Company has the right to withdraw amounts from the reserve account to fulfill loan purchaser obligations created under the program agreements. Total cash held in reserve by Strategic Programs at the Company at June 30, 2023 and December 31, 2022, was $29.8 million and $16.6 million,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Strategic Program loans retained and held-for-sale as of June 30, 2023 and December 31, 2022,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Strategic Program loans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Strategic Program loans held-for-sale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23,589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Strategic Program loans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determining an appropriate amount for the allowance, the Bank segmented and aggregated the loan portfolio based on the Federal Deposit Insurance Corporation ("FDIC") Consolidated Reports of Condition and Income ("Call Report") codes. The following pool segments identified as of June 30, 2023 are based on the CECL methodology: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9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and land development</w:t>
            </w: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24,949</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8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29,357</w:t>
            </w:r>
          </w:p>
        </w:tc>
      </w:tr>
      <w:tr>
        <w:trPr>
          <w:trHeight w:val="27"/>
        </w:trPr>
        <w:tc>
          <w:tcPr>
            <w:tcW w:w="9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 multifamily</w:t>
            </w:r>
          </w:p>
        </w:tc>
        <w:tc>
          <w:tcPr>
            <w:tcW w:w="8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8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170,253</w:t>
            </w:r>
          </w:p>
        </w:tc>
      </w:tr>
      <w:tr>
        <w:trPr>
          <w:trHeight w:val="27"/>
        </w:trPr>
        <w:tc>
          <w:tcPr>
            <w:tcW w:w="9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8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16,507</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Consumer</w:t>
            </w:r>
          </w:p>
        </w:tc>
        <w:tc>
          <w:tcPr>
            <w:tcW w:w="8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6,180</w:t>
            </w:r>
          </w:p>
        </w:tc>
      </w:tr>
      <w:tr>
        <w:trPr>
          <w:trHeight w:val="27"/>
        </w:trPr>
        <w:tc>
          <w:tcPr>
            <w:tcW w:w="9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financing receivables</w:t>
            </w:r>
          </w:p>
        </w:tc>
        <w:tc>
          <w:tcPr>
            <w:tcW w:w="8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22,109</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Retained Strategic Program loans</w:t>
            </w:r>
          </w:p>
        </w:tc>
        <w:tc>
          <w:tcPr>
            <w:tcW w:w="8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20,732</w:t>
            </w:r>
          </w:p>
        </w:tc>
      </w:tr>
      <w:tr>
        <w:trPr>
          <w:trHeight w:val="27"/>
        </w:trPr>
        <w:tc>
          <w:tcPr>
            <w:tcW w:w="9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290,659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portfolio classes identified as of December 31, 2022 are based on the incurred loss methodology and are segmented by general ledger classification as detailed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5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590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145,172</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5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11,484</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50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37,815</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Retained Strategic Program loans</w:t>
            </w:r>
          </w:p>
        </w:tc>
        <w:tc>
          <w:tcPr>
            <w:tcW w:w="5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24,259</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50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Consumer</w:t>
            </w:r>
          </w:p>
        </w:tc>
        <w:tc>
          <w:tcPr>
            <w:tcW w:w="5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5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236,601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Arial" w:cs="Arial" w:eastAsia="Arial" w:hAnsi="Arial"/>
                <w:sz w:val="18"/>
                <w:szCs w:val="18"/>
                <w:color w:val="auto"/>
              </w:rPr>
              <w:t>18</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9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ACL by common characteristic loan pools based on the CECL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13"/>
          </w:tcPr>
          <w:p>
            <w:pPr>
              <w:jc w:val="right"/>
              <w:ind w:right="620"/>
              <w:spacing w:after="0"/>
              <w:rPr>
                <w:sz w:val="20"/>
                <w:szCs w:val="20"/>
                <w:color w:val="auto"/>
              </w:rPr>
            </w:pPr>
            <w:r>
              <w:rPr>
                <w:rFonts w:ascii="Arial" w:cs="Arial" w:eastAsia="Arial" w:hAnsi="Arial"/>
                <w:sz w:val="18"/>
                <w:szCs w:val="18"/>
                <w:b w:val="1"/>
                <w:bCs w:val="1"/>
                <w:color w:val="auto"/>
              </w:rPr>
              <w:t>Three Months Ended June 30, 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8"/>
        </w:trPr>
        <w:tc>
          <w:tcPr>
            <w:tcW w:w="3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Provision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(Reversal) 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Credit Losses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Charge-Offs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Recoveries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Ending Balance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and land development</w:t>
            </w:r>
          </w:p>
        </w:tc>
        <w:tc>
          <w:tcPr>
            <w:tcW w:w="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 multifamily</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Consumer</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financing receivables</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Retained Strategic Program loans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allowance for loan losses</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8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24"/>
                <w:szCs w:val="24"/>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Unfunded lending commitments</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3"/>
        </w:trPr>
        <w:tc>
          <w:tcPr>
            <w:tcW w:w="3280" w:type="dxa"/>
            <w:vAlign w:val="bottom"/>
          </w:tcPr>
          <w:p>
            <w:pPr>
              <w:ind w:left="180"/>
              <w:spacing w:after="0"/>
              <w:rPr>
                <w:sz w:val="20"/>
                <w:szCs w:val="20"/>
                <w:color w:val="auto"/>
              </w:rPr>
            </w:pPr>
            <w:r>
              <w:rPr>
                <w:rFonts w:ascii="Arial" w:cs="Arial" w:eastAsia="Arial" w:hAnsi="Arial"/>
                <w:sz w:val="18"/>
                <w:szCs w:val="18"/>
                <w:color w:val="auto"/>
              </w:rPr>
              <w:t>Total allowance for credit losses</w:t>
            </w: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12,063</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
        </w:trPr>
        <w:tc>
          <w:tcPr>
            <w:tcW w:w="3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533"/>
        </w:trPr>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11"/>
          </w:tcPr>
          <w:p>
            <w:pPr>
              <w:jc w:val="right"/>
              <w:ind w:right="80"/>
              <w:spacing w:after="0"/>
              <w:rPr>
                <w:sz w:val="20"/>
                <w:szCs w:val="20"/>
                <w:color w:val="auto"/>
              </w:rPr>
            </w:pPr>
            <w:r>
              <w:rPr>
                <w:rFonts w:ascii="Arial" w:cs="Arial" w:eastAsia="Arial" w:hAnsi="Arial"/>
                <w:sz w:val="18"/>
                <w:szCs w:val="18"/>
                <w:b w:val="1"/>
                <w:bCs w:val="1"/>
                <w:color w:val="auto"/>
                <w:w w:val="89"/>
              </w:rPr>
              <w:t>Six Months Ended June 30, 2023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3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3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Provision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4"/>
              </w:rPr>
              <w:t>Impact of ASU</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(Reversal)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Ending</w:t>
            </w:r>
          </w:p>
        </w:tc>
      </w:tr>
      <w:tr>
        <w:trPr>
          <w:trHeight w:val="234"/>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6"/>
              </w:rPr>
              <w:t>Balance</w:t>
            </w:r>
          </w:p>
        </w:tc>
        <w:tc>
          <w:tcPr>
            <w:tcW w:w="15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1"/>
              </w:rPr>
              <w:t>2016-13 adoption</w:t>
            </w:r>
          </w:p>
        </w:tc>
        <w:tc>
          <w:tcPr>
            <w:tcW w:w="20" w:type="dxa"/>
            <w:vAlign w:val="bottom"/>
          </w:tcPr>
          <w:p>
            <w:pPr>
              <w:spacing w:after="0"/>
              <w:rPr>
                <w:sz w:val="20"/>
                <w:szCs w:val="20"/>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Credit Losses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Charge-Offs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87"/>
              </w:rPr>
              <w:t>Recoveries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Balance</w:t>
            </w:r>
          </w:p>
        </w:tc>
      </w:tr>
      <w:tr>
        <w:trPr>
          <w:trHeight w:val="27"/>
        </w:trPr>
        <w:tc>
          <w:tcPr>
            <w:tcW w:w="3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and land development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7"/>
        </w:trPr>
        <w:tc>
          <w:tcPr>
            <w:tcW w:w="3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 multifamily</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3,167</w:t>
            </w:r>
          </w:p>
        </w:tc>
      </w:tr>
      <w:tr>
        <w:trPr>
          <w:trHeight w:val="27"/>
        </w:trPr>
        <w:tc>
          <w:tcPr>
            <w:tcW w:w="3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Consumer</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3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financing receivables</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Retained Strategic Program loans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7,256</w:t>
            </w:r>
          </w:p>
        </w:tc>
      </w:tr>
      <w:tr>
        <w:trPr>
          <w:trHeight w:val="27"/>
        </w:trPr>
        <w:tc>
          <w:tcPr>
            <w:tcW w:w="3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allowance for loan losses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8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12,321</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Unfunded lending commitments</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63"/>
        </w:trPr>
        <w:tc>
          <w:tcPr>
            <w:tcW w:w="3280" w:type="dxa"/>
            <w:vAlign w:val="bottom"/>
          </w:tcPr>
          <w:p>
            <w:pPr>
              <w:ind w:left="180"/>
              <w:spacing w:after="0"/>
              <w:rPr>
                <w:sz w:val="20"/>
                <w:szCs w:val="20"/>
                <w:color w:val="auto"/>
              </w:rPr>
            </w:pPr>
            <w:r>
              <w:rPr>
                <w:rFonts w:ascii="Arial" w:cs="Arial" w:eastAsia="Arial" w:hAnsi="Arial"/>
                <w:sz w:val="18"/>
                <w:szCs w:val="18"/>
                <w:color w:val="auto"/>
              </w:rPr>
              <w:t>Total allowance for credit losses</w:t>
            </w: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283</w:t>
            </w:r>
          </w:p>
        </w:tc>
        <w:tc>
          <w:tcPr>
            <w:tcW w:w="6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5,359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12,363</w:t>
            </w:r>
          </w:p>
        </w:tc>
      </w:tr>
      <w:tr>
        <w:trPr>
          <w:trHeight w:val="21"/>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loan losses by general ledger classification based on the incurred loss methodology was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6" w:right="39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0"/>
              </w:rPr>
              <w:t>Three Months Ended June 30, 2022</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Provision</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(Reversal) of</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Ending</w:t>
            </w:r>
          </w:p>
        </w:tc>
      </w:tr>
      <w:tr>
        <w:trPr>
          <w:trHeight w:val="234"/>
        </w:trPr>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Loan Losses</w:t>
            </w:r>
          </w:p>
        </w:tc>
        <w:tc>
          <w:tcPr>
            <w:tcW w:w="16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Charge-Offs</w:t>
            </w:r>
          </w:p>
        </w:tc>
        <w:tc>
          <w:tcPr>
            <w:tcW w:w="20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Recoveries</w:t>
            </w: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Balance</w:t>
            </w:r>
          </w:p>
        </w:tc>
      </w:tr>
      <w:tr>
        <w:trPr>
          <w:trHeight w:val="27"/>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Retained Strategic Program loans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6,442</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allowance for loan losses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2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0"/>
              </w:rPr>
              <w:t>Six Months Ended June 30, 2022</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4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Provision</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(Reversal) of</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Ending</w:t>
            </w:r>
          </w:p>
        </w:tc>
      </w:tr>
      <w:tr>
        <w:trPr>
          <w:trHeight w:val="234"/>
        </w:trPr>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Loan Losses</w:t>
            </w:r>
          </w:p>
        </w:tc>
        <w:tc>
          <w:tcPr>
            <w:tcW w:w="16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Charge-Offs</w:t>
            </w:r>
          </w:p>
        </w:tc>
        <w:tc>
          <w:tcPr>
            <w:tcW w:w="20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Recoveries</w:t>
            </w: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Balance</w:t>
            </w:r>
          </w:p>
        </w:tc>
      </w:tr>
      <w:tr>
        <w:trPr>
          <w:trHeight w:val="27"/>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Retained Strategic Program loans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6,442</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allowance for loan losses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1"/>
        </w:trPr>
        <w:tc>
          <w:tcPr>
            <w:tcW w:w="44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 presents the loan balances by portfolio class, based on impairment method, and the corresponding balances in the allowance as of December 31, 2022. For the year ended December 31, 2022, the allowance was calculated based on the incurred loss methodology.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6"/>
          </w:tcPr>
          <w:p>
            <w:pPr>
              <w:ind w:left="820"/>
              <w:spacing w:after="0"/>
              <w:rPr>
                <w:sz w:val="20"/>
                <w:szCs w:val="20"/>
                <w:color w:val="auto"/>
              </w:rPr>
            </w:pPr>
            <w:r>
              <w:rPr>
                <w:rFonts w:ascii="Arial" w:cs="Arial" w:eastAsia="Arial" w:hAnsi="Arial"/>
                <w:sz w:val="18"/>
                <w:szCs w:val="18"/>
                <w:b w:val="1"/>
                <w:bCs w:val="1"/>
                <w:color w:val="auto"/>
                <w:w w:val="91"/>
              </w:rPr>
              <w:t>Allowance for Loan Losses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Portfolio Loan Balances</w:t>
            </w: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Individually</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Collectively</w:t>
            </w:r>
          </w:p>
        </w:tc>
        <w:tc>
          <w:tcPr>
            <w:tcW w:w="30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Individually</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Collectively</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144,722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145,172</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14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11,484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11,484</w:t>
            </w: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37,815</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Retained Strategic Program loans</w:t>
            </w:r>
          </w:p>
        </w:tc>
        <w:tc>
          <w:tcPr>
            <w:tcW w:w="14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24,259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24,259</w:t>
            </w: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12,063</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5,808</w:t>
            </w:r>
          </w:p>
        </w:tc>
      </w:tr>
      <w:tr>
        <w:trPr>
          <w:trHeight w:val="27"/>
        </w:trPr>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236,151</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236,601</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under previously applicable GAAP, loans individually evaluated for impairment as of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Unpaid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Principal</w:t>
            </w:r>
          </w:p>
        </w:tc>
        <w:tc>
          <w:tcPr>
            <w:tcW w:w="2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Related</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Allowance</w:t>
            </w: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Recognized</w:t>
            </w:r>
          </w:p>
        </w:tc>
        <w:tc>
          <w:tcPr>
            <w:tcW w:w="0" w:type="dxa"/>
            <w:vAlign w:val="bottom"/>
          </w:tcPr>
          <w:p>
            <w:pPr>
              <w:spacing w:after="0"/>
              <w:rPr>
                <w:sz w:val="1"/>
                <w:szCs w:val="1"/>
                <w:color w:val="auto"/>
              </w:rPr>
            </w:pPr>
          </w:p>
        </w:tc>
      </w:tr>
      <w:tr>
        <w:trPr>
          <w:trHeight w:val="27"/>
        </w:trPr>
        <w:tc>
          <w:tcPr>
            <w:tcW w:w="3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20"/>
              <w:spacing w:after="0"/>
              <w:rPr>
                <w:sz w:val="20"/>
                <w:szCs w:val="20"/>
                <w:color w:val="auto"/>
              </w:rPr>
            </w:pPr>
            <w:r>
              <w:rPr>
                <w:rFonts w:ascii="Arial" w:cs="Arial" w:eastAsia="Arial" w:hAnsi="Arial"/>
                <w:sz w:val="18"/>
                <w:szCs w:val="18"/>
                <w:color w:val="auto"/>
              </w:rPr>
              <w:t>With no related allowance recorded</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Retained Strategic Program loans</w:t>
            </w: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Nonaccrual and past due loans are summarized below as of June 30,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June 30, 2023</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90+ Days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30-59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60-89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Past Due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Days</w:t>
            </w: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Days</w:t>
            </w: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rPr>
              <w:t>&amp;</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Due</w:t>
            </w: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Due</w:t>
            </w: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Still</w:t>
            </w:r>
          </w:p>
        </w:tc>
        <w:tc>
          <w:tcPr>
            <w:tcW w:w="24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Past</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Due</w:t>
            </w:r>
          </w:p>
        </w:tc>
        <w:tc>
          <w:tcPr>
            <w:tcW w:w="24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Due</w:t>
            </w:r>
          </w:p>
        </w:tc>
        <w:tc>
          <w:tcPr>
            <w:tcW w:w="16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Accruing</w:t>
            </w:r>
          </w:p>
        </w:tc>
        <w:tc>
          <w:tcPr>
            <w:tcW w:w="24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Due</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Accrual</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Construction and land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24,949</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29,357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 multifamily</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170,253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16,507</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financing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22,109</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w w:val="99"/>
              </w:rPr>
              <w:t>Retained Strategic Program loans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20,732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287,766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290,659</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90+ Days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30-59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60-89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Past Due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Days</w:t>
            </w: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Days</w:t>
            </w: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rPr>
              <w:t>&amp;</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Due</w:t>
            </w: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Due</w:t>
            </w:r>
          </w:p>
        </w:tc>
        <w:tc>
          <w:tcPr>
            <w:tcW w:w="16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Still</w:t>
            </w:r>
          </w:p>
        </w:tc>
        <w:tc>
          <w:tcPr>
            <w:tcW w:w="24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Past</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Due</w:t>
            </w:r>
          </w:p>
        </w:tc>
        <w:tc>
          <w:tcPr>
            <w:tcW w:w="24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Due</w:t>
            </w:r>
          </w:p>
        </w:tc>
        <w:tc>
          <w:tcPr>
            <w:tcW w:w="16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Accruing</w:t>
            </w:r>
          </w:p>
        </w:tc>
        <w:tc>
          <w:tcPr>
            <w:tcW w:w="24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Due</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Accrual</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145,172</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11,484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37,815</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w w:val="99"/>
              </w:rPr>
              <w:t>Retained Strategic Program loans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24,259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236,601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amount of interest income for the six months ended June 30, 2023 and 2022, that was not recorded on nonaccrual loans was </w:t>
      </w:r>
      <w:r>
        <w:rPr>
          <w:rFonts w:ascii="Arial" w:cs="Arial" w:eastAsia="Arial" w:hAnsi="Arial"/>
          <w:sz w:val="17"/>
          <w:szCs w:val="17"/>
          <w:i w:val="1"/>
          <w:iCs w:val="1"/>
          <w:color w:val="auto"/>
        </w:rPr>
        <w:t>de minimis</w:t>
      </w:r>
      <w:r>
        <w:rPr>
          <w:rFonts w:ascii="Arial" w:cs="Arial" w:eastAsia="Arial" w:hAnsi="Arial"/>
          <w:sz w:val="17"/>
          <w:szCs w:val="17"/>
          <w:color w:val="auto"/>
        </w:rPr>
        <w:t>.</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Pass </w:t>
      </w:r>
      <w:r>
        <w:rPr>
          <w:rFonts w:ascii="Arial" w:cs="Arial" w:eastAsia="Arial" w:hAnsi="Arial"/>
          <w:sz w:val="17"/>
          <w:szCs w:val="17"/>
          <w:color w:val="auto"/>
        </w:rPr>
        <w:t>– A Pass asset is higher quality and does not fit any of the other categories described below. The likelihood of loss is believed to be remote.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Watch </w:t>
      </w:r>
      <w:r>
        <w:rPr>
          <w:rFonts w:ascii="Arial" w:cs="Arial" w:eastAsia="Arial" w:hAnsi="Arial"/>
          <w:sz w:val="17"/>
          <w:szCs w:val="17"/>
          <w:color w:val="auto"/>
        </w:rPr>
        <w:t>– A Watch asset may be a larger loan or one that places a heavier reliance on collateral due to the relative financial strength of the borrower. The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may be maintenance intensive requiring closer monitoring. The obligor is believed to have an adequate primary source of repayment.</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 A Special Mention asset has potential weaknesses that may be temporary or, if left uncorrected, may result in a loss. While concerns</w:t>
      </w:r>
      <w:r>
        <w:rPr>
          <w:rFonts w:ascii="Arial" w:cs="Arial" w:eastAsia="Arial" w:hAnsi="Arial"/>
          <w:sz w:val="18"/>
          <w:szCs w:val="18"/>
          <w:i w:val="1"/>
          <w:iCs w:val="1"/>
          <w:color w:val="auto"/>
        </w:rPr>
        <w:t xml:space="preserve"> </w:t>
      </w:r>
      <w:r>
        <w:rPr>
          <w:rFonts w:ascii="Arial" w:cs="Arial" w:eastAsia="Arial" w:hAnsi="Arial"/>
          <w:sz w:val="18"/>
          <w:szCs w:val="18"/>
          <w:color w:val="auto"/>
        </w:rPr>
        <w:t>exist, the Company believes that it is currently protected against a default and loss is considered unlikely and not imminent.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Substandard </w:t>
      </w:r>
      <w:r>
        <w:rPr>
          <w:rFonts w:ascii="Arial" w:cs="Arial" w:eastAsia="Arial" w:hAnsi="Arial"/>
          <w:sz w:val="18"/>
          <w:szCs w:val="18"/>
          <w:color w:val="auto"/>
        </w:rPr>
        <w:t>– A Substandard asset is believed to be inadequately protected by the current sound worth and paying capacity of the obligor or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pledged, if any. Assets so classified have identified weaknesses and are characterized by the possibility that the Company may sustain some loss if deficiencies are not corrected.</w:t>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Not Rated </w:t>
      </w:r>
      <w:r>
        <w:rPr>
          <w:rFonts w:ascii="Arial" w:cs="Arial" w:eastAsia="Arial" w:hAnsi="Arial"/>
          <w:sz w:val="18"/>
          <w:szCs w:val="18"/>
          <w:color w:val="auto"/>
        </w:rPr>
        <w:t>– For certain Strategic Program and consumer loans, the Company does not evaluate and risk rate the loans in the same manner as other loans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portfolio. The Not Rated loans are typically homogenous, smaller dollar balances approved using abridged underwriting methods that allow the Company to streamline the loan approval process and increase efficiency</w:t>
      </w:r>
      <w:r>
        <w:rPr>
          <w:rFonts w:ascii="Arial" w:cs="Arial" w:eastAsia="Arial" w:hAnsi="Arial"/>
          <w:sz w:val="19"/>
          <w:szCs w:val="19"/>
          <w:color w:val="auto"/>
        </w:rPr>
        <w:t>.</w:t>
      </w:r>
      <w:r>
        <w:rPr>
          <w:rFonts w:ascii="Arial" w:cs="Arial" w:eastAsia="Arial" w:hAnsi="Arial"/>
          <w:sz w:val="18"/>
          <w:szCs w:val="18"/>
          <w:color w:val="auto"/>
        </w:rPr>
        <w:t xml:space="preserve"> Credit quality for Strategic Program loans is highly correlated with delinquency levels.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ending balances of the Company's loan and lease portfolio including non-performing loans by class of receivable and originating year and considering certain credit quality indicators as of the date indicated along with gross chargeoffs for the six months ended June 30,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Revolving</w:t>
            </w:r>
          </w:p>
        </w:tc>
        <w:tc>
          <w:tcPr>
            <w:tcW w:w="880" w:type="dxa"/>
            <w:vAlign w:val="bottom"/>
          </w:tcPr>
          <w:p>
            <w:pPr>
              <w:spacing w:after="0"/>
              <w:rPr>
                <w:sz w:val="18"/>
                <w:szCs w:val="18"/>
                <w:color w:val="auto"/>
              </w:rPr>
            </w:pPr>
          </w:p>
        </w:tc>
      </w:tr>
      <w:tr>
        <w:trPr>
          <w:trHeight w:val="234"/>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June 30, 2023</w:t>
            </w:r>
          </w:p>
        </w:tc>
        <w:tc>
          <w:tcPr>
            <w:tcW w:w="1080" w:type="dxa"/>
            <w:vAlign w:val="bottom"/>
          </w:tcPr>
          <w:p>
            <w:pPr>
              <w:jc w:val="right"/>
              <w:ind w:right="274"/>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Prior</w:t>
            </w:r>
          </w:p>
        </w:tc>
        <w:tc>
          <w:tcPr>
            <w:tcW w:w="120" w:type="dxa"/>
            <w:vAlign w:val="bottom"/>
          </w:tcPr>
          <w:p>
            <w:pPr>
              <w:spacing w:after="0"/>
              <w:rPr>
                <w:sz w:val="20"/>
                <w:szCs w:val="20"/>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Loans</w:t>
            </w: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Construction and land development</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Pass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$4,595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24,949</w:t>
            </w: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Watch</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Special Mention</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Substandard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24,949</w:t>
            </w: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Current period gross writeoff</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Residential real estate</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Pass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17,091</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Watch</w:t>
            </w:r>
          </w:p>
        </w:tc>
        <w:tc>
          <w:tcPr>
            <w:tcW w:w="108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12,136</w:t>
            </w: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Mention</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Substandard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29,357</w:t>
            </w: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Current period gross writeoff</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4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Residential real estate multifamily</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Pass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Watch</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Special Mention</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Substandard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6"/>
        </w:trPr>
        <w:tc>
          <w:tcPr>
            <w:tcW w:w="4120" w:type="dxa"/>
            <w:vAlign w:val="bottom"/>
          </w:tcPr>
          <w:p>
            <w:pPr>
              <w:ind w:left="180"/>
              <w:spacing w:after="0"/>
              <w:rPr>
                <w:sz w:val="20"/>
                <w:szCs w:val="20"/>
                <w:color w:val="auto"/>
              </w:rPr>
            </w:pPr>
            <w:r>
              <w:rPr>
                <w:rFonts w:ascii="Arial" w:cs="Arial" w:eastAsia="Arial" w:hAnsi="Arial"/>
                <w:sz w:val="18"/>
                <w:szCs w:val="18"/>
                <w:color w:val="auto"/>
              </w:rPr>
              <w:t>Current period gross writeoff</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Commercial real estate</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Pass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91,343</w:t>
            </w:r>
          </w:p>
        </w:tc>
      </w:tr>
      <w:tr>
        <w:trPr>
          <w:trHeight w:val="27"/>
        </w:trPr>
        <w:tc>
          <w:tcPr>
            <w:tcW w:w="4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ind w:left="320"/>
              <w:spacing w:after="0"/>
              <w:rPr>
                <w:sz w:val="20"/>
                <w:szCs w:val="20"/>
                <w:color w:val="auto"/>
              </w:rPr>
            </w:pPr>
            <w:r>
              <w:rPr>
                <w:rFonts w:ascii="Arial" w:cs="Arial" w:eastAsia="Arial" w:hAnsi="Arial"/>
                <w:sz w:val="18"/>
                <w:szCs w:val="18"/>
                <w:color w:val="auto"/>
              </w:rPr>
              <w:t>Watch</w:t>
            </w:r>
          </w:p>
        </w:tc>
        <w:tc>
          <w:tcPr>
            <w:tcW w:w="1100" w:type="dxa"/>
            <w:vAlign w:val="bottom"/>
          </w:tcPr>
          <w:p>
            <w:pPr>
              <w:jc w:val="right"/>
              <w:spacing w:after="0"/>
              <w:rPr>
                <w:sz w:val="20"/>
                <w:szCs w:val="20"/>
                <w:color w:val="auto"/>
              </w:rPr>
            </w:pPr>
            <w:r>
              <w:rPr>
                <w:rFonts w:ascii="Arial" w:cs="Arial" w:eastAsia="Arial" w:hAnsi="Arial"/>
                <w:sz w:val="18"/>
                <w:szCs w:val="18"/>
                <w:color w:val="auto"/>
              </w:rPr>
              <w:t>16,087</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34,310</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15,069</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12,260</w:t>
            </w:r>
          </w:p>
        </w:tc>
        <w:tc>
          <w:tcPr>
            <w:tcW w:w="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77,726</w:t>
            </w: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Special Mention</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Substandard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68,964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27,308</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170,253</w:t>
            </w: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Current period gross writeoff</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Commercial and industrial</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Pass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10,855</w:t>
            </w: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Watch</w:t>
            </w:r>
          </w:p>
        </w:tc>
        <w:tc>
          <w:tcPr>
            <w:tcW w:w="110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5,541</w:t>
            </w: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Special Mention</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Substandard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16,507</w:t>
            </w: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Current period gross writeoff</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Consumer</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Pass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6,118</w:t>
            </w: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Watch</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Special Mention</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Substandard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Not Rated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6,180</w:t>
            </w: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period gross writeoff</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4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Lease financing receivables</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Pass</w:t>
            </w:r>
          </w:p>
        </w:tc>
        <w:tc>
          <w:tcPr>
            <w:tcW w:w="1100" w:type="dxa"/>
            <w:vAlign w:val="bottom"/>
          </w:tcPr>
          <w:p>
            <w:pPr>
              <w:jc w:val="right"/>
              <w:spacing w:after="0"/>
              <w:rPr>
                <w:sz w:val="20"/>
                <w:szCs w:val="20"/>
                <w:color w:val="auto"/>
              </w:rPr>
            </w:pPr>
            <w:r>
              <w:rPr>
                <w:rFonts w:ascii="Arial" w:cs="Arial" w:eastAsia="Arial" w:hAnsi="Arial"/>
                <w:sz w:val="18"/>
                <w:szCs w:val="18"/>
                <w:color w:val="auto"/>
              </w:rPr>
              <w:t>14,178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7,616</w:t>
            </w:r>
          </w:p>
        </w:tc>
        <w:tc>
          <w:tcPr>
            <w:tcW w:w="1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22,109</w:t>
            </w: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Watch</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Special Mention</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7,616</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22,109</w:t>
            </w: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Current-period gross writeoffs</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1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Retained Strategic Program loans</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Pass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Watch</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Special Mention</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20"/>
              <w:spacing w:after="0"/>
              <w:rPr>
                <w:sz w:val="20"/>
                <w:szCs w:val="20"/>
                <w:color w:val="auto"/>
              </w:rPr>
            </w:pPr>
            <w:r>
              <w:rPr>
                <w:rFonts w:ascii="Arial" w:cs="Arial" w:eastAsia="Arial" w:hAnsi="Arial"/>
                <w:sz w:val="18"/>
                <w:szCs w:val="18"/>
                <w:color w:val="auto"/>
              </w:rPr>
              <w:t>Not Rated</w:t>
            </w:r>
          </w:p>
        </w:tc>
        <w:tc>
          <w:tcPr>
            <w:tcW w:w="1100" w:type="dxa"/>
            <w:vAlign w:val="bottom"/>
          </w:tcPr>
          <w:p>
            <w:pPr>
              <w:jc w:val="right"/>
              <w:spacing w:after="0"/>
              <w:rPr>
                <w:sz w:val="20"/>
                <w:szCs w:val="20"/>
                <w:color w:val="auto"/>
              </w:rPr>
            </w:pPr>
            <w:r>
              <w:rPr>
                <w:rFonts w:ascii="Arial" w:cs="Arial" w:eastAsia="Arial" w:hAnsi="Arial"/>
                <w:sz w:val="18"/>
                <w:szCs w:val="18"/>
                <w:color w:val="auto"/>
              </w:rPr>
              <w:t>11,136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20,732</w:t>
            </w: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r>
      <w:tr>
        <w:trPr>
          <w:trHeight w:val="236"/>
        </w:trPr>
        <w:tc>
          <w:tcPr>
            <w:tcW w:w="4120" w:type="dxa"/>
            <w:vAlign w:val="bottom"/>
          </w:tcPr>
          <w:p>
            <w:pPr>
              <w:ind w:left="180"/>
              <w:spacing w:after="0"/>
              <w:rPr>
                <w:sz w:val="20"/>
                <w:szCs w:val="20"/>
                <w:color w:val="auto"/>
              </w:rPr>
            </w:pPr>
            <w:r>
              <w:rPr>
                <w:rFonts w:ascii="Arial" w:cs="Arial" w:eastAsia="Arial" w:hAnsi="Arial"/>
                <w:sz w:val="18"/>
                <w:szCs w:val="18"/>
                <w:color w:val="auto"/>
              </w:rPr>
              <w:t>Current-period gross writeoffs</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(5,541)</w:t>
            </w:r>
          </w:p>
        </w:tc>
      </w:tr>
      <w:tr>
        <w:trPr>
          <w:trHeight w:val="27"/>
        </w:trPr>
        <w:tc>
          <w:tcPr>
            <w:tcW w:w="4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r>
      <w:tr>
        <w:trPr>
          <w:trHeight w:val="898"/>
        </w:trPr>
        <w:tc>
          <w:tcPr>
            <w:tcW w:w="4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6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1"/>
        </w:trPr>
        <w:tc>
          <w:tcPr>
            <w:tcW w:w="4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561340</wp:posOffset>
            </wp:positionV>
            <wp:extent cx="4534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Total portfolio loans receivable, gross</w:t>
            </w:r>
          </w:p>
        </w:tc>
        <w:tc>
          <w:tcPr>
            <w:tcW w:w="1100" w:type="dxa"/>
            <w:vAlign w:val="bottom"/>
          </w:tcPr>
          <w:p>
            <w:pPr>
              <w:jc w:val="right"/>
              <w:spacing w:after="0"/>
              <w:rPr>
                <w:sz w:val="20"/>
                <w:szCs w:val="20"/>
                <w:color w:val="auto"/>
              </w:rPr>
            </w:pPr>
            <w:r>
              <w:rPr>
                <w:rFonts w:ascii="Arial" w:cs="Arial" w:eastAsia="Arial" w:hAnsi="Arial"/>
                <w:sz w:val="18"/>
                <w:szCs w:val="18"/>
                <w:color w:val="auto"/>
              </w:rPr>
              <w:t>98,491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124,118</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28,728</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37,503</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290,659</w:t>
            </w:r>
          </w:p>
        </w:tc>
      </w:tr>
      <w:tr>
        <w:trPr>
          <w:trHeight w:val="27"/>
        </w:trPr>
        <w:tc>
          <w:tcPr>
            <w:tcW w:w="4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current-period gross writeoffs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ending balances of the Company's loan and lease portfolio including non-performing loans by class of receivable and considering certain credit quality indicators as of the date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2"/>
        </w:trPr>
        <w:tc>
          <w:tcPr>
            <w:tcW w:w="4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Special</w:t>
            </w:r>
          </w:p>
        </w:tc>
        <w:tc>
          <w:tcPr>
            <w:tcW w:w="16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Classified/</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6"/>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Pass</w:t>
            </w:r>
          </w:p>
        </w:tc>
        <w:tc>
          <w:tcPr>
            <w:tcW w:w="28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Mention</w:t>
            </w: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Doubtful/Loss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Grade 1-4</w:t>
            </w:r>
          </w:p>
        </w:tc>
        <w:tc>
          <w:tcPr>
            <w:tcW w:w="28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Grade 5</w:t>
            </w: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Grade 6-8</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145,172</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11,484</w:t>
            </w: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37,815</w:t>
            </w: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12,063</w:t>
            </w: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Not Risk Graded</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Strategic Program loans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24,259</w:t>
            </w:r>
          </w:p>
        </w:tc>
      </w:tr>
      <w:tr>
        <w:trPr>
          <w:trHeight w:val="264"/>
        </w:trPr>
        <w:tc>
          <w:tcPr>
            <w:tcW w:w="49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211,319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236,601</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2023 loan modifications to borrowers experiencing financial difficulty are required to be disclosed by type of modification and by type of loan. Prior accounting guidance classified loans which were modified as troubled debt restructurings ("TDRs") only if the modification reflected a concession from the lender in the form of a below market interest rate or other concession in addition to borrower financial difficulty. Under the new guidance (ASU 2022-02), loans with modifications made after January 1, 2023, will be reported under the new loan modification guidance whether a concession is made or not. As of January 1, 2023, the Company has ceased to recognize or measure new TDRs but those existing at December 31, 2022 will remain until settled.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2023 there were no material loan modifications reportable under the new guidance.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color w:val="auto"/>
                <w:w w:val="95"/>
              </w:rPr>
              <w:t>Loans modified and recorded as TDR’s at December 31, 2022, consist of the following:</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27"/>
        </w:trPr>
        <w:tc>
          <w:tcPr>
            <w:tcW w:w="6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Pre-</w:t>
            </w:r>
          </w:p>
        </w:tc>
        <w:tc>
          <w:tcPr>
            <w:tcW w:w="18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Post-</w:t>
            </w:r>
          </w:p>
        </w:tc>
      </w:tr>
      <w:tr>
        <w:trPr>
          <w:trHeight w:val="216"/>
        </w:trPr>
        <w:tc>
          <w:tcPr>
            <w:tcW w:w="6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Modification</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Modification</w:t>
            </w:r>
          </w:p>
        </w:tc>
      </w:tr>
      <w:tr>
        <w:trPr>
          <w:trHeight w:val="216"/>
        </w:trPr>
        <w:tc>
          <w:tcPr>
            <w:tcW w:w="6600" w:type="dxa"/>
            <w:vAlign w:val="bottom"/>
          </w:tcPr>
          <w:p>
            <w:pPr>
              <w:spacing w:after="0"/>
              <w:rPr>
                <w:sz w:val="18"/>
                <w:szCs w:val="18"/>
                <w:color w:val="auto"/>
              </w:rPr>
            </w:pPr>
          </w:p>
        </w:tc>
        <w:tc>
          <w:tcPr>
            <w:tcW w:w="124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6600" w:type="dxa"/>
            <w:vAlign w:val="bottom"/>
          </w:tcPr>
          <w:p>
            <w:pPr>
              <w:spacing w:after="0"/>
              <w:rPr>
                <w:sz w:val="18"/>
                <w:szCs w:val="18"/>
                <w:color w:val="auto"/>
              </w:rPr>
            </w:pPr>
          </w:p>
        </w:tc>
        <w:tc>
          <w:tcPr>
            <w:tcW w:w="124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Recorded</w:t>
            </w:r>
          </w:p>
        </w:tc>
        <w:tc>
          <w:tcPr>
            <w:tcW w:w="18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Recorded</w:t>
            </w:r>
          </w:p>
        </w:tc>
      </w:tr>
      <w:tr>
        <w:trPr>
          <w:trHeight w:val="234"/>
        </w:trPr>
        <w:tc>
          <w:tcPr>
            <w:tcW w:w="66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24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Contracts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Investment</w:t>
            </w:r>
          </w:p>
        </w:tc>
      </w:tr>
      <w:tr>
        <w:trPr>
          <w:trHeight w:val="27"/>
        </w:trPr>
        <w:tc>
          <w:tcPr>
            <w:tcW w:w="66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180"/>
              <w:spacing w:after="0"/>
              <w:rPr>
                <w:sz w:val="20"/>
                <w:szCs w:val="20"/>
                <w:color w:val="auto"/>
              </w:rPr>
            </w:pPr>
            <w:r>
              <w:rPr>
                <w:rFonts w:ascii="Arial" w:cs="Arial" w:eastAsia="Arial" w:hAnsi="Arial"/>
                <w:sz w:val="18"/>
                <w:szCs w:val="18"/>
                <w:color w:val="auto"/>
              </w:rPr>
              <w:t>SBA</w:t>
            </w:r>
          </w:p>
        </w:tc>
        <w:tc>
          <w:tcPr>
            <w:tcW w:w="12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66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at December 31, 2022</w:t>
            </w: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66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2022, there were no commitments to lend additional funds to debtors whose loan terms have been modified in a TDR. There was one principal charge-off recorded related to TDRs during the six months ended June 30, 2022 for $0.01 million. There was no principal charge-off recorded related to TDRs during the three months ended June 30, 2022.</w:t>
      </w:r>
    </w:p>
    <w:p>
      <w:pPr>
        <w:spacing w:after="0" w:line="14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three and six months ended June 30, 2022, there were no loan modifications to TDRs. Separately, one restructured loan incurred a default within 12 months of the restructure date during the six months ended June 30, 2022. This same loan was paid in full with interest on June 2,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Collateral-Dependent Financial Loans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collateral-dependent financial loan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amortized cost basis of collateral-dependent loans by class of loans as of the dates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ind w:left="620"/>
              <w:spacing w:after="0"/>
              <w:rPr>
                <w:sz w:val="20"/>
                <w:szCs w:val="20"/>
                <w:color w:val="auto"/>
              </w:rPr>
            </w:pPr>
            <w:r>
              <w:rPr>
                <w:rFonts w:ascii="Arial" w:cs="Arial" w:eastAsia="Arial" w:hAnsi="Arial"/>
                <w:sz w:val="18"/>
                <w:szCs w:val="18"/>
                <w:b w:val="1"/>
                <w:bCs w:val="1"/>
                <w:color w:val="auto"/>
                <w:w w:val="91"/>
              </w:rPr>
              <w:t>Collateral Type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As of June 30, 2023</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Real Estate</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Personal Property</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spacing w:after="0"/>
              <w:rPr>
                <w:sz w:val="20"/>
                <w:szCs w:val="20"/>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5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60" w:type="dxa"/>
            <w:vAlign w:val="bottom"/>
            <w:shd w:val="clear" w:color="auto" w:fill="CCEEFF"/>
          </w:tcPr>
          <w:p>
            <w:pPr>
              <w:spacing w:after="0"/>
              <w:rPr>
                <w:sz w:val="24"/>
                <w:szCs w:val="24"/>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ind w:left="620"/>
              <w:spacing w:after="0"/>
              <w:rPr>
                <w:sz w:val="20"/>
                <w:szCs w:val="20"/>
                <w:color w:val="auto"/>
              </w:rPr>
            </w:pPr>
            <w:r>
              <w:rPr>
                <w:rFonts w:ascii="Arial" w:cs="Arial" w:eastAsia="Arial" w:hAnsi="Arial"/>
                <w:sz w:val="18"/>
                <w:szCs w:val="18"/>
                <w:b w:val="1"/>
                <w:bCs w:val="1"/>
                <w:color w:val="auto"/>
                <w:w w:val="91"/>
              </w:rPr>
              <w:t>Collateral Type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960" w:type="dxa"/>
            <w:vAlign w:val="bottom"/>
          </w:tcPr>
          <w:p>
            <w:pPr>
              <w:ind w:left="20"/>
              <w:spacing w:after="0"/>
              <w:rPr>
                <w:sz w:val="20"/>
                <w:szCs w:val="20"/>
                <w:color w:val="auto"/>
              </w:rPr>
            </w:pPr>
            <w:r>
              <w:rPr>
                <w:rFonts w:ascii="Arial" w:cs="Arial" w:eastAsia="Arial" w:hAnsi="Arial"/>
                <w:sz w:val="18"/>
                <w:szCs w:val="18"/>
                <w:b w:val="1"/>
                <w:bCs w:val="1"/>
                <w:color w:val="auto"/>
                <w:w w:val="94"/>
              </w:rPr>
              <w:t>Real Estate</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Personal Property</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spacing w:after="0"/>
              <w:rPr>
                <w:sz w:val="20"/>
                <w:szCs w:val="20"/>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356</w:t>
            </w:r>
          </w:p>
        </w:tc>
        <w:tc>
          <w:tcPr>
            <w:tcW w:w="160" w:type="dxa"/>
            <w:vAlign w:val="bottom"/>
            <w:shd w:val="clear" w:color="auto" w:fill="CCEEFF"/>
          </w:tcPr>
          <w:p>
            <w:pPr>
              <w:spacing w:after="0"/>
              <w:rPr>
                <w:sz w:val="24"/>
                <w:szCs w:val="24"/>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 Liabilities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includes commercial operating leases with an original cost of $7.1 million and $2.8 million within premises and equipment, net as of June 30, 2023 and December 31, 2022, respectively. Net book value of the operating leases as of June 30, 2023 and December 31, 2022 was $6.7 million and $2.7 million. Rental income from operating leases for the three months ended June 30, 2023 was $0.2 million and for the three months ended June 30, 2022 was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Rental income from operating leases for the six months ended June 30, 2023 was $0.3 million and for the six months ended June 30, 2022 was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Depreciation expense for the related premises and equipment was $0.5 million and $0.1 million for the three months ended June 30, 2023 and 2022, respectively. Depreciation expense for the related premises and equipment was $0.9 million and $0.2 million for the six months ended June 30, 2023 and 2022, respectively.</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its facilities under noncancelable operating leases. Rent expense for the three months ended June 30, 2023 and 2022 was $0.2 million and $0.3 million, respectively. Rent expense for the six months ended June 30, 2023 and 2022 was $0.5 million and $0.6 million, respectively. Future minimum annual undiscounted rental payments for these operating leases are as follows ($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December 31, 2023</w:t>
            </w:r>
          </w:p>
        </w:tc>
        <w:tc>
          <w:tcPr>
            <w:tcW w:w="6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5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2025</w:t>
            </w:r>
          </w:p>
        </w:tc>
        <w:tc>
          <w:tcPr>
            <w:tcW w:w="5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Year Ended December 31, 2026</w:t>
            </w:r>
          </w:p>
        </w:tc>
        <w:tc>
          <w:tcPr>
            <w:tcW w:w="5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2027</w:t>
            </w:r>
          </w:p>
        </w:tc>
        <w:tc>
          <w:tcPr>
            <w:tcW w:w="5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5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5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6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Arial" w:cs="Arial" w:eastAsia="Arial" w:hAnsi="Arial"/>
                <w:sz w:val="18"/>
                <w:szCs w:val="18"/>
                <w:color w:val="auto"/>
              </w:rPr>
              <w:t>26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55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entered into one lease during the six months ended June 30, 2022 to provide additional space while the Murray office construction was completed. ASC 842 does not apply due to the short-term period of this lease and immateriality. The tables below present information regarding the Company’s lease assets and liabilities.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gridSpan w:val="6"/>
          </w:tcPr>
          <w:p>
            <w:pPr>
              <w:ind w:left="340"/>
              <w:spacing w:after="0"/>
              <w:rPr>
                <w:sz w:val="20"/>
                <w:szCs w:val="20"/>
                <w:color w:val="auto"/>
              </w:rPr>
            </w:pPr>
            <w:r>
              <w:rPr>
                <w:rFonts w:ascii="Arial" w:cs="Arial" w:eastAsia="Arial" w:hAnsi="Arial"/>
                <w:sz w:val="18"/>
                <w:szCs w:val="18"/>
                <w:b w:val="1"/>
                <w:bCs w:val="1"/>
                <w:color w:val="auto"/>
              </w:rPr>
              <w:t>Six Months Ended</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87"/>
              </w:rPr>
              <w:t>June 30, 2023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Weighted-average remaining lease term – operating leases (in years)</w:t>
            </w: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1.9 %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6160" w:type="dxa"/>
            <w:vAlign w:val="bottom"/>
            <w:gridSpan w:val="3"/>
          </w:tcPr>
          <w:p>
            <w:pPr>
              <w:spacing w:after="0"/>
              <w:rPr>
                <w:sz w:val="20"/>
                <w:szCs w:val="20"/>
                <w:color w:val="auto"/>
              </w:rPr>
            </w:pPr>
            <w:r>
              <w:rPr>
                <w:rFonts w:ascii="Arial" w:cs="Arial" w:eastAsia="Arial" w:hAnsi="Arial"/>
                <w:sz w:val="18"/>
                <w:szCs w:val="18"/>
                <w:color w:val="auto"/>
                <w:w w:val="91"/>
              </w:rPr>
              <w:t>Supplemental cash flow information related to leases were as follows (in thousands):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rPr>
              <w:t>For the Three Months Ended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6"/>
          </w:tcPr>
          <w:p>
            <w:pPr>
              <w:jc w:val="center"/>
              <w:ind w:left="390"/>
              <w:spacing w:after="0"/>
              <w:rPr>
                <w:sz w:val="20"/>
                <w:szCs w:val="20"/>
                <w:color w:val="auto"/>
              </w:rPr>
            </w:pPr>
            <w:r>
              <w:rPr>
                <w:rFonts w:ascii="Arial" w:cs="Arial" w:eastAsia="Arial" w:hAnsi="Arial"/>
                <w:sz w:val="18"/>
                <w:szCs w:val="18"/>
                <w:b w:val="1"/>
                <w:bCs w:val="1"/>
                <w:color w:val="auto"/>
                <w:w w:val="90"/>
              </w:rPr>
              <w:t>For the Six Months Ended</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gridSpan w:val="6"/>
          </w:tcPr>
          <w:p>
            <w:pPr>
              <w:ind w:left="100"/>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4"/>
          </w:tcPr>
          <w:p>
            <w:pPr>
              <w:jc w:val="center"/>
              <w:ind w:right="61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ind w:left="560"/>
              <w:spacing w:after="0"/>
              <w:rPr>
                <w:sz w:val="20"/>
                <w:szCs w:val="20"/>
                <w:color w:val="auto"/>
              </w:rPr>
            </w:pPr>
            <w:r>
              <w:rPr>
                <w:rFonts w:ascii="Arial" w:cs="Arial" w:eastAsia="Arial" w:hAnsi="Arial"/>
                <w:sz w:val="18"/>
                <w:szCs w:val="18"/>
                <w:b w:val="1"/>
                <w:bCs w:val="1"/>
                <w:color w:val="auto"/>
                <w:w w:val="99"/>
              </w:rPr>
              <w:t>2022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 in thousands)</w:t>
            </w: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10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7,380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5060" w:type="dxa"/>
            <w:vAlign w:val="bottom"/>
          </w:tcPr>
          <w:p>
            <w:pPr>
              <w:spacing w:after="0"/>
              <w:rPr>
                <w:sz w:val="20"/>
                <w:szCs w:val="20"/>
                <w:color w:val="auto"/>
              </w:rPr>
            </w:pPr>
            <w:r>
              <w:rPr>
                <w:rFonts w:ascii="Arial" w:cs="Arial" w:eastAsia="Arial" w:hAnsi="Arial"/>
                <w:sz w:val="18"/>
                <w:szCs w:val="18"/>
                <w:color w:val="auto"/>
                <w:w w:val="95"/>
              </w:rPr>
              <w:t>The components of lease expense were as follows (in thousands):</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7"/>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6"/>
          </w:tcPr>
          <w:p>
            <w:pPr>
              <w:jc w:val="center"/>
              <w:ind w:left="410"/>
              <w:spacing w:after="0"/>
              <w:rPr>
                <w:sz w:val="20"/>
                <w:szCs w:val="20"/>
                <w:color w:val="auto"/>
              </w:rPr>
            </w:pPr>
            <w:r>
              <w:rPr>
                <w:rFonts w:ascii="Arial" w:cs="Arial" w:eastAsia="Arial" w:hAnsi="Arial"/>
                <w:sz w:val="18"/>
                <w:szCs w:val="18"/>
                <w:b w:val="1"/>
                <w:bCs w:val="1"/>
                <w:color w:val="auto"/>
                <w:w w:val="91"/>
              </w:rPr>
              <w:t>For the Six Months Ended</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gridSpan w:val="6"/>
          </w:tcPr>
          <w:p>
            <w:pPr>
              <w:ind w:left="100"/>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4"/>
          </w:tcPr>
          <w:p>
            <w:pPr>
              <w:jc w:val="center"/>
              <w:ind w:right="61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11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ind w:left="560"/>
              <w:spacing w:after="0"/>
              <w:rPr>
                <w:sz w:val="20"/>
                <w:szCs w:val="20"/>
                <w:color w:val="auto"/>
              </w:rPr>
            </w:pPr>
            <w:r>
              <w:rPr>
                <w:rFonts w:ascii="Arial" w:cs="Arial" w:eastAsia="Arial" w:hAnsi="Arial"/>
                <w:sz w:val="18"/>
                <w:szCs w:val="18"/>
                <w:b w:val="1"/>
                <w:bCs w:val="1"/>
                <w:color w:val="auto"/>
                <w:w w:val="99"/>
              </w:rPr>
              <w:t>2022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1100" w:type="dxa"/>
            <w:vAlign w:val="bottom"/>
            <w:tcBorders>
              <w:bottom w:val="single" w:sz="8" w:color="CCEEFF"/>
            </w:tcBorders>
            <w:gridSpan w:val="2"/>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278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Short-term lease rent expense</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rent expense</w:t>
            </w:r>
          </w:p>
        </w:tc>
        <w:tc>
          <w:tcPr>
            <w:tcW w:w="11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310</w:t>
            </w:r>
          </w:p>
        </w:tc>
        <w:tc>
          <w:tcPr>
            <w:tcW w:w="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SBA Servicing Asset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sells portions of SBA loans and retains rights to service the loans. Loans serviced for others are not included in the accompanying balance sheet. The unpaid principal balances of SBA loans serviced for others was $302.0 million and $318.6 million at June 30, 2023 and December 31, 2022,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SBA servicing asset activity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320" w:type="dxa"/>
            <w:vAlign w:val="bottom"/>
          </w:tcPr>
          <w:p>
            <w:pPr>
              <w:spacing w:after="0"/>
              <w:rPr>
                <w:sz w:val="18"/>
                <w:szCs w:val="18"/>
                <w:color w:val="auto"/>
              </w:rPr>
            </w:pPr>
          </w:p>
        </w:tc>
        <w:tc>
          <w:tcPr>
            <w:tcW w:w="27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34"/>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Additions to servicing asset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2,243</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Recovery of SBA servicing asset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Amortization of servicing asset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market value of the SBA servicing asset as of June 30, 2023 and December 31, 2022, was $5.2 million and $5.2 million, respectively. Recovery or impairment adjustments to servicing rights are mainly due to market-based assumptions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assumed a weighted average prepayment rate of 15.68%, weighted average term of 4.24 years, and a weighted average discount rate of 14.33% at June 30, 2023.</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assumed a weighted average prepayment rate of 14.24%, weighted average term of 4.45 years, and a weighted average discount rate of 18.79% at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Capital Requirements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June 30, 2023 and December 31, 2022, that the Bank meets all capital adequacy requirements to which it is subject.</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and December 31, 2022,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ratio and amount of capital required to be categorized as well-capitalized and adequately capitalized as of the dates indicated.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Bank’s actual capital amounts and ratios are presented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2"/>
              </w:rPr>
              <w:t>Well-Capitalized</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ind w:left="1060"/>
              <w:spacing w:after="0"/>
              <w:rPr>
                <w:sz w:val="20"/>
                <w:szCs w:val="20"/>
                <w:color w:val="auto"/>
              </w:rPr>
            </w:pPr>
            <w:r>
              <w:rPr>
                <w:rFonts w:ascii="Arial" w:cs="Arial" w:eastAsia="Arial" w:hAnsi="Arial"/>
                <w:sz w:val="18"/>
                <w:szCs w:val="18"/>
                <w:b w:val="1"/>
                <w:bCs w:val="1"/>
                <w:color w:val="auto"/>
              </w:rPr>
              <w:t>Actual</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Requirement</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20"/>
                <w:szCs w:val="20"/>
                <w:color w:val="auto"/>
              </w:rPr>
            </w:pPr>
          </w:p>
        </w:tc>
        <w:tc>
          <w:tcPr>
            <w:tcW w:w="1720" w:type="dxa"/>
            <w:vAlign w:val="bottom"/>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20"/>
                <w:szCs w:val="20"/>
                <w:color w:val="auto"/>
              </w:rPr>
            </w:pPr>
          </w:p>
        </w:tc>
        <w:tc>
          <w:tcPr>
            <w:tcW w:w="194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Ratio</w:t>
            </w:r>
          </w:p>
        </w:tc>
        <w:tc>
          <w:tcPr>
            <w:tcW w:w="0" w:type="dxa"/>
            <w:vAlign w:val="bottom"/>
          </w:tcPr>
          <w:p>
            <w:pPr>
              <w:spacing w:after="0"/>
              <w:rPr>
                <w:sz w:val="1"/>
                <w:szCs w:val="1"/>
                <w:color w:val="auto"/>
              </w:rPr>
            </w:pPr>
          </w:p>
        </w:tc>
      </w:tr>
      <w:tr>
        <w:trPr>
          <w:trHeight w:val="27"/>
        </w:trPr>
        <w:tc>
          <w:tcPr>
            <w:tcW w:w="4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June 30, 2023</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Leverage ratio (CBLR election)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41,718</w:t>
            </w: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Leverage ratio (CBLR election)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32,898</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4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Federal Reserve Board Regulations require maintenance of certain minimum reserve balances based on certain average deposits. The Bank had no reserve requirements as of June 30, 2023 and December 31, 2022.</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since FinWise Bancorp is a legal entity separate and distinct from the Bank and does not conduct stand-alone operations, an ability to pay dividends depends on the ability of the Bank to pay dividends to FinWise Bancorp and the FDIC and the Utah Department of Financial Institutions (“UDFI”) may, under certain circumstances, prohibit the payment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of dividends to FinWise Bancorp from the Bank. Utah corporate law also requires that dividends can only be paid out of funds legally available.</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minimum capital ratios are met. The Company plans to maintain capital ratios that meet the well-capitalized standards per the regulations and, therefore, would limit dividends to amounts that are appropriate to maintain those well-capitalized regulatory capital ratios.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Contingent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Home Loan Bank Secured Line of Credit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and December 31, 2022, the Bank’s available line of credit with the FHLB to borrow in overnight funds was $2.5 million and $2.6 million, respectively. All borrowings are short-term and the interest rate is equal to the correspondent bank’s daily federal funds purchase rate. As of June 30, 2023 and December 31, 2022, no amounts were outstanding under the line of credit. Loans totaling $3.8 million and $4.0 million were pledged to secure the FHLB line of credit as of June 30, 2023 and December 31, 2022, respectively.</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June 30, 2023, the Bank pledged additional loans to the FHLB of $46.9 million resulting in an increase to the available line of credit of $30.9 million. No funds had been advanced utilizing the line increase during the period beginning July 1, 2023 through the date of this report.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June 30, 2023 and December 31, 2022, the Bank had the ability to access $10.4 million and $10.6 million from the Federal Reserve Bank’s Discount Window on a collateralized basis. At June 30, 2023, the Bank had the ability to access $0.8 million from the Federal Reserve Bank’s Bank Term Funding Program on a collateralized basis. Through Zions Bank, the Bank had an available unsecured line available of $1.0 million at December 31, 2022. The Bank had an available line of credit with Bankers’ Bank of the West to borrow up to $1.05 million in overnight funds at June 30, 2023 and December 31, 2022. The Bank had no outstanding balances on such unsecured or secured lines of credit as of June 30, 2023 and December 31, 2022.</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2023, Zions Bank notified the Bank that due to the banking industry disruptions, Zions Bank was limiting its Fed Funds line advances to secured arrangements and would continue to do so for the foreseeable future, thereby eliminating the unsecured line the Bank had previously maintained with Zions Bank. In August 2023, the Bank was notified that Zions Bank was reinstating the unsecured Fed Funds line advance and increasing the Bank's borrowing capacity to $5.0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Liquidity Facility</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20, 2020, the Bank was approved by the Federal Reserve to access its SBA Paycheck Protection Program Liquidity Facility (“PPPLF”) through the discount window. The PPPLF enables the Company to fund Paycheck Protection Program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$0.3 million of PPP loans as eligible collateral under the PPPLF borrowing arrangement at June 30, 2023. The Bank pledged $0.3 million of PPP loans as eligible collateral under the PPPLF borrowing arrangement at December 31, 2022. The average outstanding borrowings were $0.3 million during the six months ended June 30, 2023 and $0.8 million during the six months ended June 30,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to Extend Credit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w w:val="95"/>
              </w:rPr>
              <w:t>At June 30, 2023 and December 31, 2022, financial instruments with off-balance-sheet risk were as follows: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45"/>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open-end lines of credit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17,886</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unused commitments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7"/>
        </w:trPr>
        <w:tc>
          <w:tcPr>
            <w:tcW w:w="81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19,822</w:t>
            </w:r>
          </w:p>
        </w:tc>
      </w:tr>
      <w:tr>
        <w:trPr>
          <w:trHeight w:val="27"/>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Unfunded Commitments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$41.5 thousand as of June 30,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Investment in Business Funding Group, LLC</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31, 2019, the Company purchased from certain members of BFG a 10% membership interest in exchange for an aggregate of 950,784 shares of par value $0.001 Common Stock of the Company. The exchange was accounted for at fair value based on the fair value of the Company’s shares of approximately $3.5 million.</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10% membership interests of BFG are comprised of Class A Voting Units representing 4.96% of the aggregate membership interests of BFG and Class B Non-Voting Units representing 5.04% of the aggregate membership interests of BFG. The other existing members of BFG jointly own the remaining 90% of the outstanding membership 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$0.3 million and $0.1 million for the six months ended June 30, 2023 and 2022, respectively. These distributions were recorded in the Consolidated Balance Sheets as decreases in the investment in BFG.</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31, 2020, the Company entered into an agreement with BFG whereby the Company has the right of first refusal to purchase additional interests in BFG from any selling members. Additionally, the Company was granted an option to purchase all, but not less than all, of the interests in BFG from the remaining members for an earnings multiple between 10 times and 15 times net profit based on the fiscal year ended immediately prior to the exercise of the option. The option period begins on January 1, 2021 and expires on January 1, 2028. In consideration of granting the first right of refusal and the option, BFG members received 270,000 warrants in the aggregate.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is not publicly traded. The resulting fair value of the warrants was $0.19 per share.</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Subsequent to June 30, 2023, the Company entered into a Membership Purchase Agreement (the "Purchase Agreement") with BFG and four members of BFG ("Sellers") dated as of July 25, 2023. Pursuant to the Purchase Agreement, the Company will acquire an additional 10% voting ownership interest in BFG (the "Transaction"). As a part of the Transaction, the Company’s existing 5.1% non-voting ownership interest in BFG will be converted to a voting ownership interest and, when combined with the Company’s existing 4.9% voting ownership interest and the 10% voting ownership interest in BFG to be acquired in the Transaction, the Company will have a 20% voting ownership interest in BFG.</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closing of the Transaction (the "Closing"), the Company will issue in the aggregate 372,132 shares of Common Stock of the Company, par value $0.001 per share, in a private placement to the Sellers in exchange for their 10% aggregate ownership interest in BFG, provided that the average of the last sales prices of the Company's Common Stock on</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Nasdaq National Market for the 10 consecutive trading days preceding the Closing date (the "Average FinWise Share Price") is less than $12.63 per share and greater than $6.00 per share.</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Purchase Agreement contains representations and warranties, covenants and indemnification provisions which the Company believes are customary for a transaction of this nature. If on the Closing date, the Average FinWise Share Price is more than $12.63 per share, the Company may terminate the Purchase Agreement. If on the Closing date, the Average FinWise Share Price is less than $6.00 per share, BFG may terminate the Purchase Agreement. Closing is subject to certain conditions, including the receipt of any required regulatory approval. Either of the Company or the Sellers may terminate the Purchase Agreement if any condition to the other parties’ obligations has not been satisfied by September 30, 2023.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the Company’s investment in BFG, see Note 13 Related Parties.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2019 Stock Option Plan (“2019 Plan”) was adopted on June 20, 2019 following approval by the Company’s Board of Directors and shareholders. The 2019 Plan provides for the issuance of non-statutory stock options and restricted stock to employees, directors and consultants. The 2019 Plan also provides for the issuance of incentive stock options only to employees.</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2019 Plan will terminate as to future awards 10 years from the later of the effective date or the earlier of the most recent Board or stockholder approval of an increase in the number of shares reserved for issuance under the 2019 Plan. At June 30, 2023, 335,353 shares are available for future issuance.</w:t>
      </w:r>
    </w:p>
    <w:p>
      <w:pPr>
        <w:spacing w:after="0" w:line="8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2016 Stock Option Plan (“2016 Plan”) was adopted on April 20, 2017 following approval by the Company’s Board of Directors and shareholders. The 2016 Plan provides for the issuance of non-statutory stock options and restricted stock to employees, directors and consultants. The 2016 Plan also provides for the issuance of incentive stock options only to employees.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June 30, 2023, 1,550 shares under 2016 Plan are available for future issuance.</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stock-based incentive awards for both the 2019 Plan and the 2016 Plan (collectively, the “Plans”) are granted at an exercise price not less than the fair market value of the shares on the date of grant, which is based on a Black-Scholes valuation model, in the case of options, or based on the fair value of the stock at the grant date, in the case of restricted stock. Vesting of the options vary by employee or director and can have a term no more than 10 years, with the options generally having vesting periods ranging from 1 to 5 years. No shares had been granted under the 2016 Plan prior to 2018.</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both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is determined using the Black-Scholes option valuation model.</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assumptions for expected life reflected management’s judgment and include consideration of historical experience. Expected volatility is based on data from comparable public companies for the expected option term. The risk-free interest rate is based on the U.S. Treasury yield curve in effect at the time of grant for periods corresponding with the expected life of the option. Expected forfeitures are estimated based on the Company’s historical forfeiture experience. Management believes that the assumptions used in the option-pricing model are highly subjective and represent only one estimate of possible value, as there is no active market for the options granted. The table below summarizes the assumptions used for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options granted during the six months ended June 30, 2023. No options were granted during the first three months of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For the Six Months</w:t>
            </w:r>
          </w:p>
        </w:tc>
        <w:tc>
          <w:tcPr>
            <w:tcW w:w="4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Ended</w:t>
            </w:r>
          </w:p>
        </w:tc>
        <w:tc>
          <w:tcPr>
            <w:tcW w:w="40" w:type="dxa"/>
            <w:vAlign w:val="bottom"/>
          </w:tcPr>
          <w:p>
            <w:pPr>
              <w:spacing w:after="0"/>
              <w:rPr>
                <w:sz w:val="18"/>
                <w:szCs w:val="18"/>
                <w:color w:val="auto"/>
              </w:rPr>
            </w:pPr>
          </w:p>
        </w:tc>
      </w:tr>
      <w:tr>
        <w:trPr>
          <w:trHeight w:val="234"/>
        </w:trPr>
        <w:tc>
          <w:tcPr>
            <w:tcW w:w="5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47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2023</w:t>
            </w:r>
          </w:p>
        </w:tc>
        <w:tc>
          <w:tcPr>
            <w:tcW w:w="40" w:type="dxa"/>
            <w:vAlign w:val="bottom"/>
          </w:tcPr>
          <w:p>
            <w:pPr>
              <w:spacing w:after="0"/>
              <w:rPr>
                <w:sz w:val="20"/>
                <w:szCs w:val="20"/>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- 4.0%</w:t>
            </w:r>
          </w:p>
        </w:tc>
        <w:tc>
          <w:tcPr>
            <w:tcW w:w="40" w:type="dxa"/>
            <w:vAlign w:val="bottom"/>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 – 7.5</w:t>
            </w:r>
          </w:p>
        </w:tc>
        <w:tc>
          <w:tcPr>
            <w:tcW w:w="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 – 44.9%</w:t>
            </w:r>
          </w:p>
        </w:tc>
        <w:tc>
          <w:tcPr>
            <w:tcW w:w="40" w:type="dxa"/>
            <w:vAlign w:val="bottom"/>
          </w:tcPr>
          <w:p>
            <w:pPr>
              <w:spacing w:after="0"/>
              <w:rPr>
                <w:sz w:val="21"/>
                <w:szCs w:val="2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513"/>
        </w:trPr>
        <w:tc>
          <w:tcPr>
            <w:tcW w:w="8180" w:type="dxa"/>
            <w:vAlign w:val="bottom"/>
            <w:gridSpan w:val="6"/>
          </w:tcPr>
          <w:p>
            <w:pPr>
              <w:spacing w:after="0"/>
              <w:rPr>
                <w:sz w:val="20"/>
                <w:szCs w:val="20"/>
                <w:color w:val="auto"/>
              </w:rPr>
            </w:pPr>
            <w:r>
              <w:rPr>
                <w:rFonts w:ascii="Arial" w:cs="Arial" w:eastAsia="Arial" w:hAnsi="Arial"/>
                <w:sz w:val="18"/>
                <w:szCs w:val="18"/>
                <w:color w:val="auto"/>
                <w:w w:val="97"/>
              </w:rPr>
              <w:t>The following summarizes stock option activity for the three months and six months ended June 30, 2023:</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7"/>
        </w:trPr>
        <w:tc>
          <w:tcPr>
            <w:tcW w:w="5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Aggregate</w:t>
            </w:r>
          </w:p>
        </w:tc>
        <w:tc>
          <w:tcPr>
            <w:tcW w:w="4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Life (in</w:t>
            </w:r>
          </w:p>
        </w:tc>
        <w:tc>
          <w:tcPr>
            <w:tcW w:w="16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c>
          <w:tcPr>
            <w:tcW w:w="40" w:type="dxa"/>
            <w:vAlign w:val="bottom"/>
          </w:tcPr>
          <w:p>
            <w:pPr>
              <w:spacing w:after="0"/>
              <w:rPr>
                <w:sz w:val="18"/>
                <w:szCs w:val="18"/>
                <w:color w:val="auto"/>
              </w:rPr>
            </w:pPr>
          </w:p>
        </w:tc>
      </w:tr>
      <w:tr>
        <w:trPr>
          <w:trHeight w:val="234"/>
        </w:trPr>
        <w:tc>
          <w:tcPr>
            <w:tcW w:w="502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years)</w:t>
            </w:r>
          </w:p>
        </w:tc>
        <w:tc>
          <w:tcPr>
            <w:tcW w:w="16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40" w:type="dxa"/>
            <w:vAlign w:val="bottom"/>
          </w:tcPr>
          <w:p>
            <w:pPr>
              <w:spacing w:after="0"/>
              <w:rPr>
                <w:sz w:val="20"/>
                <w:szCs w:val="20"/>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3,871,667</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124,906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111,656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Options 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(8,264)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11,765</w:t>
            </w:r>
          </w:p>
        </w:tc>
        <w:tc>
          <w:tcPr>
            <w:tcW w:w="4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981,467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3,546,581</w:t>
            </w:r>
          </w:p>
        </w:tc>
        <w:tc>
          <w:tcPr>
            <w:tcW w:w="40" w:type="dxa"/>
            <w:vAlign w:val="bottom"/>
            <w:tcBorders>
              <w:bottom w:val="single" w:sz="8" w:color="auto"/>
            </w:tcBorders>
            <w:shd w:val="clear" w:color="auto" w:fill="CCEEFF"/>
          </w:tcPr>
          <w:p>
            <w:pPr>
              <w:spacing w:after="0"/>
              <w:rPr>
                <w:sz w:val="24"/>
                <w:szCs w:val="24"/>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ind w:left="20"/>
              <w:spacing w:after="0"/>
              <w:rPr>
                <w:sz w:val="20"/>
                <w:szCs w:val="20"/>
                <w:color w:val="auto"/>
              </w:rPr>
            </w:pPr>
            <w:r>
              <w:rPr>
                <w:rFonts w:ascii="Arial" w:cs="Arial" w:eastAsia="Arial" w:hAnsi="Arial"/>
                <w:sz w:val="18"/>
                <w:szCs w:val="18"/>
                <w:color w:val="auto"/>
              </w:rPr>
              <w:t>Options vested and exercisable at June 30 2023</w:t>
            </w:r>
          </w:p>
        </w:tc>
        <w:tc>
          <w:tcPr>
            <w:tcW w:w="1480" w:type="dxa"/>
            <w:vAlign w:val="bottom"/>
          </w:tcPr>
          <w:p>
            <w:pPr>
              <w:jc w:val="right"/>
              <w:spacing w:after="0"/>
              <w:rPr>
                <w:sz w:val="20"/>
                <w:szCs w:val="20"/>
                <w:color w:val="auto"/>
              </w:rPr>
            </w:pPr>
            <w:r>
              <w:rPr>
                <w:rFonts w:ascii="Arial" w:cs="Arial" w:eastAsia="Arial" w:hAnsi="Arial"/>
                <w:sz w:val="18"/>
                <w:szCs w:val="18"/>
                <w:color w:val="auto"/>
              </w:rPr>
              <w:t>689,418</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3,000,920</w:t>
            </w:r>
          </w:p>
        </w:tc>
        <w:tc>
          <w:tcPr>
            <w:tcW w:w="40" w:type="dxa"/>
            <w:vAlign w:val="bottom"/>
          </w:tcPr>
          <w:p>
            <w:pPr>
              <w:spacing w:after="0"/>
              <w:rPr>
                <w:sz w:val="18"/>
                <w:szCs w:val="18"/>
                <w:color w:val="auto"/>
              </w:rPr>
            </w:pPr>
          </w:p>
        </w:tc>
      </w:tr>
      <w:tr>
        <w:trPr>
          <w:trHeight w:val="27"/>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515"/>
        </w:trPr>
        <w:tc>
          <w:tcPr>
            <w:tcW w:w="5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Aggregate</w:t>
            </w:r>
          </w:p>
        </w:tc>
        <w:tc>
          <w:tcPr>
            <w:tcW w:w="4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Life (in</w:t>
            </w:r>
          </w:p>
        </w:tc>
        <w:tc>
          <w:tcPr>
            <w:tcW w:w="16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c>
          <w:tcPr>
            <w:tcW w:w="40" w:type="dxa"/>
            <w:vAlign w:val="bottom"/>
          </w:tcPr>
          <w:p>
            <w:pPr>
              <w:spacing w:after="0"/>
              <w:rPr>
                <w:sz w:val="18"/>
                <w:szCs w:val="18"/>
                <w:color w:val="auto"/>
              </w:rPr>
            </w:pPr>
          </w:p>
        </w:tc>
      </w:tr>
      <w:tr>
        <w:trPr>
          <w:trHeight w:val="234"/>
        </w:trPr>
        <w:tc>
          <w:tcPr>
            <w:tcW w:w="502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years)</w:t>
            </w:r>
          </w:p>
        </w:tc>
        <w:tc>
          <w:tcPr>
            <w:tcW w:w="16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40" w:type="dxa"/>
            <w:vAlign w:val="bottom"/>
          </w:tcPr>
          <w:p>
            <w:pPr>
              <w:spacing w:after="0"/>
              <w:rPr>
                <w:sz w:val="20"/>
                <w:szCs w:val="20"/>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3,407,917</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123,806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Options 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63"/>
        </w:trPr>
        <w:tc>
          <w:tcPr>
            <w:tcW w:w="5020" w:type="dxa"/>
            <w:vAlign w:val="bottom"/>
          </w:tcPr>
          <w:p>
            <w:pPr>
              <w:ind w:left="20"/>
              <w:spacing w:after="0"/>
              <w:rPr>
                <w:sz w:val="20"/>
                <w:szCs w:val="20"/>
                <w:color w:val="auto"/>
              </w:rPr>
            </w:pPr>
            <w:r>
              <w:rPr>
                <w:rFonts w:ascii="Arial" w:cs="Arial" w:eastAsia="Arial" w:hAnsi="Arial"/>
                <w:sz w:val="18"/>
                <w:szCs w:val="18"/>
                <w:color w:val="auto"/>
              </w:rPr>
              <w:t>Outstanding at June 30 2023</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981,467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3,546,581</w:t>
            </w:r>
          </w:p>
        </w:tc>
        <w:tc>
          <w:tcPr>
            <w:tcW w:w="40" w:type="dxa"/>
            <w:vAlign w:val="bottom"/>
            <w:tcBorders>
              <w:top w:val="single" w:sz="8" w:color="auto"/>
              <w:bottom w:val="single" w:sz="8" w:color="auto"/>
            </w:tcBorders>
          </w:tcPr>
          <w:p>
            <w:pPr>
              <w:spacing w:after="0"/>
              <w:rPr>
                <w:sz w:val="22"/>
                <w:szCs w:val="22"/>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at June 30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3,000,920</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The weighted average grant-date fair value of options per share granted during the six months ended June 30, 2023 was $4.12. The aggregate intrinsic value of options exercised during the six months ended June 30, 2023 was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During the six months ended June 30, 2023, the Company received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proceeds from the exercise of stock options and recognized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tax benefit from the exercise of stock options. Upon exercise of the stock options, the Company will issue new authorized shares.</w:t>
      </w:r>
    </w:p>
    <w:p>
      <w:pPr>
        <w:spacing w:after="0" w:line="16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 xml:space="preserve">The weighted average grant-date fair value of options per share granted during the six months ended June 30, 2022 was $6.26. The aggregate intrinsic value of options exercised during the six months ended June 30, 2022 was $0.2 million. During the six months ended June 30, 2022, the Company received </w:t>
      </w:r>
      <w:r>
        <w:rPr>
          <w:rFonts w:ascii="Arial" w:cs="Arial" w:eastAsia="Arial" w:hAnsi="Arial"/>
          <w:sz w:val="16"/>
          <w:szCs w:val="16"/>
          <w:i w:val="1"/>
          <w:iCs w:val="1"/>
          <w:color w:val="auto"/>
        </w:rPr>
        <w:t xml:space="preserve">de minimis </w:t>
      </w:r>
      <w:r>
        <w:rPr>
          <w:rFonts w:ascii="Arial" w:cs="Arial" w:eastAsia="Arial" w:hAnsi="Arial"/>
          <w:sz w:val="16"/>
          <w:szCs w:val="16"/>
          <w:color w:val="auto"/>
        </w:rPr>
        <w:t>proceeds from the exercise of stock options and recognized a</w:t>
      </w:r>
      <w:r>
        <w:rPr>
          <w:rFonts w:ascii="Arial" w:cs="Arial" w:eastAsia="Arial" w:hAnsi="Arial"/>
          <w:sz w:val="16"/>
          <w:szCs w:val="16"/>
          <w:i w:val="1"/>
          <w:iCs w:val="1"/>
          <w:color w:val="auto"/>
        </w:rPr>
        <w:t xml:space="preserve"> de minimis </w:t>
      </w:r>
      <w:r>
        <w:rPr>
          <w:rFonts w:ascii="Arial" w:cs="Arial" w:eastAsia="Arial" w:hAnsi="Arial"/>
          <w:sz w:val="16"/>
          <w:szCs w:val="16"/>
          <w:color w:val="auto"/>
        </w:rPr>
        <w:t>tax benefit from the exercise of stock options.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Stock-based compensation expense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900" w:type="dxa"/>
            <w:vAlign w:val="bottom"/>
            <w:gridSpan w:val="7"/>
          </w:tcPr>
          <w:p>
            <w:pPr>
              <w:spacing w:after="0"/>
              <w:rPr>
                <w:sz w:val="20"/>
                <w:szCs w:val="20"/>
                <w:color w:val="auto"/>
              </w:rPr>
            </w:pPr>
            <w:r>
              <w:rPr>
                <w:rFonts w:ascii="Arial" w:cs="Arial" w:eastAsia="Arial" w:hAnsi="Arial"/>
                <w:sz w:val="18"/>
                <w:szCs w:val="18"/>
                <w:color w:val="auto"/>
              </w:rPr>
              <w:t>The following tables present pre-tax and after-tax stock-based compensation expense recognized: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300" w:type="dxa"/>
            <w:vAlign w:val="bottom"/>
          </w:tcPr>
          <w:p>
            <w:pPr>
              <w:spacing w:after="0"/>
              <w:rPr>
                <w:sz w:val="24"/>
                <w:szCs w:val="24"/>
                <w:color w:val="auto"/>
              </w:rPr>
            </w:pPr>
          </w:p>
        </w:tc>
        <w:tc>
          <w:tcPr>
            <w:tcW w:w="27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Pre-tax</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Restricted shares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After-tax</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Restricted shares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 Company had unrecognized stock-based compensation expense related to stock options and restricted stock of approximately $0.7 million and $1.7 million, respectively, which is expected to be recognized over the remaining weighted average recognition period of 1.8 years and 1.6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of Financial Instruments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spacing w:after="0" w:line="13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instruments. An active market is a market in which transactions occur with sufficient frequency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volume to provide pricing information on an ongoing basis. A quoted price in an active market provides the most reliable evidence of fair value and shall be used to measure fair value whenever available.</w:t>
      </w:r>
    </w:p>
    <w:p>
      <w:pPr>
        <w:spacing w:after="0" w:line="1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Observable inputs other than Level 1 including quoted prices in active markets for similar instruments, quoted prices in less active markets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or similar instruments, or other observable inputs that can be corroborated by observable market data.</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supported by little or no market activity for financial instruments whose value is determined using pricing models,</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 of each class of financial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 The carrying amount of these items is a reasonable estimate of their fair value.</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securities held-to-maturity</w:t>
      </w:r>
      <w:r>
        <w:rPr>
          <w:rFonts w:ascii="Arial" w:cs="Arial" w:eastAsia="Arial" w:hAnsi="Arial"/>
          <w:sz w:val="18"/>
          <w:szCs w:val="18"/>
          <w:color w:val="auto"/>
        </w:rPr>
        <w:t>: The estimated fair values of investment securities are priced using current active market quotes, if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considered Level 1 measurements. For most of the portfolio, matrix pricing based on the securities’ relationship to other benchmark quoted prices is used to establish the fair value. These measurements are considered Level 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in Federal Home Loan Bank stock</w:t>
      </w:r>
      <w:r>
        <w:rPr>
          <w:rFonts w:ascii="Arial" w:cs="Arial" w:eastAsia="Arial" w:hAnsi="Arial"/>
          <w:sz w:val="16"/>
          <w:szCs w:val="16"/>
          <w:color w:val="auto"/>
        </w:rPr>
        <w:t>: The fair value is based upon the redemption value of the stock, which equates to the carrying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Program loans held-for-sale</w:t>
      </w:r>
      <w:r>
        <w:rPr>
          <w:rFonts w:ascii="Arial" w:cs="Arial" w:eastAsia="Arial" w:hAnsi="Arial"/>
          <w:sz w:val="18"/>
          <w:szCs w:val="18"/>
          <w:color w:val="auto"/>
        </w:rPr>
        <w:t>: The carrying amount of these items is a reasonable estimate of their fair value.</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Loans held for investment</w:t>
      </w:r>
      <w:r>
        <w:rPr>
          <w:rFonts w:ascii="Arial" w:cs="Arial" w:eastAsia="Arial" w:hAnsi="Arial"/>
          <w:sz w:val="18"/>
          <w:szCs w:val="18"/>
          <w:color w:val="auto"/>
        </w:rPr>
        <w:t>: The fair value is estimated by discounting the future cash flows and estimated prepayments using the current rates at which</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loans would be made to borrowers with similar credit ratings and for the same remaining term. Some loan types’ fair value approximated carrying value because of their floating rate or expected maturity characteristics.</w:t>
      </w:r>
    </w:p>
    <w:p>
      <w:pPr>
        <w:spacing w:after="0" w:line="14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SBA servicing asset</w:t>
      </w:r>
      <w:r>
        <w:rPr>
          <w:rFonts w:ascii="Arial" w:cs="Arial" w:eastAsia="Arial" w:hAnsi="Arial"/>
          <w:sz w:val="16"/>
          <w:szCs w:val="16"/>
          <w:color w:val="auto"/>
        </w:rPr>
        <w:t>: The fair value of servicing assets is based on, in part, third -party valuations that project estimated future cash inflows that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Due to the fact that observable loan transactions are used to determine the risk spreads, the Company considers the measurement to be Level 2.</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Investment in BFG</w:t>
      </w:r>
      <w:r>
        <w:rPr>
          <w:rFonts w:ascii="Arial" w:cs="Arial" w:eastAsia="Arial" w:hAnsi="Arial"/>
          <w:sz w:val="18"/>
          <w:szCs w:val="18"/>
          <w:color w:val="auto"/>
        </w:rPr>
        <w:t>: The Company purchased its ownership interest in BFG on December 31, 2019. The Company’s valuation technique utilized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of the discounted cash flow method and the Guideline Public Company method. A 20% lack of marketability discount was applied to the valuation as well as a 4.50% discount to non-voting shares to arrive at fair value as of June 30, 2023 and December 31, 2022. The calculation of fair value utilized significant unobservable inputs, including projected cash flows, growth rates, and discount rates. The fair value of the investment in BFG was $4.5 million and $4.8 million as of June 30, 2023 and December 31, 2022, respectively. The following table summarizes investment in BFG activity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For the Six Months Ended</w:t>
            </w:r>
          </w:p>
        </w:tc>
      </w:tr>
      <w:tr>
        <w:trPr>
          <w:trHeight w:val="234"/>
        </w:trPr>
        <w:tc>
          <w:tcPr>
            <w:tcW w:w="8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Distributions from BFG</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BFG</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4,600</w:t>
            </w:r>
          </w:p>
        </w:tc>
      </w:tr>
      <w:tr>
        <w:trPr>
          <w:trHeight w:val="21"/>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Deposits</w:t>
      </w:r>
      <w:r>
        <w:rPr>
          <w:rFonts w:ascii="Arial" w:cs="Arial" w:eastAsia="Arial" w:hAnsi="Arial"/>
          <w:sz w:val="18"/>
          <w:szCs w:val="18"/>
          <w:color w:val="auto"/>
        </w:rPr>
        <w:t>: The carrying amount of deposits with no stated maturity, such as savings and checking accounts, is a reasonable estimate of their fair value.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of certificates of deposit is based upon the discounted value of contractual cash flows. The discount rate is determined using the rates currently offered on comparable instruments.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interest receivable and payable</w:t>
      </w:r>
      <w:r>
        <w:rPr>
          <w:rFonts w:ascii="Arial" w:cs="Arial" w:eastAsia="Arial" w:hAnsi="Arial"/>
          <w:sz w:val="18"/>
          <w:szCs w:val="18"/>
          <w:color w:val="auto"/>
        </w:rPr>
        <w:t>: The fair value of accrued interest receivable and payable approximates their carrying amount.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8"/>
        <w:spacing w:after="0" w:line="282" w:lineRule="auto"/>
        <w:tabs>
          <w:tab w:leader="none" w:pos="37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Facility</w:t>
      </w:r>
      <w:r>
        <w:rPr>
          <w:rFonts w:ascii="Arial" w:cs="Arial" w:eastAsia="Arial" w:hAnsi="Arial"/>
          <w:sz w:val="18"/>
          <w:szCs w:val="18"/>
          <w:color w:val="auto"/>
        </w:rPr>
        <w:t>: The fair value of PPPLF is estimated using a discounted cash flow based on the remaining contractual term and current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rates for similar terms.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carrying amount and fair value of the Company's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5"/>
          </w:tcPr>
          <w:p>
            <w:pPr>
              <w:ind w:left="760"/>
              <w:spacing w:after="0"/>
              <w:rPr>
                <w:sz w:val="20"/>
                <w:szCs w:val="20"/>
                <w:color w:val="auto"/>
              </w:rPr>
            </w:pPr>
            <w:r>
              <w:rPr>
                <w:rFonts w:ascii="Arial" w:cs="Arial" w:eastAsia="Arial" w:hAnsi="Arial"/>
                <w:sz w:val="18"/>
                <w:szCs w:val="18"/>
                <w:b w:val="1"/>
                <w:bCs w:val="1"/>
                <w:color w:val="auto"/>
              </w:rPr>
              <w:t>June 30, 2023</w:t>
            </w:r>
          </w:p>
        </w:tc>
        <w:tc>
          <w:tcPr>
            <w:tcW w:w="260" w:type="dxa"/>
            <w:vAlign w:val="bottom"/>
          </w:tcPr>
          <w:p>
            <w:pPr>
              <w:spacing w:after="0"/>
              <w:rPr>
                <w:sz w:val="20"/>
                <w:szCs w:val="20"/>
                <w:color w:val="auto"/>
              </w:rPr>
            </w:pPr>
          </w:p>
        </w:tc>
        <w:tc>
          <w:tcPr>
            <w:tcW w:w="28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560" w:type="dxa"/>
            <w:vAlign w:val="bottom"/>
            <w:gridSpan w:val="2"/>
          </w:tcPr>
          <w:p>
            <w:pPr>
              <w:ind w:left="520"/>
              <w:spacing w:after="0"/>
              <w:rPr>
                <w:sz w:val="20"/>
                <w:szCs w:val="20"/>
                <w:color w:val="auto"/>
              </w:rPr>
            </w:pPr>
            <w:r>
              <w:rPr>
                <w:rFonts w:ascii="Arial" w:cs="Arial" w:eastAsia="Arial" w:hAnsi="Arial"/>
                <w:sz w:val="18"/>
                <w:szCs w:val="18"/>
                <w:b w:val="1"/>
                <w:bCs w:val="1"/>
                <w:color w:val="auto"/>
              </w:rPr>
              <w:t>Level</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Financial assets:</w:t>
            </w: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119,043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100,567</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Investment securities held-to-maturity</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12,728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FHLB stock</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294,533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237,225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held-for-sale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23,586</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 servicing asset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Investment in BFG</w:t>
            </w: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Total deposits</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332,530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306,396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221,287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PPP Liquidity Facility</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Fair Value Measurements Using</w:t>
            </w:r>
          </w:p>
        </w:tc>
        <w:tc>
          <w:tcPr>
            <w:tcW w:w="1040" w:type="dxa"/>
            <w:vAlign w:val="bottom"/>
          </w:tcPr>
          <w:p>
            <w:pPr>
              <w:spacing w:after="0"/>
              <w:rPr>
                <w:sz w:val="20"/>
                <w:szCs w:val="20"/>
                <w:color w:val="auto"/>
              </w:rPr>
            </w:pPr>
          </w:p>
        </w:tc>
      </w:tr>
      <w:tr>
        <w:trPr>
          <w:trHeight w:val="27"/>
        </w:trPr>
        <w:tc>
          <w:tcPr>
            <w:tcW w:w="5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 of Financial Instrument</w:t>
            </w: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Level 2</w:t>
            </w:r>
          </w:p>
        </w:tc>
        <w:tc>
          <w:tcPr>
            <w:tcW w:w="4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w w:val="91"/>
              </w:rPr>
              <w:t>Level 3</w:t>
            </w:r>
          </w:p>
        </w:tc>
      </w:tr>
      <w:tr>
        <w:trPr>
          <w:trHeight w:val="27"/>
        </w:trPr>
        <w:tc>
          <w:tcPr>
            <w:tcW w:w="4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Nonrecurring assets</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Individually evaluated loans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Nonrecurring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Individually evaluated loans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450</w:t>
            </w:r>
          </w:p>
        </w:tc>
      </w:tr>
    </w:tbl>
    <w:p>
      <w:pPr>
        <w:spacing w:after="0" w:line="2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Individually evaluated loans </w:t>
      </w:r>
      <w:r>
        <w:rPr>
          <w:rFonts w:ascii="Arial" w:cs="Arial" w:eastAsia="Arial" w:hAnsi="Arial"/>
          <w:sz w:val="17"/>
          <w:szCs w:val="17"/>
          <w:color w:val="auto"/>
        </w:rPr>
        <w:t>– The loan amount above represents loans individually evaluated as of year-end that have been adjusted to fair value. When</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represents charge-offs on loans for adjustments made based on the fair value of the collateral.</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Quantitative information for Level 3 fair value measurements </w:t>
      </w:r>
      <w:r>
        <w:rPr>
          <w:rFonts w:ascii="Arial" w:cs="Arial" w:eastAsia="Arial" w:hAnsi="Arial"/>
          <w:sz w:val="18"/>
          <w:szCs w:val="18"/>
          <w:color w:val="auto"/>
        </w:rPr>
        <w:t>– The range and weighted average of the significant unobservable inputs used to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Level 3 nonrecurring assets as of June 30, 2023 and as of December 31, 2022, along with the valuation techniques used, are shown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6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Unobservable</w:t>
            </w:r>
          </w:p>
        </w:tc>
        <w:tc>
          <w:tcPr>
            <w:tcW w:w="1620" w:type="dxa"/>
            <w:vAlign w:val="bottom"/>
          </w:tcPr>
          <w:p>
            <w:pPr>
              <w:jc w:val="right"/>
              <w:ind w:right="470"/>
              <w:spacing w:after="0"/>
              <w:rPr>
                <w:sz w:val="20"/>
                <w:szCs w:val="20"/>
                <w:color w:val="auto"/>
              </w:rPr>
            </w:pPr>
            <w:r>
              <w:rPr>
                <w:rFonts w:ascii="Arial" w:cs="Arial" w:eastAsia="Arial" w:hAnsi="Arial"/>
                <w:sz w:val="18"/>
                <w:szCs w:val="18"/>
                <w:b w:val="1"/>
                <w:bCs w:val="1"/>
                <w:color w:val="auto"/>
              </w:rPr>
              <w:t>Range</w:t>
            </w: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6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Input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2"/>
              </w:rPr>
              <w:t>(Weighted Average)</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Market</w:t>
            </w:r>
          </w:p>
        </w:tc>
        <w:tc>
          <w:tcPr>
            <w:tcW w:w="1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Adjustment to</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Individually evaluated loans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comparable</w:t>
            </w:r>
          </w:p>
        </w:tc>
        <w:tc>
          <w:tcPr>
            <w:tcW w:w="164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appraisal value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Market</w:t>
            </w:r>
          </w:p>
        </w:tc>
        <w:tc>
          <w:tcPr>
            <w:tcW w:w="16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Adjustment to</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Individually evaluated loans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comparable</w:t>
            </w:r>
          </w:p>
        </w:tc>
        <w:tc>
          <w:tcPr>
            <w:tcW w:w="164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appraisal value</w:t>
            </w:r>
          </w:p>
        </w:tc>
        <w:tc>
          <w:tcPr>
            <w:tcW w:w="1620" w:type="dxa"/>
            <w:vAlign w:val="bottom"/>
          </w:tcPr>
          <w:p>
            <w:pPr>
              <w:jc w:val="right"/>
              <w:spacing w:after="0"/>
              <w:rPr>
                <w:sz w:val="20"/>
                <w:szCs w:val="20"/>
                <w:color w:val="auto"/>
              </w:rPr>
            </w:pPr>
            <w:r>
              <w:rPr>
                <w:rFonts w:ascii="Arial" w:cs="Arial" w:eastAsia="Arial" w:hAnsi="Arial"/>
                <w:sz w:val="18"/>
                <w:szCs w:val="18"/>
                <w:color w:val="auto"/>
              </w:rPr>
              <w:t>0.20 %</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range and weighted average of the significant unobservable inputs used to fair value the investment in BFG Level 3 recurring asset as of June 30, 2023 and as of December 31, 2022 are shown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2023</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Range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Range</w:t>
            </w:r>
          </w:p>
        </w:tc>
        <w:tc>
          <w:tcPr>
            <w:tcW w:w="0" w:type="dxa"/>
            <w:vAlign w:val="bottom"/>
          </w:tcPr>
          <w:p>
            <w:pPr>
              <w:spacing w:after="0"/>
              <w:rPr>
                <w:sz w:val="1"/>
                <w:szCs w:val="1"/>
                <w:color w:val="auto"/>
              </w:rPr>
            </w:pPr>
          </w:p>
        </w:tc>
      </w:tr>
      <w:tr>
        <w:trPr>
          <w:trHeight w:val="234"/>
        </w:trPr>
        <w:tc>
          <w:tcPr>
            <w:tcW w:w="79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7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 Average)</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Discounted Cash Flows</w:t>
            </w: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Revenue growth rate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43"/>
        </w:trPr>
        <w:tc>
          <w:tcPr>
            <w:tcW w:w="7900" w:type="dxa"/>
            <w:vAlign w:val="bottom"/>
          </w:tcPr>
          <w:p>
            <w:pPr>
              <w:ind w:left="680"/>
              <w:spacing w:after="0"/>
              <w:rPr>
                <w:sz w:val="20"/>
                <w:szCs w:val="20"/>
                <w:color w:val="auto"/>
              </w:rPr>
            </w:pPr>
            <w:r>
              <w:rPr>
                <w:rFonts w:ascii="Arial" w:cs="Arial" w:eastAsia="Arial" w:hAnsi="Arial"/>
                <w:sz w:val="18"/>
                <w:szCs w:val="18"/>
                <w:color w:val="auto"/>
              </w:rPr>
              <w:t>Expense growth rate</w:t>
            </w:r>
          </w:p>
        </w:tc>
        <w:tc>
          <w:tcPr>
            <w:tcW w:w="1620" w:type="dxa"/>
            <w:vAlign w:val="bottom"/>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Discount rate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Guideline Public Company</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680"/>
              <w:spacing w:after="0"/>
              <w:rPr>
                <w:sz w:val="20"/>
                <w:szCs w:val="20"/>
                <w:color w:val="auto"/>
              </w:rPr>
            </w:pPr>
            <w:r>
              <w:rPr>
                <w:rFonts w:ascii="Arial" w:cs="Arial" w:eastAsia="Arial" w:hAnsi="Arial"/>
                <w:sz w:val="18"/>
                <w:szCs w:val="18"/>
                <w:color w:val="auto"/>
              </w:rPr>
              <w:t>Multiples of enterprise value</w:t>
            </w:r>
          </w:p>
        </w:tc>
        <w:tc>
          <w:tcPr>
            <w:tcW w:w="1720" w:type="dxa"/>
            <w:vAlign w:val="bottom"/>
            <w:gridSpan w:val="2"/>
          </w:tcPr>
          <w:p>
            <w:pPr>
              <w:ind w:left="740"/>
              <w:spacing w:after="0"/>
              <w:rPr>
                <w:sz w:val="20"/>
                <w:szCs w:val="20"/>
                <w:color w:val="auto"/>
              </w:rPr>
            </w:pPr>
            <w:r>
              <w:rPr>
                <w:rFonts w:ascii="Arial" w:cs="Arial" w:eastAsia="Arial" w:hAnsi="Arial"/>
                <w:sz w:val="18"/>
                <w:szCs w:val="18"/>
                <w:color w:val="auto"/>
              </w:rPr>
              <w:t>3.5x to 5.0x</w:t>
            </w:r>
          </w:p>
        </w:tc>
        <w:tc>
          <w:tcPr>
            <w:tcW w:w="1620" w:type="dxa"/>
            <w:vAlign w:val="bottom"/>
          </w:tcPr>
          <w:p>
            <w:pPr>
              <w:jc w:val="right"/>
              <w:spacing w:after="0"/>
              <w:rPr>
                <w:sz w:val="20"/>
                <w:szCs w:val="20"/>
                <w:color w:val="auto"/>
              </w:rPr>
            </w:pPr>
            <w:r>
              <w:rPr>
                <w:rFonts w:ascii="Arial" w:cs="Arial" w:eastAsia="Arial" w:hAnsi="Arial"/>
                <w:sz w:val="18"/>
                <w:szCs w:val="18"/>
                <w:color w:val="auto"/>
              </w:rPr>
              <w:t>3.0x to 5.0x</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income taxes by recognizing deferred tax assets and liabilities based upon temporary differences between the amounts for financial reporting purposes and tax basis of its assets and liabilities. Deferred tax assets decreased $1.3 million to a deferred tax liability during the six months ended June 30, 2023 as a result of changes to temporary timing differences associated with accelerated tax depreciation. Deferred tax assets are reduced by a valuation allowance when, in the opinion of management, it is more-likely-than-not that some portion, or all, of the deferred tax asset will not be realized. In assessing the realization of deferred tax assets, management evaluates both positive and negative evidence, including the forecasts of future income, applicable tax planning strategies, and assessments of current and future economic and business conditions. This analysis is updated quarterly and adjusted as necessary. Based on this analysis, management has determined that a valuation allowance for deferred tax assets was not required at June 30, 2023.</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2023 and 2022, income tax expense was $3.0 million and $5.0 million, respectively, resulting in an effective income tax rate of 26.1% and 25.1%, respectively. The effective tax rate differs from the statutory rate of 24.9% during the six months ended June 30, 2023 due primarily to nondeductible wages, state taxes and the tax effect of stock-based compensation. The effective tax rate differs from the statutory rate of 24.9% during the six months ended June 30, 2022 due primarily to the tax effect of stock-based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unrecognized tax benefits at June 30,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Parties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ordinary course of business, the Company may grant loans to certain executive officers and directors and the companies with which they are associated. The Company had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loans outstanding to related parties as of June 30, 2023 and December 31, 2022. Total deposits from certain executive officers and directors and the companies with which they are associated were $1.3 million and $1.2 million as of June 30, 2023 and December 31, 2022, respectively.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21, 2022, Mr. Alan Weichselbaum, who was elected as a director of the Company on October 6, 2022, repaid in full the $0.1 million aggregate principal amount plus interest owed under a secured promissory note, dated as of June 1, 2022 (the “2022 Note”), between the Company and Mr. Weichselbaum in accordance with the terms of the 2022 Note. As such, the obligations of the parties under the 2022 Note and a related security agreement were discharged and the 2022 Note and the security agreement were terminated.</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BFG is a small business loan broker, primarily under the SBA’s 7(a) loan program. As noted in Note 9 Investments above, the Company has a 10%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reconciliation of the components used to derive basic and diluted EPS for the three and six months ended June 30, 2023 and 2022 ($ 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320" w:type="dxa"/>
            <w:vAlign w:val="bottom"/>
          </w:tcPr>
          <w:p>
            <w:pPr>
              <w:spacing w:after="0"/>
              <w:rPr>
                <w:sz w:val="18"/>
                <w:szCs w:val="18"/>
                <w:color w:val="auto"/>
              </w:rPr>
            </w:pPr>
          </w:p>
        </w:tc>
        <w:tc>
          <w:tcPr>
            <w:tcW w:w="27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70"/>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Amount allocated to participating common shareholders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 to common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12,603,463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12,716,010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12,655,605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12,698,714</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Weighted average effect of dilutive securities: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327,786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558,855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359,632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589,091</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58,281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142,525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65,383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156,542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12,989,530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13,417,390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13,080,620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13,444,347</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Earnings per share,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 Represents earnings attributable to holders of unvested restricted stock issued outside of the Plan to the Company’s employees.</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621,835 and 336,192 anti-dilutive options for the six months ended June 30, 2023 and 2022, respectively, reported in the table above. There were 204,617 shares and 113,458 anti-dilutive warrants for the six months ended June 30, 2023 and 2022, respectively, reported in the table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events are events or transactions that occur after the date of the most recent balance sheet but before the financial statements are available to be issued. The Company recognizes in the financial statements the effects of all subsequent events that provide additional evidence about conditions that existed at the date of the balance sheet, including the estimates inherent in the process of preparing of the financial statements. The Company’s financial statements do not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recognize subsequent events that provide evidence about conditions that did not exist at the date of the balance sheet but arose after the date of the balance sheet and before the financial statements are available to be issued.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through August 14, 2023, which is the date the consolidated financial statements are available to be issued.</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July 25, 2023, the Company entered into a definitive agreement with BFG and four members of BFG to acquire an additional 10% of its membership interests in exchange for 372,132 shares of the Company’s stock, subject to regulatory approval and other customary closing conditions. For further details, refer to </w:t>
      </w:r>
      <w:r>
        <w:rPr>
          <w:rFonts w:ascii="Arial" w:cs="Arial" w:eastAsia="Arial" w:hAnsi="Arial"/>
          <w:sz w:val="18"/>
          <w:szCs w:val="18"/>
          <w:b w:val="1"/>
          <w:bCs w:val="1"/>
          <w:color w:val="auto"/>
        </w:rPr>
        <w:t>Note 8 – Investment in Business Funding Group,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Investments, LLC.</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following discussion and analysis is intended as a review of significant factors affecting the Company's financial condition and results of operations for the periods indicated and should be read together with our consolidated financial statements and related notes thereto and the 2022 Form 10-K.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most recently filed Annual Report on Form 10-K entitled “Risk Factors,” “Cautionary Note Regarding Forward-Looking Statements” and elsewhere in this Report. We assume no obligation to update any of these forward-looking statements except to the extent required by law.</w:t>
      </w:r>
    </w:p>
    <w:p>
      <w:pPr>
        <w:spacing w:after="0" w:line="1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The following discussion pertains to our historical results, on a consolidated basis. However, because we conduct all our material business operations through our wholly owned subsidiary, FinWise Bank, the discussion and analysis relates to activities primarily conducted at the subsidiary level.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accompanying management’s discussion and analysis of results of operations and financial condition is based upon our unaudited interim consolidated financial statements, which have been prepared in accordance with GAAP. The preparation of these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With the exception of our adoption of ASU 2016-13, </w:t>
      </w:r>
      <w:r>
        <w:rPr>
          <w:rFonts w:ascii="Arial" w:cs="Arial" w:eastAsia="Arial" w:hAnsi="Arial"/>
          <w:sz w:val="17"/>
          <w:szCs w:val="17"/>
          <w:i w:val="1"/>
          <w:iCs w:val="1"/>
          <w:color w:val="auto"/>
        </w:rPr>
        <w:t>Topic 326</w:t>
      </w:r>
      <w:r>
        <w:rPr>
          <w:rFonts w:ascii="Arial" w:cs="Arial" w:eastAsia="Arial" w:hAnsi="Arial"/>
          <w:sz w:val="17"/>
          <w:szCs w:val="17"/>
          <w:color w:val="auto"/>
        </w:rPr>
        <w:t>, there have been no significant changes during the six months ended June 30, 2023 to the items that we disclosed as our critical accounting policies and estimates in “Management’s Discussion and Analysis of Financial Condition and Results of Operations” in the 2022 Form 10-K.</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Accounting policies, as described in detail in the notes to our consolidated financial statements, included in the 2022 Form 10-K, are an integral part of our financial statements. A thorough understanding of these accounting policies is essential when reviewing our reported results of operations and our financial position. We believe that those critical accounting policies and estimates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 Utah corporation and the parent company of FinWise Bank and FinWise Investments, LLC. The Company’s assets consist primarily of its investment in the Bank and all of its material business activities are conducted through the Bank. The Company is a registered bank holding company that is subject to supervision by the UDFI and the Federal Reserve. As a Utah state-chartered bank that is not a member of the Federal Reserve System, the Bank is separately subject to regulations and supervision by both the UDFI and the FDIC. The Bank’s deposits are federally insured up to the maximum legal limits.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superior profitability. Our analytics platform, FinView™, enhances our ability to gather and interpret performance data for our originations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provides management with an ability to identify attractive, risk-adjusted sectors for growth. These insights coupled with the billions of dollars in originations funded annually and our ability to sell loans or retain for investment enhance our unique position. Our track record has demonstrated that these qualities deliver superior growth and profitability and that the flexibility inherent in our model enhances our ability to manage credit risk. We gather deposits in the Salt Lake City, Utah MSA through our one branch and nationwide from our Strategic Program service providers, SBA 7(a) borrowers, demand deposits sourced through Lively, Inc., Institutional Deposit exchanges, and brokered deposit arrangements.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condition and results of operations depend primarily on our ability to (i) originate loans using our strategic relationships with third-party loan origination platforms to earn interest and noninterest income, (ii) utilize FinView™ to identify attractive risk-adjusted lending opportunities and inform the selection of loans for investment while limiting credit losses, (iii) attract and retain low cost, stable deposits, and (iv) efficiently operate in compliance with applicable regulations.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lending focuses on four main lending areas: (i) SBA 7(a) loans, (ii) Strategic Programs, (iii) residential and commercial real estate and (iv) consumer lending. For a description and analysis of the Company’s loan categories, see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Banking Industry Disruptions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first quarter of 2023, the banking industry experienced significant disruptions including bank failures and industry-wide concerns related to deposit outflows, liquidity, continued interest rate increases and unrealized losses on securities. In response to the disruption, the Company performed an analysis of its deposits and determined that as of March 31, 2023, 36.1% of deposits at the Bank were uninsured, 15.4% of total Bank deposits were accounts owned directly or indirectly by the Company or the Bank and an additional 5.8% were required deposits under our Strategic Program agreements. As of June 30, 2023, 36.3% of deposits at the Bank were uninsured, 13.2% of total Bank deposits were accounts owned directly or indirectly by the Company or the Bank and an additional 8.1% were required deposits under our Strategic Program agreements. In addition, the Bank's capital ratios under the Community Bank Leverage Ratio framework ("CBLR") substantially exceeded the well-capitalized thresholds, and management believes regulatory capital ratio buffers would withstand any changes in regulatory rules that require the inclusion of unrealized losses in the total investment portfolio and remain well capitalized.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for the three months ended June 30, 2023 decreased $0.8 million to $4.6 million when compared to the three months ended June 30, 2022. The decrease was primarily due to lower strategic program fees mainly as a result of a decline in loan origination volumes, higher interest expense on deposits, and increased retention of the guaranteed portion of SBA loans the Company originates to increase interest income which resulted in a corresponding decrease in gain on sale income. Partially offsetting the decrease in net income were an increase in interest income and a recovery on the SBA servicing asset compared to the second quarter of 2022.</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income for the six months ended June 30, 2023 decreased $6.4 million to $8.5 million when compared to the six months ended June 30, 2022 due primarily to a reduction in gain on sale of loans primarily attributable to the Company's increased retention of the guaranteed portion of SBA loans the Company originates to increase interest income which resulted in a corresponding decrease in gain on sale income and lower strategic program fees resulting primarily from a decline in loan origination volumes. While total interest income increased $3.0 million for the six months ended June 30, 2023 compared to the same period in 2022, an increase in total interest expense associated with a shift in our deposit base of $3.0 million offset this increase. Partially offsetting the decrease in net income were a reduction in the provision for income taxes as well as an increase in fair value of the Company's investment in Business Funding Group, LLC ("BFG") when compared to the six months ended June 30, 2022.</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interest margin was 12.14% for the quarter ended June 30, 2023, compared to 13.69% for the second quarter of 2022. The decline in net interest margin was due primarily to a $33.4 million decrease in the average balances of loans held for sale along with a shift in the Company's deposit portfolio mix from lower costing deposits to higher costing deposits, partially offset by an increase in average balances in the Company's loans held for investment portfolio.</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interest margin was 12.31% for the six months ended June 30, 2023, compared to 13.53% for the six months ended June 30, 2022. The decline in net interest margin was due primarily to a $48.4 million decrease in the average balances of loans held for sale along with a shift in the Company's deposit portfolio mix from lower costing deposits to higher costing deposits, partially offset by an increase in average balances in the Company's loans held for investment portfolio.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assets increased by $94.8 million to $495.6 million as of June 30, 2023 compared to December 31, 2022. This increase was primarily attributable to a $53.4 million increase in net loans receivable, a $18.8 million increase in Strategic Program loans held-for-sale, and a $18.5 million increase in interest-bearing deposits.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Originations of Strategic Program loans held-for-sale decreased by $0.9 billion to $1.2 billion for the three months ended June 30, 2023 compared to the three months ended June 30, 2022 and $2.5 billion to $1.9 billion for the six months ended June 30, 2023 compared to the six months ended June 30, 2022 due mainly to more adverse market and economic conditions.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Overview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1"/>
              </w:rPr>
              <w:t>For the Three Months Ended</w:t>
            </w:r>
          </w:p>
        </w:tc>
        <w:tc>
          <w:tcPr>
            <w:tcW w:w="240" w:type="dxa"/>
            <w:vAlign w:val="bottom"/>
          </w:tcPr>
          <w:p>
            <w:pPr>
              <w:spacing w:after="0"/>
              <w:rPr>
                <w:sz w:val="18"/>
                <w:szCs w:val="18"/>
                <w:color w:val="auto"/>
              </w:rPr>
            </w:pPr>
          </w:p>
        </w:tc>
        <w:tc>
          <w:tcPr>
            <w:tcW w:w="3440" w:type="dxa"/>
            <w:vAlign w:val="bottom"/>
            <w:gridSpan w:val="6"/>
          </w:tcPr>
          <w:p>
            <w:pPr>
              <w:jc w:val="center"/>
              <w:ind w:right="150"/>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34"/>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June 30,</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June 30,</w:t>
            </w:r>
          </w:p>
        </w:tc>
        <w:tc>
          <w:tcPr>
            <w:tcW w:w="126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798.3 %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589.9 %</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8,431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8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income for the three months ended June 30, 2023 was $4.6 million, a decrease of $0.8 million, or 15.5%, from net income of $5.5 million for the three months ended June 30, 2022. The decrease was primarily attributable to a decrease of $2.2 million or 34.8% in strategic program fees primarily resulting from a decline in loan origination volume, an increase of $2.0 million, or 798.3%, in interest expense associated with a shift in our deposit base, and lower gain on sale of loans of $1.7 million or 71.0% primarily attributable to the Company's decision to increase retention of the guaranteed portion of SBA loans the Company originates to increase interest income which resulted in a corresponding decrease in gain on sale income, partially offset by a recovery of SBA servicing asset of $1.5 million which did not occur in the prior year period, or 129.9%.</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income for the six months ended June 30, 2023 was $8.5 million, a decrease of $6.4 million, or 43.0%, from net income of $14.9 million for the six months ended June 30, 2022. The decrease was primarily attributable to a decrease of $10.3 million, or 51.2%, in non-interest income due mainly to a $6.6 million or 88.1% reduction in the gain on sale of loans primarily attributable to the Company's increased retention of the guaranteed portion of SBA loans the Company originates to increase interest income which resulted in a corresponding decrease in gain on sale income and lower strategic program fees of $5.1 million, or 39.7%, resulting primarily from a decline in loan origination volume. While total interest income increased $3.0 million for the six months ended June 30, 2023 compared to the same period in 2022, an increase of $3.0 million, or 588.7%, in interest expense associated with a shift in our deposit base offset this increase. Partially offsetting the decrease in net income were a reduction in the provision for income taxes of $2.0 million, or 40.0%, as well as an increase in fair value of the Company's investment in BFG.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Interest Margin Analysis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was the primary contributor to our earnings in 2023 and 2022.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2023, our net interest income increased $0.9 million, or 7.1%, to $13.7 million compared to the three months ended June 30, 2022. This increase was primarily due to increases in the Bank’s average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balances on the loans held for investment portfolio, coupled with increasing yields on variable rate interest earning assets due to the rising rate environment, partially offset by increases in the interest rates being paid and average interest-bearing liability balances over the same periods. Our net interest margin decreased to 12.14% for the three months ended June 30, 2023 from 13.69% for the three months ended June 30, 2022. Average interest earning assets increased by $78.7 million, or 21.1%, to $451.9 million for the three months ended June 30, 2023 compared to the three months ended June 30, 2022, while the related yield on average interest earning assets increased by 13 basis points to 14.08%. The cost of funds on interest bearing liabilities for the three months ended June 30, 2023 increased by 325 basis points to 4.01%, and the average balance in interest bearing liabilities increased by $91.5 million, or 71.6%, to $219.3 million compared to the prior year period. The increase in cost of funds was primarily due to rate increases in time deposits. Our net interest margin decreased to 12.14% for the three months ended June 30, 2023 from 13.69% for the three months ended June 30, 2022.</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six months ended June 30, 2023, our net interest income increased $0.1 million, or 0.2%, to $25.8 million compared to the six months ended June 30, 2022. This increase was primarily due to increases in the yields on all interest earnings asset categories and was partially offset by decreases in the loans held-for-sale volume as well as increased rates on our certificate of deposit portfolio. Average interest earning assets increased by $42.0 million, or 11.0%, to $422.4 million for the six months ended June 30, 2023 compared to the six months ended June 30, 2022, while the related yield on average interest earning assets increased by 18 basis points to 13.97%. The cost of funds on interest bearing liabilities for the six months ended June 30, 2023 increased by 288 basis points to 3.65%, and the average balance in interest bearing liabilities increased by $61.9 million, or 47.4%, to $192.5 million compared to the prior year period. The increase in cost of funds was primarily due to rate increases in time deposits as well as volume growth in our interest bearing demand accounts. Our net interest margin decreased to 12.31% for the six months ended June 30, 2023 from 13.53% for the six months ended June 30, 2022.</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Average Balances and Yields</w:t>
      </w:r>
      <w:r>
        <w:rPr>
          <w:rFonts w:ascii="Arial" w:cs="Arial" w:eastAsia="Arial" w:hAnsi="Arial"/>
          <w:sz w:val="18"/>
          <w:szCs w:val="18"/>
          <w:color w:val="auto"/>
        </w:rPr>
        <w:t>. The following table presents average balances for assets and liabilities, the total dollar amounts of interest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average interest-earning assets, the total dollar amounts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Loan fees are included in interest income on loans and represent net fees of approximately $0.2 million (including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SBA fees related to PPP loans) and $0.1 million (including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SBA fees related to PPP loans) for the three months ended June 30, 2023 and 2022, respectively. Loan fees are included in interest income on loans and represent net fees of approximately $0.4 million (including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SBA fees related to PPP loans) and a net cost of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approximately $0.3 million (including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SBA fees related to PPP loans) for the six months ended June 30, 2023 and 2022, respectively. Average balances have been calculated using daily averages.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gridSpan w:val="5"/>
          </w:tcPr>
          <w:p>
            <w:pPr>
              <w:ind w:left="260"/>
              <w:spacing w:after="0"/>
              <w:rPr>
                <w:sz w:val="20"/>
                <w:szCs w:val="20"/>
                <w:color w:val="auto"/>
              </w:rPr>
            </w:pPr>
            <w:r>
              <w:rPr>
                <w:rFonts w:ascii="Arial" w:cs="Arial" w:eastAsia="Arial" w:hAnsi="Arial"/>
                <w:sz w:val="18"/>
                <w:szCs w:val="18"/>
                <w:b w:val="1"/>
                <w:bCs w:val="1"/>
                <w:color w:val="auto"/>
                <w:w w:val="97"/>
              </w:rPr>
              <w:t>Three Months Ended June 30,</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Average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Yield/Rate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3240" w:type="dxa"/>
            <w:vAlign w:val="bottom"/>
            <w:vMerge w:val="restart"/>
          </w:tcPr>
          <w:p>
            <w:pPr>
              <w:ind w:left="20"/>
              <w:spacing w:after="0"/>
              <w:rPr>
                <w:sz w:val="20"/>
                <w:szCs w:val="20"/>
                <w:color w:val="auto"/>
              </w:rPr>
            </w:pPr>
            <w:r>
              <w:rPr>
                <w:rFonts w:ascii="Arial" w:cs="Arial" w:eastAsia="Arial" w:hAnsi="Arial"/>
                <w:sz w:val="18"/>
                <w:szCs w:val="18"/>
                <w:color w:val="auto"/>
              </w:rPr>
              <w:t>Interest earning assets: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bearing deposits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5.07 %</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Loans held for investment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282,686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10,495</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13.53 %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earning assets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451,934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15,869</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13.95 %</w:t>
            </w: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Non-interest earning assets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bearing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Demand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Savings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0.05 %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153,662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1,649</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82,870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deposits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Other borrowings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0.35 %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bearing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0.76 %</w:t>
            </w: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Non-interest bearing deposits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120,359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Non-interest 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1"/>
              </w:rPr>
              <w:t>Net interest income and interest rate spread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13,675</w:t>
            </w: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10.07 %</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12,769</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13.19 %</w:t>
            </w:r>
          </w:p>
        </w:tc>
        <w:tc>
          <w:tcPr>
            <w:tcW w:w="0" w:type="dxa"/>
            <w:vAlign w:val="bottom"/>
          </w:tcPr>
          <w:p>
            <w:pPr>
              <w:spacing w:after="0" w:line="20" w:lineRule="exact"/>
              <w:rPr>
                <w:sz w:val="1"/>
                <w:szCs w:val="1"/>
                <w:color w:val="auto"/>
              </w:rPr>
            </w:pPr>
          </w:p>
        </w:tc>
      </w:tr>
      <w:tr>
        <w:trPr>
          <w:trHeight w:val="217"/>
        </w:trPr>
        <w:tc>
          <w:tcPr>
            <w:tcW w:w="3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interest margin</w:t>
            </w: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12.14 %</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4"/>
              </w:rPr>
              <w:t>Ratio of average interest-earning assets to</w:t>
            </w: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206.04 %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291.99 %</w:t>
            </w:r>
          </w:p>
        </w:tc>
        <w:tc>
          <w:tcPr>
            <w:tcW w:w="0" w:type="dxa"/>
            <w:vAlign w:val="bottom"/>
          </w:tcPr>
          <w:p>
            <w:pPr>
              <w:spacing w:after="0"/>
              <w:rPr>
                <w:sz w:val="1"/>
                <w:szCs w:val="1"/>
                <w:color w:val="auto"/>
              </w:rPr>
            </w:pPr>
          </w:p>
        </w:tc>
      </w:tr>
      <w:tr>
        <w:trPr>
          <w:trHeight w:val="235"/>
        </w:trPr>
        <w:tc>
          <w:tcPr>
            <w:tcW w:w="3240" w:type="dxa"/>
            <w:vAlign w:val="bottom"/>
          </w:tcPr>
          <w:p>
            <w:pPr>
              <w:ind w:left="20"/>
              <w:spacing w:after="0"/>
              <w:rPr>
                <w:sz w:val="20"/>
                <w:szCs w:val="20"/>
                <w:color w:val="auto"/>
              </w:rPr>
            </w:pPr>
            <w:r>
              <w:rPr>
                <w:rFonts w:ascii="Arial" w:cs="Arial" w:eastAsia="Arial" w:hAnsi="Arial"/>
                <w:sz w:val="18"/>
                <w:szCs w:val="18"/>
                <w:color w:val="auto"/>
              </w:rPr>
              <w:t>average interest- bearing liabilities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Six Months Ended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Average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Yield/Rate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bearing deposits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80,962</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0.33 %</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11,552</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38.51 %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84,650</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30.04 %</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Loans held for investment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271,095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19,775</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14.71 %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203,282</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13,306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13.09 %</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earning assets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422,429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29,270</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13.97 %</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380,446</w:t>
            </w: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13.79 %</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color w:val="auto"/>
              </w:rPr>
              <w:t>Non-interest earning assets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22,392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18,483</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398,929</w:t>
            </w: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bearing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Demand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Savings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0.53 %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7,056</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0.06 %</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30,596</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0.28 %</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2,489</w:t>
            </w: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85,235</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0.98 %</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deposits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129,856</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0.78 %</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Other borrowings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0.35 %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0.35 %</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bearing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130,648</w:t>
            </w: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0.77 %</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color w:val="auto"/>
              </w:rPr>
              <w:t>Non-interest bearing deposits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93,489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129,014</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Non-interest bearing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123,637</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Total liabilities and shareholders’ equity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398,929</w:t>
            </w: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interest income and interest rate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25,781</w:t>
            </w: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10.32 %</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25,730</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13.02 %</w:t>
            </w:r>
          </w:p>
        </w:tc>
        <w:tc>
          <w:tcPr>
            <w:tcW w:w="0" w:type="dxa"/>
            <w:vAlign w:val="bottom"/>
          </w:tcPr>
          <w:p>
            <w:pPr>
              <w:spacing w:after="0" w:line="20" w:lineRule="exact"/>
              <w:rPr>
                <w:sz w:val="1"/>
                <w:szCs w:val="1"/>
                <w:color w:val="auto"/>
              </w:rPr>
            </w:pPr>
          </w:p>
        </w:tc>
      </w:tr>
      <w:tr>
        <w:trPr>
          <w:trHeight w:val="176"/>
        </w:trPr>
        <w:tc>
          <w:tcPr>
            <w:tcW w:w="2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spread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$25,730</w:t>
            </w: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interest margin</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12.31 %</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13.53 %</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2"/>
              </w:rPr>
              <w:t>Ratio of average interest-earning assets</w:t>
            </w: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219.39 %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291.20 %</w:t>
            </w:r>
          </w:p>
        </w:tc>
        <w:tc>
          <w:tcPr>
            <w:tcW w:w="0" w:type="dxa"/>
            <w:vAlign w:val="bottom"/>
          </w:tcPr>
          <w:p>
            <w:pPr>
              <w:spacing w:after="0"/>
              <w:rPr>
                <w:sz w:val="1"/>
                <w:szCs w:val="1"/>
                <w:color w:val="auto"/>
              </w:rPr>
            </w:pPr>
          </w:p>
        </w:tc>
      </w:tr>
      <w:tr>
        <w:trPr>
          <w:trHeight w:val="235"/>
        </w:trPr>
        <w:tc>
          <w:tcPr>
            <w:tcW w:w="2980" w:type="dxa"/>
            <w:vAlign w:val="bottom"/>
          </w:tcPr>
          <w:p>
            <w:pPr>
              <w:ind w:left="20"/>
              <w:spacing w:after="0"/>
              <w:rPr>
                <w:sz w:val="20"/>
                <w:szCs w:val="20"/>
                <w:color w:val="auto"/>
              </w:rPr>
            </w:pPr>
            <w:r>
              <w:rPr>
                <w:rFonts w:ascii="Arial" w:cs="Arial" w:eastAsia="Arial" w:hAnsi="Arial"/>
                <w:sz w:val="18"/>
                <w:szCs w:val="18"/>
                <w:color w:val="auto"/>
              </w:rPr>
              <w:t>to average interest- bearing liabilities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right"/>
              <w:ind w:right="97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Rate/Volume Analysis. </w:t>
      </w:r>
      <w:r>
        <w:rPr>
          <w:rFonts w:ascii="Arial" w:cs="Arial" w:eastAsia="Arial" w:hAnsi="Arial"/>
          <w:sz w:val="18"/>
          <w:szCs w:val="18"/>
          <w:color w:val="auto"/>
        </w:rPr>
        <w:t>The following table sets forth the effects of changing rates and volumes on our net interest income based on average balances.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4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0"/>
              </w:rPr>
              <w:t>Three Months Ended June 30,</w:t>
            </w:r>
          </w:p>
        </w:tc>
        <w:tc>
          <w:tcPr>
            <w:tcW w:w="240" w:type="dxa"/>
            <w:vAlign w:val="bottom"/>
          </w:tcPr>
          <w:p>
            <w:pPr>
              <w:spacing w:after="0"/>
              <w:rPr>
                <w:sz w:val="20"/>
                <w:szCs w:val="20"/>
                <w:color w:val="auto"/>
              </w:rPr>
            </w:pPr>
          </w:p>
        </w:tc>
        <w:tc>
          <w:tcPr>
            <w:tcW w:w="336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2023 vs 2022</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2023 vs 2022</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6"/>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center"/>
              <w:ind w:left="410"/>
              <w:spacing w:after="0"/>
              <w:rPr>
                <w:sz w:val="20"/>
                <w:szCs w:val="20"/>
                <w:color w:val="auto"/>
              </w:rPr>
            </w:pPr>
            <w:r>
              <w:rPr>
                <w:rFonts w:ascii="Arial" w:cs="Arial" w:eastAsia="Arial" w:hAnsi="Arial"/>
                <w:sz w:val="18"/>
                <w:szCs w:val="18"/>
                <w:b w:val="1"/>
                <w:bCs w:val="1"/>
                <w:color w:val="auto"/>
                <w:w w:val="88"/>
              </w:rPr>
              <w:t>Increase (Decrease) Due to</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88"/>
              </w:rPr>
              <w:t>Increase (Decrease) Due to</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Change in:</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Change in:</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Rate</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Volume</w:t>
            </w:r>
          </w:p>
        </w:tc>
        <w:tc>
          <w:tcPr>
            <w:tcW w:w="38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Rate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Volume</w:t>
            </w: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
        </w:trPr>
        <w:tc>
          <w:tcPr>
            <w:tcW w:w="3940" w:type="dxa"/>
            <w:vAlign w:val="bottom"/>
            <w:vMerge w:val="restart"/>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Interest-bearing deposits with the Federal Reserve,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non-U.S. central banks and other banks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Investment securities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held-for-sale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Loans held for investment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6,469</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Demand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Savings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borrowings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Total interest bearing liabilities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interest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2023, the Company adopted ASU 2016-13, </w:t>
      </w:r>
      <w:r>
        <w:rPr>
          <w:rFonts w:ascii="Arial" w:cs="Arial" w:eastAsia="Arial" w:hAnsi="Arial"/>
          <w:sz w:val="18"/>
          <w:szCs w:val="18"/>
          <w:i w:val="1"/>
          <w:iCs w:val="1"/>
          <w:color w:val="auto"/>
        </w:rPr>
        <w:t>Topic 326</w:t>
      </w:r>
      <w:r>
        <w:rPr>
          <w:rFonts w:ascii="Arial" w:cs="Arial" w:eastAsia="Arial" w:hAnsi="Arial"/>
          <w:sz w:val="18"/>
          <w:szCs w:val="18"/>
          <w:color w:val="auto"/>
        </w:rPr>
        <w:t xml:space="preserve"> which replaced the incurred loss methodology, allowance for loan losses ("ALL"), with CECL for financial instruments measured at amortized cost and other commitments to extend credit. The provision for credit losses is a charge to income to bring our allowance for credit losses ("ACL") to a level deemed appropriate by management and approved by our board of directors. We determine the provision for credit losses monthly in connection with our evaluation of the adequacy of our ACL. For a description of the factors we considered in determining the ACL see Recently adopted accounting pronouncements - Allowance for Credit Losses presented in Note 1 - "Summary of Significant Accounting Policies" in Part I, Item 1 of this Report.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provision for credit losses was $2.7 million and $2.9 million for the three months ended June 30, 2023 and 2022, respectively. Our provision for credit losses was $5.4 million and $5.9 million for the six months ended June 30, 2023 and 2022, respectively. The slight decrease from the prior periods was primarily due to a decrease in strategic program loans held for investment, although the provision for the prior year period was calculated under the incurred loss model rather than the current expected credit loss methodology as required under ASU 2016-13 and is not necessarily comparable to the provisions charged in 2023.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largest portion of our noninterest income is associated with our Strategic Program fees. Other sources of noninterest income include gain on sale of loans, SBA loan servicing fees, change in fair value on investment in BFG and other miscellaneous income.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Noninterest income:</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Strategic Program fees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Gain on sale of loans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(71.0 %)</w:t>
            </w:r>
          </w:p>
        </w:tc>
      </w:tr>
      <w:tr>
        <w:trPr>
          <w:trHeight w:val="27"/>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 loan servicing fees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Change in fair value on investment in BFG</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(120.9 %)</w:t>
            </w:r>
          </w:p>
        </w:tc>
      </w:tr>
      <w:tr>
        <w:trPr>
          <w:trHeight w:val="27"/>
        </w:trPr>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miscellaneous income</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510.7 %</w:t>
            </w: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8,431</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(37.3 %)</w:t>
            </w:r>
          </w:p>
        </w:tc>
      </w:tr>
      <w:tr>
        <w:trPr>
          <w:trHeight w:val="21"/>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three months ended June 30, 2023, total noninterest income decreased $3.1 million, or 37.3%, to $5.3 million compared to the three months ended June 30, 2022. This decrease was primarily due to lower strategic program fees of $2.2 million, or 34.8%, primarily resulting from a decline in loan origination volume and a $1.7 million, or 71.0%, reduction in the gain on sale of loans primarily attributable to the Company's increased retention of the guaranteed portion of SBA loans the Company originates to increase interest income which resulted in a corresponding decrease in gain on sale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ind w:left="180"/>
              <w:spacing w:after="0"/>
              <w:rPr>
                <w:sz w:val="20"/>
                <w:szCs w:val="20"/>
                <w:color w:val="auto"/>
              </w:rPr>
            </w:pPr>
            <w:r>
              <w:rPr>
                <w:rFonts w:ascii="Arial" w:cs="Arial" w:eastAsia="Arial" w:hAnsi="Arial"/>
                <w:sz w:val="18"/>
                <w:szCs w:val="18"/>
                <w:b w:val="1"/>
                <w:bCs w:val="1"/>
                <w:color w:val="auto"/>
              </w:rPr>
              <w:t>For the Six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Noninterest income:</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Strategic Program fees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Gain on sale of loans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7,464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(88.1 %)</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 loan servicing fees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Change in fair value on investment in BFG</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(103.6 %)</w:t>
            </w: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miscellaneous income</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592.6 %</w:t>
            </w: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color w:val="auto"/>
              </w:rPr>
              <w:t>Total noninterest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20,113</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(51.2 %)</w:t>
            </w: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six months ended June 30, 2023, total noninterest income decreased $10.3 million, or 51.2%, to $9.8 million compared to the six months ended June 30, 2022. This decrease was primarily due to a $6.6 million, or 88.1%, reduction in the gain on sale of loans primarily attributable to the Company's increased retention of the guaranteed portion of SBA loans the Company originates to increase interest income which resulted in a corresponding decrease in gain on sale income and lower strategic program fees of $5.1 million, or 39.7%, primarily resulting from a decline in loan origination volume.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i w:val="1"/>
                <w:iCs w:val="1"/>
                <w:color w:val="auto"/>
              </w:rPr>
              <w:t>Noninterest Expense</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8020" w:type="dxa"/>
            <w:vAlign w:val="bottom"/>
            <w:gridSpan w:val="7"/>
          </w:tcPr>
          <w:p>
            <w:pPr>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7"/>
        </w:trPr>
        <w:tc>
          <w:tcPr>
            <w:tcW w:w="4940" w:type="dxa"/>
            <w:vAlign w:val="bottom"/>
          </w:tcPr>
          <w:p>
            <w:pPr>
              <w:spacing w:after="0"/>
              <w:rPr>
                <w:sz w:val="24"/>
                <w:szCs w:val="24"/>
                <w:color w:val="auto"/>
              </w:rPr>
            </w:pPr>
          </w:p>
        </w:tc>
        <w:tc>
          <w:tcPr>
            <w:tcW w:w="3080" w:type="dxa"/>
            <w:vAlign w:val="bottom"/>
            <w:gridSpan w:val="6"/>
          </w:tcPr>
          <w:p>
            <w:pPr>
              <w:ind w:left="380"/>
              <w:spacing w:after="0"/>
              <w:rPr>
                <w:sz w:val="20"/>
                <w:szCs w:val="20"/>
                <w:color w:val="auto"/>
              </w:rPr>
            </w:pPr>
            <w:r>
              <w:rPr>
                <w:rFonts w:ascii="Arial" w:cs="Arial" w:eastAsia="Arial" w:hAnsi="Arial"/>
                <w:sz w:val="18"/>
                <w:szCs w:val="18"/>
                <w:b w:val="1"/>
                <w:bCs w:val="1"/>
                <w:color w:val="auto"/>
              </w:rPr>
              <w:t>For the Three Months Ended</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940" w:type="dxa"/>
            <w:vAlign w:val="bottom"/>
          </w:tcPr>
          <w:p>
            <w:pPr>
              <w:spacing w:after="0"/>
              <w:rPr>
                <w:sz w:val="20"/>
                <w:szCs w:val="20"/>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9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9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and employee benefits</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6,681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7"/>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equipment expenses</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(Recovery) impairment of SBA servicing asset</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(129.9 %)</w:t>
            </w:r>
          </w:p>
        </w:tc>
      </w:tr>
      <w:tr>
        <w:trPr>
          <w:trHeight w:val="27"/>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1,634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color w:val="auto"/>
              </w:rPr>
              <w:t>Total noninterest expense</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9,999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11,019</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(9.3 %)</w:t>
            </w:r>
          </w:p>
        </w:tc>
      </w:tr>
      <w:tr>
        <w:trPr>
          <w:trHeight w:val="21"/>
        </w:trPr>
        <w:tc>
          <w:tcPr>
            <w:tcW w:w="4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2023, total noninterest expense decreased $1.0 million, or 9.3%, to $10.0 million compared to the three months ended June 30, 2022. This decrease was primarily due to a recovery on the SBA servicing asset during 2023 which did not occur in the prior year period and was offset by increases in other miscellaneous 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5"/>
          </w:tcPr>
          <w:p>
            <w:pPr>
              <w:ind w:left="200"/>
              <w:spacing w:after="0"/>
              <w:rPr>
                <w:sz w:val="20"/>
                <w:szCs w:val="20"/>
                <w:color w:val="auto"/>
              </w:rPr>
            </w:pPr>
            <w:r>
              <w:rPr>
                <w:rFonts w:ascii="Arial" w:cs="Arial" w:eastAsia="Arial" w:hAnsi="Arial"/>
                <w:sz w:val="18"/>
                <w:szCs w:val="18"/>
                <w:b w:val="1"/>
                <w:bCs w:val="1"/>
                <w:color w:val="auto"/>
              </w:rPr>
              <w:t>For the Six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and employee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29.6 %</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equipment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74.1 %</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(Recovery) impairment of SBA servicing asset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(155.0 %)</w:t>
            </w:r>
          </w:p>
        </w:tc>
      </w:tr>
      <w:tr>
        <w:trPr>
          <w:trHeight w:val="27"/>
        </w:trPr>
        <w:tc>
          <w:tcPr>
            <w:tcW w:w="4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28.3 %</w:t>
            </w:r>
          </w:p>
        </w:tc>
      </w:tr>
      <w:tr>
        <w:trPr>
          <w:trHeight w:val="264"/>
        </w:trPr>
        <w:tc>
          <w:tcPr>
            <w:tcW w:w="4920" w:type="dxa"/>
            <w:vAlign w:val="bottom"/>
          </w:tcPr>
          <w:p>
            <w:pPr>
              <w:ind w:left="20"/>
              <w:spacing w:after="0"/>
              <w:rPr>
                <w:sz w:val="20"/>
                <w:szCs w:val="20"/>
                <w:color w:val="auto"/>
              </w:rPr>
            </w:pPr>
            <w:r>
              <w:rPr>
                <w:rFonts w:ascii="Arial" w:cs="Arial" w:eastAsia="Arial" w:hAnsi="Arial"/>
                <w:sz w:val="18"/>
                <w:szCs w:val="18"/>
                <w:color w:val="auto"/>
              </w:rPr>
              <w:t>Total noninterest expense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20,067</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(6.6 %)</w:t>
            </w:r>
          </w:p>
        </w:tc>
      </w:tr>
      <w:tr>
        <w:trPr>
          <w:trHeight w:val="20"/>
        </w:trPr>
        <w:tc>
          <w:tcPr>
            <w:tcW w:w="4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six months ended June 30, 2023, total noninterest expense decreased $1.3 million, or 6.6%, to $18.7 million compared to the six months ended June 30, 2022. This decrease was primarily due to a recovery on the SBA servicing asset during 2023 which did not occur in the prior year period as well as a decrease in salaries and employee benefits of $1.6 million, or 11.9%, due mainly to the cessation in June 2022 of commission accruals related to the Company’s strategic lending program. Partially offsetting these decreases were increases in professional services due to an increase in consulting fees, occupancy and equipment expenses and other miscellaneous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selected components of the Company’s consolidated balance sheets as of June 30, 2023 and December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3"/>
          </w:tcPr>
          <w:p>
            <w:pPr>
              <w:ind w:left="720"/>
              <w:spacing w:after="0"/>
              <w:rPr>
                <w:sz w:val="20"/>
                <w:szCs w:val="20"/>
                <w:color w:val="auto"/>
              </w:rPr>
            </w:pPr>
            <w:r>
              <w:rPr>
                <w:rFonts w:ascii="Arial" w:cs="Arial" w:eastAsia="Arial" w:hAnsi="Arial"/>
                <w:sz w:val="18"/>
                <w:szCs w:val="18"/>
                <w:b w:val="1"/>
                <w:bCs w:val="1"/>
                <w:color w:val="auto"/>
              </w:rPr>
              <w:t>Change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300" w:type="dxa"/>
            <w:vAlign w:val="bottom"/>
          </w:tcPr>
          <w:p>
            <w:pPr>
              <w:spacing w:after="0"/>
              <w:rPr>
                <w:sz w:val="20"/>
                <w:szCs w:val="20"/>
                <w:color w:val="auto"/>
              </w:rPr>
            </w:pPr>
          </w:p>
        </w:tc>
        <w:tc>
          <w:tcPr>
            <w:tcW w:w="18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2023</w:t>
            </w:r>
          </w:p>
        </w:tc>
        <w:tc>
          <w:tcPr>
            <w:tcW w:w="24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2022</w:t>
            </w:r>
          </w:p>
        </w:tc>
        <w:tc>
          <w:tcPr>
            <w:tcW w:w="340" w:type="dxa"/>
            <w:vAlign w:val="bottom"/>
          </w:tcPr>
          <w:p>
            <w:pPr>
              <w:spacing w:after="0"/>
              <w:rPr>
                <w:sz w:val="20"/>
                <w:szCs w:val="20"/>
                <w:color w:val="auto"/>
              </w:rPr>
            </w:pPr>
          </w:p>
        </w:tc>
        <w:tc>
          <w:tcPr>
            <w:tcW w:w="8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4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495,625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400,780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Investment securities held to maturity, at cost</w:t>
            </w:r>
          </w:p>
        </w:tc>
        <w:tc>
          <w:tcPr>
            <w:tcW w:w="30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14,403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14,292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277,663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224,217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332,530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242,998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89,532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36.8 %</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PPP Liquidity Facility</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(19.8 %)</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147,448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140,459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to 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160" w:type="dxa"/>
            <w:vAlign w:val="bottom"/>
          </w:tcPr>
          <w:p>
            <w:pPr>
              <w:ind w:left="20"/>
              <w:spacing w:after="0"/>
              <w:rPr>
                <w:sz w:val="20"/>
                <w:szCs w:val="20"/>
                <w:color w:val="auto"/>
              </w:rPr>
            </w:pPr>
            <w:r>
              <w:rPr>
                <w:rFonts w:ascii="Arial" w:cs="Arial" w:eastAsia="Arial" w:hAnsi="Arial"/>
                <w:sz w:val="18"/>
                <w:szCs w:val="18"/>
                <w:color w:val="auto"/>
              </w:rPr>
              <w:t>Weighted average shares outstanding, basic</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12,655,605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12,729,898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diluted</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13,080,620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13,357,022</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 Average shares presented for June 30, 2023 and December 31, 2022 represent the six months ended and year ended.</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assets at June 30, 2023 were $495.6 million, an increase of $94.8 million from December 31, 2022. The increase in total assets was due primarily to increases in loans receivable, net, of $53.4 million, Strategic Program loans held-for-sale of $18.8 million and cash and due from banks of $18.5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Portfolio</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SBA 7(a) Loans</w:t>
      </w:r>
    </w:p>
    <w:p>
      <w:pPr>
        <w:spacing w:after="0" w:line="19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originate and service loans partially guaranteed by the SBA under its Section 7(a) loan program. SBA 7(a) loans are made to small businesses and professionals throughout the USA. As of June 30, 2023 and December 31, 2022, we had total SBA 7(a) loans of $189.0 million and $145.2 million, respectively, representing 65.0% and 61.3% of our total loans held for investment,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retaining a larger amount of the guaranteed portion of these loans. In light of suppressed gain-on-sale premiums and increasing variable loan rates during 2023, we retained on our balance sheet a greater percentage of the guaranteed portion of certain SBA loans that we originated than we have historically, which we believe will benefit the Company through stronger government guaranteed held for investment loan growth and an increased recurring stream of interest income and partially offset the decline in gain-on-sale revenue.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non-real estate</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Commercial non-real estate loans consist of loans and leases made to commercial enterprises that are not secured by real estate. As of June 30, 2023 and December 31, 2022, we had total commercial non-real estate loans of $24.9 million and $11.5 million, respectively, representing 8.5% and 4.9% of our total loans held for investment, respectively. Any loan, lease,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Residential real estate</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June 30, 2023 and December 31, 2022, we had total residential real estate loans of $30.4 million and $37.8 million, respectively, representing 10.5% and 16.0% of our total loans held for 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Program loans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through our Strategic Program service providers, issue, on a nationwide basis, unsecured consumer and secured or unsecured business loans to borrowers within certain approved credit profiles. Although we have generally sold most of these loans, we may choose to hold more of the funded loans and/or receivables based on a number of factors including the amount of our available capital. As of June 30, 2023 and December 31, 2022, we had total Strategic Program loans held for investment of $20.7 million and $24.3 million, respectively, representing 7.1% and 10.2% of our total loans held for investment, respectively. Loans originated through these programs are limited to predetermined Bank underwriting criterion, which has been approved by our board of directors. The primary form of repayment on these loans is from personal or business cash flow. Business loans may be secured by liens on business assets, as applicable. We 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real estate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Commercial real estate loans include loans to individuals, sole proprietorships, partnerships, corporations, or other business enterprises for commercial, industrial, agricultural, or professional purposes, secured by real estate primarily located in the Salt Lake City, Utah MSA, but not for personal expenditure purposes. As of June 30, 2023 and December 31, 2022, we had total commercial real estate loans of $18.7 million and $12.1 million, respectively, representing 6.4% and 5.2% of our total loans held for investment,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Consumer</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June 30, 2023 and December 31, 2022, we had total consumer loans of $7.0 million and $5.8 million, respectively, representing 2.5% and 2.4% of our total loans held for investment,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Portfolio Program Summary</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our diversification efforts, we have built an SBA 7(a) portfolio that we believe positions us to withstand economic shifts. For example, we focus on industries and loan types that have historically lower loss rates such as non-store retailers (e-commerce), ambulatory healthcare services, professional, scientific and technical services (including law firms), and merchant wholesalers.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loan portfolio held for investment by loan program as of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4"/>
          </w:tcPr>
          <w:p>
            <w:pPr>
              <w:ind w:left="580"/>
              <w:spacing w:after="0"/>
              <w:rPr>
                <w:sz w:val="20"/>
                <w:szCs w:val="20"/>
                <w:color w:val="auto"/>
              </w:rPr>
            </w:pPr>
            <w:r>
              <w:rPr>
                <w:rFonts w:ascii="Arial" w:cs="Arial" w:eastAsia="Arial" w:hAnsi="Arial"/>
                <w:sz w:val="18"/>
                <w:szCs w:val="18"/>
                <w:b w:val="1"/>
                <w:bCs w:val="1"/>
                <w:color w:val="auto"/>
              </w:rPr>
              <w:t>As of June 30, 2023</w:t>
            </w:r>
          </w:p>
        </w:tc>
        <w:tc>
          <w:tcPr>
            <w:tcW w:w="260" w:type="dxa"/>
            <w:vAlign w:val="bottom"/>
          </w:tcPr>
          <w:p>
            <w:pPr>
              <w:spacing w:after="0"/>
              <w:rPr>
                <w:sz w:val="20"/>
                <w:szCs w:val="20"/>
                <w:color w:val="auto"/>
              </w:rPr>
            </w:pPr>
          </w:p>
        </w:tc>
        <w:tc>
          <w:tcPr>
            <w:tcW w:w="28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As of December 31, 2022</w:t>
            </w:r>
          </w:p>
        </w:tc>
      </w:tr>
      <w:tr>
        <w:trPr>
          <w:trHeight w:val="27"/>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ind w:left="620"/>
              <w:spacing w:after="0"/>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ind w:left="620"/>
              <w:spacing w:after="0"/>
              <w:rPr>
                <w:sz w:val="20"/>
                <w:szCs w:val="20"/>
                <w:color w:val="auto"/>
              </w:rPr>
            </w:pPr>
            <w:r>
              <w:rPr>
                <w:rFonts w:ascii="Arial" w:cs="Arial" w:eastAsia="Arial" w:hAnsi="Arial"/>
                <w:sz w:val="18"/>
                <w:szCs w:val="18"/>
                <w:b w:val="1"/>
                <w:bCs w:val="1"/>
                <w:color w:val="auto"/>
              </w:rPr>
              <w:t>% of</w:t>
            </w:r>
          </w:p>
        </w:tc>
      </w:tr>
      <w:tr>
        <w:trPr>
          <w:trHeight w:val="216"/>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ind w:left="6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ind w:left="620"/>
              <w:spacing w:after="0"/>
              <w:rPr>
                <w:sz w:val="20"/>
                <w:szCs w:val="20"/>
                <w:color w:val="auto"/>
              </w:rPr>
            </w:pPr>
            <w:r>
              <w:rPr>
                <w:rFonts w:ascii="Arial" w:cs="Arial" w:eastAsia="Arial" w:hAnsi="Arial"/>
                <w:sz w:val="18"/>
                <w:szCs w:val="18"/>
                <w:b w:val="1"/>
                <w:bCs w:val="1"/>
                <w:color w:val="auto"/>
              </w:rPr>
              <w:t>total</w:t>
            </w:r>
          </w:p>
        </w:tc>
      </w:tr>
      <w:tr>
        <w:trPr>
          <w:trHeight w:val="234"/>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($s in thousands)</w:t>
            </w: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700" w:type="dxa"/>
            <w:vAlign w:val="bottom"/>
            <w:gridSpan w:val="2"/>
          </w:tcPr>
          <w:p>
            <w:pPr>
              <w:ind w:left="600"/>
              <w:spacing w:after="0"/>
              <w:rPr>
                <w:sz w:val="20"/>
                <w:szCs w:val="20"/>
                <w:color w:val="auto"/>
              </w:rPr>
            </w:pPr>
            <w:r>
              <w:rPr>
                <w:rFonts w:ascii="Arial" w:cs="Arial" w:eastAsia="Arial" w:hAnsi="Arial"/>
                <w:sz w:val="18"/>
                <w:szCs w:val="18"/>
                <w:b w:val="1"/>
                <w:bCs w:val="1"/>
                <w:color w:val="auto"/>
              </w:rPr>
              <w:t>loans</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ind w:left="600"/>
              <w:spacing w:after="0"/>
              <w:rPr>
                <w:sz w:val="20"/>
                <w:szCs w:val="20"/>
                <w:color w:val="auto"/>
              </w:rPr>
            </w:pPr>
            <w:r>
              <w:rPr>
                <w:rFonts w:ascii="Arial" w:cs="Arial" w:eastAsia="Arial" w:hAnsi="Arial"/>
                <w:sz w:val="18"/>
                <w:szCs w:val="18"/>
                <w:b w:val="1"/>
                <w:bCs w:val="1"/>
                <w:color w:val="auto"/>
              </w:rPr>
              <w:t>loans</w:t>
            </w: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4860" w:type="dxa"/>
            <w:vAlign w:val="bottom"/>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SBA</w:t>
            </w:r>
            <w:r>
              <w:rPr>
                <w:rFonts w:ascii="Arial" w:cs="Arial" w:eastAsia="Arial" w:hAnsi="Arial"/>
                <w:sz w:val="11"/>
                <w:szCs w:val="11"/>
                <w:color w:val="auto"/>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189,028</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145,172</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61.3 %</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Commercial, non real estate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24,851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11,484</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37,815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20,732</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24,259</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6,993</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5,808</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290,659</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236,601</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260" w:hanging="252"/>
        <w:spacing w:after="0" w:line="263" w:lineRule="auto"/>
        <w:tabs>
          <w:tab w:leader="none" w:pos="2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SBA loans as of June 30, 2023 and December 31, 2022 includes approximately $0.5 million and $0.6 million of PPP loans. SBA loans as of June 30, 2023 and December 31, 2022 include $85.5 million and $49.5 million, respectively, of SBA 7(a) loan balances that are guaranteed by the SBA.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Maturity and Sensitivity to Changes in Interest Rates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2023, including the impact of PPP loans, $147.9 million, or 50.9%, of the total held for investment loan balance matures in less than five years. Loans maturing in greater than five years totaled $142.7 million as of June 30, 2023. The variable rate portion of our total held for investment loan portfolio at June 30, 2023 was $223.4 million, or 76.9%. As of December 31, 2022, including the impact of PPP loans, $131.4 million, or 55.5%, of the total held for investment loan balance matures in less than five years. Loans maturing in greater than five years totaled $105.2 million as of December 31, 2022. The variable rate portion of our total held for investment loan portfolio at December 31, 2022 was $184.3 million, or 77.9%. The variable rate portion of the total held for investment loans reflects our strategy to minimize interest rate risk through the use of variable rate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maturities and sensitivity to interest rate changes for our loan portfolio at June 30,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As of June 30, 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0" w:type="dxa"/>
            <w:vAlign w:val="bottom"/>
            <w:gridSpan w:val="15"/>
          </w:tcPr>
          <w:p>
            <w:pPr>
              <w:ind w:left="180"/>
              <w:spacing w:after="0"/>
              <w:rPr>
                <w:sz w:val="20"/>
                <w:szCs w:val="20"/>
                <w:color w:val="auto"/>
              </w:rPr>
            </w:pPr>
            <w:r>
              <w:rPr>
                <w:rFonts w:ascii="Arial" w:cs="Arial" w:eastAsia="Arial" w:hAnsi="Arial"/>
                <w:sz w:val="18"/>
                <w:szCs w:val="18"/>
                <w:b w:val="1"/>
                <w:bCs w:val="1"/>
                <w:color w:val="auto"/>
              </w:rPr>
              <w:t>Remaining Contractual Maturity Held for Investment</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5"/>
              </w:rPr>
              <w:t>After One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After Five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Year and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Years and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One Year</w:t>
            </w:r>
          </w:p>
        </w:tc>
        <w:tc>
          <w:tcPr>
            <w:tcW w:w="18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5"/>
              </w:rPr>
              <w:t>Average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Through</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Through</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4"/>
              </w:rPr>
              <w:t>or Less</w:t>
            </w:r>
          </w:p>
        </w:tc>
        <w:tc>
          <w:tcPr>
            <w:tcW w:w="12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Yield/Rate</w:t>
            </w:r>
          </w:p>
        </w:tc>
        <w:tc>
          <w:tcPr>
            <w:tcW w:w="100" w:type="dxa"/>
            <w:vAlign w:val="bottom"/>
          </w:tcPr>
          <w:p>
            <w:pPr>
              <w:spacing w:after="0"/>
              <w:rPr>
                <w:sz w:val="20"/>
                <w:szCs w:val="20"/>
                <w:color w:val="auto"/>
              </w:rPr>
            </w:pPr>
          </w:p>
        </w:tc>
        <w:tc>
          <w:tcPr>
            <w:tcW w:w="11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8"/>
              </w:rPr>
              <w:t>Five Years</w:t>
            </w:r>
          </w:p>
        </w:tc>
        <w:tc>
          <w:tcPr>
            <w:tcW w:w="60" w:type="dxa"/>
            <w:vAlign w:val="bottom"/>
          </w:tcPr>
          <w:p>
            <w:pPr>
              <w:spacing w:after="0"/>
              <w:rPr>
                <w:sz w:val="20"/>
                <w:szCs w:val="20"/>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8"/>
              </w:rPr>
              <w:t>Yield/Rate</w:t>
            </w: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Fifteen Years</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3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Fixed rate loans:</w:t>
            </w: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SBA</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2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5,104</w:t>
            </w: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6.24 %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17,462</w:t>
            </w:r>
          </w:p>
        </w:tc>
        <w:tc>
          <w:tcPr>
            <w:tcW w:w="16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6.41 %</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2,274</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7.18 %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6.06 %</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6.47 %</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14,833</w:t>
            </w: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119.51 %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5,898</w:t>
            </w:r>
          </w:p>
        </w:tc>
        <w:tc>
          <w:tcPr>
            <w:tcW w:w="16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65.35 %</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23.74 %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6.22 %</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7.30 %</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2,224</w:t>
            </w: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7.69 %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4,318</w:t>
            </w:r>
          </w:p>
        </w:tc>
        <w:tc>
          <w:tcPr>
            <w:tcW w:w="16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8.03 %</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11.19 %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Variable rate loans: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11,651</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10.27 %</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46,372</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10.27 %</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79,618</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19,078</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8.89 %</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9.40 %</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9.90 %</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10.07 %</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2.82 %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0.47 %</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64,524</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33.97 %</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83,399</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12.92 %</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88,016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0" w:type="dxa"/>
            <w:vAlign w:val="bottom"/>
          </w:tcPr>
          <w:p>
            <w:pPr>
              <w:spacing w:after="0"/>
              <w:rPr>
                <w:sz w:val="1"/>
                <w:szCs w:val="1"/>
                <w:color w:val="auto"/>
              </w:rPr>
            </w:pPr>
          </w:p>
        </w:tc>
      </w:tr>
      <w:tr>
        <w:trPr>
          <w:trHeight w:val="540"/>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As of June 30, 2023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gridSpan w:val="15"/>
          </w:tcPr>
          <w:p>
            <w:pPr>
              <w:jc w:val="center"/>
              <w:ind w:right="120"/>
              <w:spacing w:after="0"/>
              <w:rPr>
                <w:sz w:val="20"/>
                <w:szCs w:val="20"/>
                <w:color w:val="auto"/>
              </w:rPr>
            </w:pPr>
            <w:r>
              <w:rPr>
                <w:rFonts w:ascii="Arial" w:cs="Arial" w:eastAsia="Arial" w:hAnsi="Arial"/>
                <w:sz w:val="18"/>
                <w:szCs w:val="18"/>
                <w:b w:val="1"/>
                <w:bCs w:val="1"/>
                <w:color w:val="auto"/>
                <w:w w:val="93"/>
              </w:rPr>
              <w:t>Remaining Contractual Maturity Held for Investment</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After Fifteen</w:t>
            </w:r>
          </w:p>
        </w:tc>
        <w:tc>
          <w:tcPr>
            <w:tcW w:w="1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Average</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Yield/Rate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Yield/Rate</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Fixed rate loans:</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SBA</w:t>
            </w:r>
            <w:r>
              <w:rPr>
                <w:rFonts w:ascii="Arial" w:cs="Arial" w:eastAsia="Arial" w:hAnsi="Arial"/>
                <w:sz w:val="23"/>
                <w:szCs w:val="23"/>
                <w:color w:val="auto"/>
                <w:vertAlign w:val="superscript"/>
              </w:rPr>
              <w:t>(1)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9.75 %</w:t>
            </w:r>
          </w:p>
        </w:tc>
        <w:tc>
          <w:tcPr>
            <w:tcW w:w="1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3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4.70 %</w:t>
            </w: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3.77 %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24,851</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6.44 %</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4.48 %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130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6.21 %</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20,732</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104.10 %</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3.60 %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30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6.54 %</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6,580</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7.93 %</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Variable rate loans: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50,481</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9.85 %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188,122</w:t>
            </w:r>
          </w:p>
        </w:tc>
        <w:tc>
          <w:tcPr>
            <w:tcW w:w="130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10.08 %</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ind w:right="55"/>
              <w:spacing w:after="0"/>
              <w:rPr>
                <w:sz w:val="20"/>
                <w:szCs w:val="20"/>
                <w:color w:val="auto"/>
              </w:rPr>
            </w:pPr>
            <w:r>
              <w:rPr>
                <w:rFonts w:ascii="Arial" w:cs="Arial" w:eastAsia="Arial" w:hAnsi="Arial"/>
                <w:sz w:val="18"/>
                <w:szCs w:val="18"/>
                <w:color w:val="auto"/>
              </w:rPr>
              <w:t>— %</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20,464</w:t>
            </w:r>
          </w:p>
        </w:tc>
        <w:tc>
          <w:tcPr>
            <w:tcW w:w="130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8.92 %</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ind w:right="55"/>
              <w:spacing w:after="0"/>
              <w:rPr>
                <w:sz w:val="20"/>
                <w:szCs w:val="20"/>
                <w:color w:val="auto"/>
              </w:rPr>
            </w:pPr>
            <w:r>
              <w:rPr>
                <w:rFonts w:ascii="Arial" w:cs="Arial" w:eastAsia="Arial" w:hAnsi="Arial"/>
                <w:sz w:val="18"/>
                <w:szCs w:val="18"/>
                <w:color w:val="auto"/>
              </w:rPr>
              <w:t>— %</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4,071</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9.83 %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14,431</w:t>
            </w:r>
          </w:p>
        </w:tc>
        <w:tc>
          <w:tcPr>
            <w:tcW w:w="130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9.93 %</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1.05 %</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54,720</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9.85 %</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290,659</w:t>
            </w:r>
          </w:p>
        </w:tc>
        <w:tc>
          <w:tcPr>
            <w:tcW w:w="13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16.12 %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260" w:hanging="252"/>
        <w:spacing w:after="0" w:line="291" w:lineRule="auto"/>
        <w:tabs>
          <w:tab w:leader="none" w:pos="25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 of SBA fixed rate loans includes approximately $0.5 million of PPP loans. PPP loans originated prior to June 5, 2020, have a two year term. PPP loans originated on or after June 5, 2020, have a five year term. For PPP borrowers who submit completed applications for forgiveness, loan payments are automatically deferred until the SBA renders a decision on the forgiveness request. PPP borrowers who fail to submit timely forgiveness applications are required to make monthly payments beginning ten months from the end of the chosen “covered period”. The “covered period” is a maximum of 24 weeks from the origination date. Assuming a 24 week covered period, PPP borrowers are not required to begin making payments until 16 months after the origination date. At the time payments begin, if the borrower and lender of a two year PPP loan mutually agree to extend the term of the loan it can be extended to a five year term. As of June 30, 2023, six PPP loans have been granted maturity date extensions.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80" w:type="dxa"/>
            <w:vAlign w:val="bottom"/>
            <w:gridSpan w:val="10"/>
          </w:tcPr>
          <w:p>
            <w:pPr>
              <w:ind w:left="360"/>
              <w:spacing w:after="0"/>
              <w:rPr>
                <w:sz w:val="20"/>
                <w:szCs w:val="20"/>
                <w:color w:val="auto"/>
              </w:rPr>
            </w:pPr>
            <w:r>
              <w:rPr>
                <w:rFonts w:ascii="Arial" w:cs="Arial" w:eastAsia="Arial" w:hAnsi="Arial"/>
                <w:sz w:val="18"/>
                <w:szCs w:val="18"/>
                <w:b w:val="1"/>
                <w:bCs w:val="1"/>
                <w:color w:val="auto"/>
              </w:rPr>
              <w:t>Remaining Contractual Maturity Held for Investment</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After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One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After Five</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Year and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Years and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Through</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Through</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One Year</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Five</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Fifteen</w:t>
            </w: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or Less</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Yield/Rate</w:t>
            </w:r>
          </w:p>
        </w:tc>
        <w:tc>
          <w:tcPr>
            <w:tcW w:w="14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Years</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Yield/Rate</w:t>
            </w:r>
          </w:p>
        </w:tc>
        <w:tc>
          <w:tcPr>
            <w:tcW w:w="14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Years</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3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Fixed rate loans:</w:t>
            </w: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SBA</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2,683</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8,395</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4.79 %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16,589</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113.89 %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7,669</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51.27 %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24.56 %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1,838</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3,597</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7.80 %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10.31 %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Variable rate loans: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36,741</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61,545</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29,242</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8.27 %</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66,611</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64,752</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12.81 %</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8.36 %</w:t>
            </w:r>
          </w:p>
        </w:tc>
        <w:tc>
          <w:tcPr>
            <w:tcW w:w="0" w:type="dxa"/>
            <w:vAlign w:val="bottom"/>
          </w:tcPr>
          <w:p>
            <w:pPr>
              <w:spacing w:after="0"/>
              <w:rPr>
                <w:sz w:val="1"/>
                <w:szCs w:val="1"/>
                <w:color w:val="auto"/>
              </w:rPr>
            </w:pPr>
          </w:p>
        </w:tc>
      </w:tr>
      <w:tr>
        <w:trPr>
          <w:trHeight w:val="905"/>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200" w:type="dxa"/>
            <w:vAlign w:val="bottom"/>
          </w:tcPr>
          <w:p>
            <w:pPr>
              <w:spacing w:after="0"/>
              <w:rPr>
                <w:sz w:val="20"/>
                <w:szCs w:val="20"/>
                <w:color w:val="auto"/>
              </w:rPr>
            </w:pPr>
          </w:p>
        </w:tc>
        <w:tc>
          <w:tcPr>
            <w:tcW w:w="4640" w:type="dxa"/>
            <w:vAlign w:val="bottom"/>
            <w:gridSpan w:val="8"/>
          </w:tcPr>
          <w:p>
            <w:pPr>
              <w:ind w:left="140"/>
              <w:spacing w:after="0"/>
              <w:rPr>
                <w:sz w:val="20"/>
                <w:szCs w:val="20"/>
                <w:color w:val="auto"/>
              </w:rPr>
            </w:pPr>
            <w:r>
              <w:rPr>
                <w:rFonts w:ascii="Arial" w:cs="Arial" w:eastAsia="Arial" w:hAnsi="Arial"/>
                <w:sz w:val="18"/>
                <w:szCs w:val="18"/>
                <w:b w:val="1"/>
                <w:bCs w:val="1"/>
                <w:color w:val="auto"/>
              </w:rPr>
              <w:t>Remaining Contractual Maturity Held for Investment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After</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Fifteen</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Years</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Yield/Rate</w:t>
            </w:r>
          </w:p>
        </w:tc>
        <w:tc>
          <w:tcPr>
            <w:tcW w:w="24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Fixed rate loans:</w:t>
            </w: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SBA</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11,484</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4.96 %</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4.43 %</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5.44 %</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24,259</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94.10 %</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5.53 %</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5,497</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7.75 %</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Variable rate loans: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36,925</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8.20 %</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144,546</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8.38 %</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30,237</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8.12 %</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8.15 %</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8.31 %</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38,792</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8.20 %</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236,601</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16.80 %</w:t>
            </w: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260" w:hanging="252"/>
        <w:spacing w:after="0" w:line="291" w:lineRule="auto"/>
        <w:tabs>
          <w:tab w:leader="none" w:pos="25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 of SBA fixed rate loans includes approximately $0.6 million of PPP loans. PPP loans originated prior to June 5, 2020, have a two year term. PPP loans originated on or after June 5, 2020, have a five year term. For PPP borrowers who submit completed applications for forgiveness, loan payments are automatically deferred until the SBA renders a decision on the forgiveness request. PPP borrowers who fail to submit timely forgiveness applications are required to make monthly payments beginning ten months from the end of the chosen “covered period”. The “covered period” is a maximum of 24 weeks from the origination date. Assuming a 24 week covered period, PPP borrowers are not required to begin making payments until 16 months after the origination date. At the time payments begin, if the borrower and lender of a two year PPP loan mutually agree to extend the term of the loan it can be extended to a five year term. As of December 31, 2022, six PPP loans have been granted maturity date extensions.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loan which we deem to be uncollectible, in whole or in part, is charged off to the extent of the anticipated loss. In general, loans that are past due for 90 days or more are charged off unless the loan is both well secured and in the process of collection.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however, that our loan portfolio will not become subject to increasing pressures from deteriorating borrower credit due to general economic conditions.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a total of $0.9 million in nonperforming assets and $0.1 million in material loan modifications at June 30, 2023. The Company had no nonperforming assets and $0.1 million in troubled debt restructurings at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 Profile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and collectable basis. Loans are made with a primary emphasis on loan profitability, credit risk and concentration exposures.</w:t>
      </w:r>
    </w:p>
    <w:p>
      <w:pPr>
        <w:spacing w:after="0" w:line="14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monthly credit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a grading system to rank the quality of each loan. The grade is periodically evaluated and adjusted as performance dictates. Internal loan grades are based on current financial information, historical payment experience, and credit documentation, among other factors.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Pass - A Pass asset is higher quality and does not fit any of the other categories described below. The likelihood of loss is believed to be remote.</w:t>
      </w:r>
    </w:p>
    <w:p>
      <w:pPr>
        <w:spacing w:after="0" w:line="1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Watch – 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Special Mention – A Special Mention asset has potential weaknesses that may be temporary or, if left uncorrected, may result in a loss. While concerns exist, the Company believes that it is currently protected against a default and loss is considered unlikely and not imminent.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Substandard – A Substandard asset is believed to be inadequately protected by the current sound worth and paying capacity of the obligor or of the collateral pledged, if any. Assets so classified have identified weaknesses and are characterized by the possibility that the Company may sustain some loss if deficiencies are not corrected.</w:t>
      </w:r>
    </w:p>
    <w:p>
      <w:pPr>
        <w:spacing w:after="0" w:line="14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Not Rated - For certain Strategic Program and consumer loans, the Company 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Arial" w:cs="Arial" w:eastAsia="Arial" w:hAnsi="Arial"/>
          <w:sz w:val="19"/>
          <w:szCs w:val="19"/>
          <w:color w:val="auto"/>
        </w:rPr>
        <w:t>.</w:t>
      </w:r>
      <w:r>
        <w:rPr>
          <w:rFonts w:ascii="Arial" w:cs="Arial" w:eastAsia="Arial" w:hAnsi="Arial"/>
          <w:sz w:val="18"/>
          <w:szCs w:val="18"/>
          <w:color w:val="auto"/>
        </w:rPr>
        <w:t xml:space="preserve"> Credit quality for Strategic Program loans has been highly correlated with delinquency levels.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adopted Financial Accounting Standards Board Accounting Standards Update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commonly referred to as the “CECL model,” on January 1, 2023.</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 monthly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the Company’s auditors.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summary of changes in the ACL for the periods and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0" w:type="dxa"/>
            <w:vAlign w:val="bottom"/>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59"/>
        </w:trPr>
        <w:tc>
          <w:tcPr>
            <w:tcW w:w="46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June 30, 2023</w:t>
            </w:r>
          </w:p>
        </w:tc>
        <w:tc>
          <w:tcPr>
            <w:tcW w:w="6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June 30, 2023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ACL:</w:t>
            </w:r>
          </w:p>
        </w:tc>
        <w:tc>
          <w:tcPr>
            <w:tcW w:w="2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20" w:type="dxa"/>
            <w:vAlign w:val="bottom"/>
            <w:tcBorders>
              <w:bottom w:val="single" w:sz="8" w:color="CCEEFF"/>
            </w:tcBorders>
            <w:shd w:val="clear" w:color="auto" w:fill="CCEEFF"/>
          </w:tcPr>
          <w:p>
            <w:pPr>
              <w:jc w:val="right"/>
              <w:ind w:right="22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12,034</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r>
      <w:tr>
        <w:trPr>
          <w:trHeight w:val="270"/>
        </w:trPr>
        <w:tc>
          <w:tcPr>
            <w:tcW w:w="4660" w:type="dxa"/>
            <w:vAlign w:val="bottom"/>
          </w:tcPr>
          <w:p>
            <w:pPr>
              <w:ind w:left="20"/>
              <w:spacing w:after="0"/>
              <w:rPr>
                <w:sz w:val="20"/>
                <w:szCs w:val="20"/>
                <w:color w:val="auto"/>
              </w:rPr>
            </w:pPr>
            <w:r>
              <w:rPr>
                <w:rFonts w:ascii="Arial" w:cs="Arial" w:eastAsia="Arial" w:hAnsi="Arial"/>
                <w:sz w:val="18"/>
                <w:szCs w:val="18"/>
                <w:color w:val="auto"/>
              </w:rPr>
              <w:t>Impact of ASU 2016-13 adoption</w:t>
            </w:r>
            <w:r>
              <w:rPr>
                <w:rFonts w:ascii="Arial" w:cs="Arial" w:eastAsia="Arial" w:hAnsi="Arial"/>
                <w:sz w:val="23"/>
                <w:szCs w:val="23"/>
                <w:color w:val="auto"/>
                <w:vertAlign w:val="superscript"/>
              </w:rPr>
              <w:t>(1)</w:t>
            </w:r>
          </w:p>
        </w:tc>
        <w:tc>
          <w:tcPr>
            <w:tcW w:w="2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beginning balance</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12,034</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12,242</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2,675</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5,343</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Charge offs</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Residential real estate multifamily</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Commercial and industrial</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Lease financing receivables</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Strategic Program loans</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(2,516)</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Recoveries</w:t>
            </w:r>
          </w:p>
        </w:tc>
        <w:tc>
          <w:tcPr>
            <w:tcW w:w="2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and land development</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 multifamily</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financing receivables</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466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8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420" w:type="dxa"/>
            <w:vAlign w:val="bottom"/>
            <w:tcBorders>
              <w:bottom w:val="single" w:sz="8" w:color="auto"/>
            </w:tcBorders>
            <w:shd w:val="clear" w:color="auto" w:fill="CCEEFF"/>
          </w:tcPr>
          <w:p>
            <w:pPr>
              <w:jc w:val="right"/>
              <w:ind w:right="22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12,321</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ASU 2016-13 (CECL) was adopted January 1,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296" w:right="87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0" w:type="dxa"/>
            <w:vAlign w:val="bottom"/>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59"/>
        </w:trPr>
        <w:tc>
          <w:tcPr>
            <w:tcW w:w="46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June 30, 2022</w:t>
            </w:r>
          </w:p>
        </w:tc>
        <w:tc>
          <w:tcPr>
            <w:tcW w:w="6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June 30, 2022</w:t>
            </w:r>
          </w:p>
        </w:tc>
      </w:tr>
      <w:tr>
        <w:trPr>
          <w:trHeight w:val="257"/>
        </w:trPr>
        <w:tc>
          <w:tcPr>
            <w:tcW w:w="4660" w:type="dxa"/>
            <w:vAlign w:val="bottom"/>
          </w:tcPr>
          <w:p>
            <w:pPr>
              <w:ind w:left="20"/>
              <w:spacing w:after="0" w:line="256" w:lineRule="exact"/>
              <w:rPr>
                <w:sz w:val="20"/>
                <w:szCs w:val="20"/>
                <w:color w:val="auto"/>
              </w:rPr>
            </w:pPr>
            <w:r>
              <w:rPr>
                <w:rFonts w:ascii="Arial" w:cs="Arial" w:eastAsia="Arial" w:hAnsi="Arial"/>
                <w:sz w:val="18"/>
                <w:szCs w:val="18"/>
                <w:color w:val="auto"/>
              </w:rPr>
              <w:t>ACL</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2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0" w:type="dxa"/>
            <w:vAlign w:val="bottom"/>
          </w:tcPr>
          <w:p>
            <w:pPr>
              <w:spacing w:after="0"/>
              <w:rPr>
                <w:sz w:val="22"/>
                <w:szCs w:val="2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20" w:type="dxa"/>
            <w:vAlign w:val="bottom"/>
            <w:tcBorders>
              <w:bottom w:val="single" w:sz="8" w:color="CCEEFF"/>
            </w:tcBorders>
            <w:shd w:val="clear" w:color="auto" w:fill="CCEEFF"/>
          </w:tcPr>
          <w:p>
            <w:pPr>
              <w:jc w:val="right"/>
              <w:ind w:right="22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2,913</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5,860</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Charge offs</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SBA</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non-real estate</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Strategic Program loans</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(2,560)</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Recoveries</w:t>
            </w:r>
          </w:p>
        </w:tc>
        <w:tc>
          <w:tcPr>
            <w:tcW w:w="2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46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8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420" w:type="dxa"/>
            <w:vAlign w:val="bottom"/>
            <w:tcBorders>
              <w:bottom w:val="single" w:sz="8" w:color="auto"/>
            </w:tcBorders>
            <w:shd w:val="clear" w:color="auto" w:fill="CCEEFF"/>
          </w:tcPr>
          <w:p>
            <w:pPr>
              <w:jc w:val="right"/>
              <w:ind w:right="22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10,602</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(2) ASU 2016-13 (CECL) was adopted January 1, 2023. The 2022 amounts presented are calculated under the prior accounting standard.</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tables show the allocation of the ACL as of June 30, 2023, and allowance for loan losses ("ALL") as of December 31, 2022, among loan categories. The ACL related to Strategic Programs constitutes 58.9% of the total ACL while comprising 7.1% of total loans held for investment as of June 30, 2023. The ALL related to Strategic Programs constitutes 55.9% of the total ALL while comprising 10.3% of total loans held for investment as of December 31, 2022. The percentage of ACL related to Strategic Program loans retained reflects the increased credit risks associated with certain retained Strategic Program loans.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3"/>
          </w:tcPr>
          <w:p>
            <w:pPr>
              <w:jc w:val="right"/>
              <w:ind w:right="990"/>
              <w:spacing w:after="0"/>
              <w:rPr>
                <w:sz w:val="20"/>
                <w:szCs w:val="20"/>
                <w:color w:val="auto"/>
              </w:rPr>
            </w:pPr>
            <w:r>
              <w:rPr>
                <w:rFonts w:ascii="Arial" w:cs="Arial" w:eastAsia="Arial" w:hAnsi="Arial"/>
                <w:sz w:val="18"/>
                <w:szCs w:val="18"/>
                <w:b w:val="1"/>
                <w:bCs w:val="1"/>
                <w:color w:val="auto"/>
              </w:rPr>
              <w:t>June 30, 2023</w:t>
            </w:r>
          </w:p>
        </w:tc>
      </w:tr>
      <w:tr>
        <w:trPr>
          <w:trHeight w:val="27"/>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r>
      <w:tr>
        <w:trPr>
          <w:trHeight w:val="216"/>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Allowance</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and land development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 multifamily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25.7 %</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financing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58.9 %</w:t>
            </w:r>
          </w:p>
        </w:tc>
      </w:tr>
      <w:tr>
        <w:trPr>
          <w:trHeight w:val="27"/>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w:t>
            </w:r>
          </w:p>
        </w:tc>
        <w:tc>
          <w:tcPr>
            <w:tcW w:w="10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December 31, 2022</w:t>
            </w:r>
          </w:p>
        </w:tc>
      </w:tr>
      <w:tr>
        <w:trPr>
          <w:trHeight w:val="27"/>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80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Allowance</w:t>
            </w: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35.8 %</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Commercial, non real estate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6,701</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55.9 %</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8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ratios of the ACL to total loans held for investment ("LHFI"), nonaccrual loans to total loans held for investment, and the ACL to nonaccrual loans by CECL loan category as of June 30,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ACL to Total</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Nonaccrual loans</w:t>
            </w:r>
          </w:p>
        </w:tc>
        <w:tc>
          <w:tcPr>
            <w:tcW w:w="2060" w:type="dxa"/>
            <w:vAlign w:val="bottom"/>
          </w:tcPr>
          <w:p>
            <w:pPr>
              <w:jc w:val="right"/>
              <w:ind w:right="650"/>
              <w:spacing w:after="0"/>
              <w:rPr>
                <w:sz w:val="20"/>
                <w:szCs w:val="20"/>
                <w:color w:val="auto"/>
              </w:rPr>
            </w:pPr>
            <w:r>
              <w:rPr>
                <w:rFonts w:ascii="Arial" w:cs="Arial" w:eastAsia="Arial" w:hAnsi="Arial"/>
                <w:sz w:val="18"/>
                <w:szCs w:val="18"/>
                <w:b w:val="1"/>
                <w:bCs w:val="1"/>
                <w:color w:val="auto"/>
              </w:rPr>
              <w:t>ACL to</w:t>
            </w:r>
          </w:p>
        </w:tc>
      </w:tr>
      <w:tr>
        <w:trPr>
          <w:trHeight w:val="234"/>
        </w:trPr>
        <w:tc>
          <w:tcPr>
            <w:tcW w:w="4780" w:type="dxa"/>
            <w:vAlign w:val="bottom"/>
          </w:tcPr>
          <w:p>
            <w:pPr>
              <w:spacing w:after="0"/>
              <w:rPr>
                <w:sz w:val="20"/>
                <w:szCs w:val="20"/>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LHFI</w:t>
            </w: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to Total LHFI</w:t>
            </w:r>
          </w:p>
        </w:tc>
        <w:tc>
          <w:tcPr>
            <w:tcW w:w="2060" w:type="dxa"/>
            <w:vAlign w:val="bottom"/>
          </w:tcPr>
          <w:p>
            <w:pPr>
              <w:jc w:val="right"/>
              <w:ind w:right="270"/>
              <w:spacing w:after="0"/>
              <w:rPr>
                <w:sz w:val="20"/>
                <w:szCs w:val="20"/>
                <w:color w:val="auto"/>
              </w:rPr>
            </w:pPr>
            <w:r>
              <w:rPr>
                <w:rFonts w:ascii="Arial" w:cs="Arial" w:eastAsia="Arial" w:hAnsi="Arial"/>
                <w:sz w:val="18"/>
                <w:szCs w:val="18"/>
                <w:b w:val="1"/>
                <w:bCs w:val="1"/>
                <w:color w:val="auto"/>
              </w:rPr>
              <w:t>Nonaccrual loans</w:t>
            </w:r>
          </w:p>
        </w:tc>
      </w:tr>
      <w:tr>
        <w:trPr>
          <w:trHeight w:val="27"/>
        </w:trPr>
        <w:tc>
          <w:tcPr>
            <w:tcW w:w="47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and land development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Residential real estate</w:t>
            </w:r>
          </w:p>
        </w:tc>
        <w:tc>
          <w:tcPr>
            <w:tcW w:w="2020" w:type="dxa"/>
            <w:vAlign w:val="bottom"/>
          </w:tcPr>
          <w:p>
            <w:pPr>
              <w:jc w:val="right"/>
              <w:spacing w:after="0"/>
              <w:rPr>
                <w:sz w:val="20"/>
                <w:szCs w:val="20"/>
                <w:color w:val="auto"/>
              </w:rPr>
            </w:pPr>
            <w:r>
              <w:rPr>
                <w:rFonts w:ascii="Arial" w:cs="Arial" w:eastAsia="Arial" w:hAnsi="Arial"/>
                <w:sz w:val="18"/>
                <w:szCs w:val="18"/>
                <w:color w:val="auto"/>
              </w:rPr>
              <w:t>2.4 %</w:t>
            </w:r>
          </w:p>
        </w:tc>
        <w:tc>
          <w:tcPr>
            <w:tcW w:w="1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0.4 %</w:t>
            </w:r>
          </w:p>
        </w:tc>
        <w:tc>
          <w:tcPr>
            <w:tcW w:w="1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599.7 %</w:t>
            </w:r>
          </w:p>
        </w:tc>
      </w:tr>
      <w:tr>
        <w:trPr>
          <w:trHeight w:val="27"/>
        </w:trPr>
        <w:tc>
          <w:tcPr>
            <w:tcW w:w="4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 multifamily</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2020" w:type="dxa"/>
            <w:vAlign w:val="bottom"/>
          </w:tcPr>
          <w:p>
            <w:pPr>
              <w:jc w:val="right"/>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0.4 %</w:t>
            </w:r>
          </w:p>
        </w:tc>
        <w:tc>
          <w:tcPr>
            <w:tcW w:w="1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38.7 %</w:t>
            </w:r>
          </w:p>
        </w:tc>
      </w:tr>
      <w:tr>
        <w:trPr>
          <w:trHeight w:val="27"/>
        </w:trPr>
        <w:tc>
          <w:tcPr>
            <w:tcW w:w="4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020" w:type="dxa"/>
            <w:vAlign w:val="bottom"/>
          </w:tcPr>
          <w:p>
            <w:pPr>
              <w:jc w:val="right"/>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21"/>
                <w:szCs w:val="21"/>
                <w:color w:val="auto"/>
              </w:rPr>
            </w:pP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7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financing receivables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2020" w:type="dxa"/>
            <w:vAlign w:val="bottom"/>
          </w:tcPr>
          <w:p>
            <w:pPr>
              <w:jc w:val="right"/>
              <w:spacing w:after="0"/>
              <w:rPr>
                <w:sz w:val="20"/>
                <w:szCs w:val="20"/>
                <w:color w:val="auto"/>
              </w:rPr>
            </w:pPr>
            <w:r>
              <w:rPr>
                <w:rFonts w:ascii="Arial" w:cs="Arial" w:eastAsia="Arial" w:hAnsi="Arial"/>
                <w:sz w:val="18"/>
                <w:szCs w:val="18"/>
                <w:color w:val="auto"/>
              </w:rPr>
              <w:t>35.0 %</w:t>
            </w:r>
          </w:p>
        </w:tc>
        <w:tc>
          <w:tcPr>
            <w:tcW w:w="160" w:type="dxa"/>
            <w:vAlign w:val="bottom"/>
          </w:tcPr>
          <w:p>
            <w:pPr>
              <w:spacing w:after="0"/>
              <w:rPr>
                <w:sz w:val="21"/>
                <w:szCs w:val="21"/>
                <w:color w:val="auto"/>
              </w:rPr>
            </w:pP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7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8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6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4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1,435.8 %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ratios of the ALL to total loans held for investment, nonaccrual loans to total loans held for investment, and the ALL to nonaccrual loans by loan category as of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80" w:type="dxa"/>
            <w:vAlign w:val="bottom"/>
          </w:tcPr>
          <w:p>
            <w:pPr>
              <w:jc w:val="center"/>
              <w:ind w:left="450"/>
              <w:spacing w:after="0"/>
              <w:rPr>
                <w:sz w:val="20"/>
                <w:szCs w:val="20"/>
                <w:color w:val="auto"/>
              </w:rPr>
            </w:pPr>
            <w:r>
              <w:rPr>
                <w:rFonts w:ascii="Arial" w:cs="Arial" w:eastAsia="Arial" w:hAnsi="Arial"/>
                <w:sz w:val="18"/>
                <w:szCs w:val="18"/>
                <w:b w:val="1"/>
                <w:bCs w:val="1"/>
                <w:color w:val="auto"/>
              </w:rPr>
              <w:t>ALL to</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ind w:left="600"/>
              <w:spacing w:after="0"/>
              <w:rPr>
                <w:sz w:val="20"/>
                <w:szCs w:val="20"/>
                <w:color w:val="auto"/>
              </w:rPr>
            </w:pPr>
            <w:r>
              <w:rPr>
                <w:rFonts w:ascii="Arial" w:cs="Arial" w:eastAsia="Arial" w:hAnsi="Arial"/>
                <w:sz w:val="18"/>
                <w:szCs w:val="18"/>
                <w:b w:val="1"/>
                <w:bCs w:val="1"/>
                <w:color w:val="auto"/>
              </w:rPr>
              <w:t>Nonaccrual</w:t>
            </w:r>
          </w:p>
        </w:tc>
        <w:tc>
          <w:tcPr>
            <w:tcW w:w="2100" w:type="dxa"/>
            <w:vAlign w:val="bottom"/>
          </w:tcPr>
          <w:p>
            <w:pPr>
              <w:ind w:left="780"/>
              <w:spacing w:after="0"/>
              <w:rPr>
                <w:sz w:val="20"/>
                <w:szCs w:val="20"/>
                <w:color w:val="auto"/>
              </w:rPr>
            </w:pPr>
            <w:r>
              <w:rPr>
                <w:rFonts w:ascii="Arial" w:cs="Arial" w:eastAsia="Arial" w:hAnsi="Arial"/>
                <w:sz w:val="18"/>
                <w:szCs w:val="18"/>
                <w:b w:val="1"/>
                <w:bCs w:val="1"/>
                <w:color w:val="auto"/>
              </w:rPr>
              <w:t>ALL to</w:t>
            </w:r>
          </w:p>
        </w:tc>
      </w:tr>
      <w:tr>
        <w:trPr>
          <w:trHeight w:val="234"/>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48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Total LHFI</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2"/>
          </w:tcPr>
          <w:p>
            <w:pPr>
              <w:ind w:left="500"/>
              <w:spacing w:after="0"/>
              <w:rPr>
                <w:sz w:val="20"/>
                <w:szCs w:val="20"/>
                <w:color w:val="auto"/>
              </w:rPr>
            </w:pPr>
            <w:r>
              <w:rPr>
                <w:rFonts w:ascii="Arial" w:cs="Arial" w:eastAsia="Arial" w:hAnsi="Arial"/>
                <w:sz w:val="18"/>
                <w:szCs w:val="18"/>
                <w:b w:val="1"/>
                <w:bCs w:val="1"/>
                <w:color w:val="auto"/>
              </w:rPr>
              <w:t>to Total LHFI</w:t>
            </w:r>
          </w:p>
        </w:tc>
        <w:tc>
          <w:tcPr>
            <w:tcW w:w="2100" w:type="dxa"/>
            <w:vAlign w:val="bottom"/>
          </w:tcPr>
          <w:p>
            <w:pPr>
              <w:ind w:left="380"/>
              <w:spacing w:after="0"/>
              <w:rPr>
                <w:sz w:val="20"/>
                <w:szCs w:val="20"/>
                <w:color w:val="auto"/>
              </w:rPr>
            </w:pPr>
            <w:r>
              <w:rPr>
                <w:rFonts w:ascii="Arial" w:cs="Arial" w:eastAsia="Arial" w:hAnsi="Arial"/>
                <w:sz w:val="18"/>
                <w:szCs w:val="18"/>
                <w:b w:val="1"/>
                <w:bCs w:val="1"/>
                <w:color w:val="auto"/>
              </w:rPr>
              <w:t>Nonaccrual loans</w:t>
            </w:r>
          </w:p>
        </w:tc>
      </w:tr>
      <w:tr>
        <w:trPr>
          <w:trHeight w:val="27"/>
        </w:trPr>
        <w:tc>
          <w:tcPr>
            <w:tcW w:w="47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1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8"/>
                <w:szCs w:val="18"/>
                <w:color w:val="auto"/>
              </w:rPr>
              <w:t>— %</w:t>
            </w:r>
          </w:p>
        </w:tc>
        <w:tc>
          <w:tcPr>
            <w:tcW w:w="210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w w:val="97"/>
              </w:rPr>
              <w:t>— %</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1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3.5 %</w:t>
            </w:r>
          </w:p>
        </w:tc>
        <w:tc>
          <w:tcPr>
            <w:tcW w:w="140" w:type="dxa"/>
            <w:vAlign w:val="bottom"/>
          </w:tcPr>
          <w:p>
            <w:pPr>
              <w:spacing w:after="0"/>
              <w:rPr>
                <w:sz w:val="21"/>
                <w:szCs w:val="21"/>
                <w:color w:val="auto"/>
              </w:rPr>
            </w:pPr>
          </w:p>
        </w:tc>
        <w:tc>
          <w:tcPr>
            <w:tcW w:w="2220" w:type="dxa"/>
            <w:vAlign w:val="bottom"/>
            <w:gridSpan w:val="2"/>
          </w:tcPr>
          <w:p>
            <w:pPr>
              <w:ind w:left="1680"/>
              <w:spacing w:after="0"/>
              <w:rPr>
                <w:sz w:val="20"/>
                <w:szCs w:val="20"/>
                <w:color w:val="auto"/>
              </w:rPr>
            </w:pPr>
            <w:r>
              <w:rPr>
                <w:rFonts w:ascii="Arial" w:cs="Arial" w:eastAsia="Arial" w:hAnsi="Arial"/>
                <w:sz w:val="18"/>
                <w:szCs w:val="18"/>
                <w:color w:val="auto"/>
              </w:rPr>
              <w:t>— %</w:t>
            </w:r>
          </w:p>
        </w:tc>
        <w:tc>
          <w:tcPr>
            <w:tcW w:w="2100" w:type="dxa"/>
            <w:vAlign w:val="bottom"/>
          </w:tcPr>
          <w:p>
            <w:pPr>
              <w:ind w:left="1700"/>
              <w:spacing w:after="0"/>
              <w:rPr>
                <w:sz w:val="20"/>
                <w:szCs w:val="20"/>
                <w:color w:val="auto"/>
              </w:rPr>
            </w:pPr>
            <w:r>
              <w:rPr>
                <w:rFonts w:ascii="Arial" w:cs="Arial" w:eastAsia="Arial" w:hAnsi="Arial"/>
                <w:sz w:val="18"/>
                <w:szCs w:val="18"/>
                <w:color w:val="auto"/>
                <w:w w:val="97"/>
              </w:rPr>
              <w:t>— %</w:t>
            </w:r>
          </w:p>
        </w:tc>
      </w:tr>
      <w:tr>
        <w:trPr>
          <w:trHeight w:val="27"/>
        </w:trPr>
        <w:tc>
          <w:tcPr>
            <w:tcW w:w="4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8"/>
                <w:szCs w:val="18"/>
                <w:color w:val="auto"/>
              </w:rPr>
              <w:t>— %</w:t>
            </w:r>
          </w:p>
        </w:tc>
        <w:tc>
          <w:tcPr>
            <w:tcW w:w="210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w w:val="97"/>
              </w:rPr>
              <w:t>— %</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1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27.6 %</w:t>
            </w:r>
          </w:p>
        </w:tc>
        <w:tc>
          <w:tcPr>
            <w:tcW w:w="140" w:type="dxa"/>
            <w:vAlign w:val="bottom"/>
          </w:tcPr>
          <w:p>
            <w:pPr>
              <w:spacing w:after="0"/>
              <w:rPr>
                <w:sz w:val="21"/>
                <w:szCs w:val="21"/>
                <w:color w:val="auto"/>
              </w:rPr>
            </w:pPr>
          </w:p>
        </w:tc>
        <w:tc>
          <w:tcPr>
            <w:tcW w:w="2220" w:type="dxa"/>
            <w:vAlign w:val="bottom"/>
            <w:gridSpan w:val="2"/>
          </w:tcPr>
          <w:p>
            <w:pPr>
              <w:ind w:left="1680"/>
              <w:spacing w:after="0"/>
              <w:rPr>
                <w:sz w:val="20"/>
                <w:szCs w:val="20"/>
                <w:color w:val="auto"/>
              </w:rPr>
            </w:pPr>
            <w:r>
              <w:rPr>
                <w:rFonts w:ascii="Arial" w:cs="Arial" w:eastAsia="Arial" w:hAnsi="Arial"/>
                <w:sz w:val="18"/>
                <w:szCs w:val="18"/>
                <w:color w:val="auto"/>
              </w:rPr>
              <w:t>— %</w:t>
            </w:r>
          </w:p>
        </w:tc>
        <w:tc>
          <w:tcPr>
            <w:tcW w:w="2100" w:type="dxa"/>
            <w:vAlign w:val="bottom"/>
          </w:tcPr>
          <w:p>
            <w:pPr>
              <w:ind w:left="1700"/>
              <w:spacing w:after="0"/>
              <w:rPr>
                <w:sz w:val="20"/>
                <w:szCs w:val="20"/>
                <w:color w:val="auto"/>
              </w:rPr>
            </w:pPr>
            <w:r>
              <w:rPr>
                <w:rFonts w:ascii="Arial" w:cs="Arial" w:eastAsia="Arial" w:hAnsi="Arial"/>
                <w:sz w:val="18"/>
                <w:szCs w:val="18"/>
                <w:color w:val="auto"/>
                <w:w w:val="97"/>
              </w:rPr>
              <w:t>— %</w:t>
            </w:r>
          </w:p>
        </w:tc>
      </w:tr>
      <w:tr>
        <w:trPr>
          <w:trHeight w:val="27"/>
        </w:trPr>
        <w:tc>
          <w:tcPr>
            <w:tcW w:w="4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8"/>
                <w:szCs w:val="18"/>
                <w:color w:val="auto"/>
              </w:rPr>
              <w:t>— %</w:t>
            </w:r>
          </w:p>
        </w:tc>
        <w:tc>
          <w:tcPr>
            <w:tcW w:w="210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w w:val="97"/>
              </w:rPr>
              <w:t>— %</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Consumer</w:t>
            </w:r>
          </w:p>
        </w:tc>
        <w:tc>
          <w:tcPr>
            <w:tcW w:w="14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Pr>
          <w:p>
            <w:pPr>
              <w:spacing w:after="0"/>
              <w:rPr>
                <w:sz w:val="21"/>
                <w:szCs w:val="21"/>
                <w:color w:val="auto"/>
              </w:rPr>
            </w:pPr>
          </w:p>
        </w:tc>
        <w:tc>
          <w:tcPr>
            <w:tcW w:w="2220" w:type="dxa"/>
            <w:vAlign w:val="bottom"/>
            <w:gridSpan w:val="2"/>
          </w:tcPr>
          <w:p>
            <w:pPr>
              <w:ind w:left="1680"/>
              <w:spacing w:after="0"/>
              <w:rPr>
                <w:sz w:val="20"/>
                <w:szCs w:val="20"/>
                <w:color w:val="auto"/>
              </w:rPr>
            </w:pPr>
            <w:r>
              <w:rPr>
                <w:rFonts w:ascii="Arial" w:cs="Arial" w:eastAsia="Arial" w:hAnsi="Arial"/>
                <w:sz w:val="18"/>
                <w:szCs w:val="18"/>
                <w:color w:val="auto"/>
              </w:rPr>
              <w:t>— %</w:t>
            </w:r>
          </w:p>
        </w:tc>
        <w:tc>
          <w:tcPr>
            <w:tcW w:w="2100" w:type="dxa"/>
            <w:vAlign w:val="bottom"/>
          </w:tcPr>
          <w:p>
            <w:pPr>
              <w:ind w:left="1700"/>
              <w:spacing w:after="0"/>
              <w:rPr>
                <w:sz w:val="20"/>
                <w:szCs w:val="20"/>
                <w:color w:val="auto"/>
              </w:rPr>
            </w:pPr>
            <w:r>
              <w:rPr>
                <w:rFonts w:ascii="Arial" w:cs="Arial" w:eastAsia="Arial" w:hAnsi="Arial"/>
                <w:sz w:val="18"/>
                <w:szCs w:val="18"/>
                <w:color w:val="auto"/>
                <w:w w:val="97"/>
              </w:rPr>
              <w:t>— %</w:t>
            </w:r>
          </w:p>
        </w:tc>
      </w:tr>
      <w:tr>
        <w:trPr>
          <w:trHeight w:val="27"/>
        </w:trPr>
        <w:tc>
          <w:tcPr>
            <w:tcW w:w="47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8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40" w:type="dxa"/>
            <w:vAlign w:val="bottom"/>
            <w:shd w:val="clear" w:color="auto" w:fill="CCEEFF"/>
          </w:tcPr>
          <w:p>
            <w:pPr>
              <w:spacing w:after="0"/>
              <w:rPr>
                <w:sz w:val="24"/>
                <w:szCs w:val="24"/>
                <w:color w:val="auto"/>
              </w:rPr>
            </w:pPr>
          </w:p>
        </w:tc>
        <w:tc>
          <w:tcPr>
            <w:tcW w:w="22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 %</w:t>
            </w:r>
          </w:p>
        </w:tc>
        <w:tc>
          <w:tcPr>
            <w:tcW w:w="210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97"/>
              </w:rPr>
              <w:t>—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decrease in ACL/ALL to total loans held for investment for the periods presented above was primarily due to growth in the SBA 7(a) loan balances guaranteed by the SBA held by the bank. The increase in nonaccrual loans to loans held for investment as well as the increase in ACL to nonaccrual loans ratios from December 31, 2022 to June 30, 2023 was related to a small number of loans that were moved to nonaccrual after the year ended.</w:t>
      </w:r>
    </w:p>
    <w:p>
      <w:pPr>
        <w:spacing w:after="0" w:line="1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Due primarily to the increase in our average loans held for investment balances, the ratio of net charge-offs to average loans outstanding by loan category was lower during the three and six months ended June 30, 2023 as compared to the three and six months ended June 30, 2022. The increase in the ratio for Strategic Programs loans was primarily due to a reduction in the average loan balances in the three and six months ended June 30, 2023.</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7"/>
          </w:tcPr>
          <w:p>
            <w:pPr>
              <w:ind w:left="360"/>
              <w:spacing w:after="0"/>
              <w:rPr>
                <w:sz w:val="20"/>
                <w:szCs w:val="20"/>
                <w:color w:val="auto"/>
              </w:rPr>
            </w:pPr>
            <w:r>
              <w:rPr>
                <w:rFonts w:ascii="Arial" w:cs="Arial" w:eastAsia="Arial" w:hAnsi="Arial"/>
                <w:sz w:val="18"/>
                <w:szCs w:val="18"/>
                <w:b w:val="1"/>
                <w:bCs w:val="1"/>
                <w:color w:val="auto"/>
              </w:rPr>
              <w:t>Three Months Ended June 30, 2023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 2022</w:t>
            </w:r>
          </w:p>
        </w:tc>
      </w:tr>
      <w:tr>
        <w:trPr>
          <w:trHeight w:val="27"/>
        </w:trPr>
        <w:tc>
          <w:tcPr>
            <w:tcW w:w="2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Net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NCO (Recovery)</w:t>
            </w:r>
          </w:p>
        </w:tc>
      </w:tr>
      <w:tr>
        <w:trPr>
          <w:trHeight w:val="216"/>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Net</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NCO to</w:t>
            </w: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Charge-</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to</w:t>
            </w:r>
          </w:p>
        </w:tc>
      </w:tr>
      <w:tr>
        <w:trPr>
          <w:trHeight w:val="216"/>
        </w:trPr>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Charge-</w:t>
            </w:r>
          </w:p>
        </w:tc>
        <w:tc>
          <w:tcPr>
            <w:tcW w:w="2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Offs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21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Offs</w:t>
            </w:r>
          </w:p>
        </w:tc>
        <w:tc>
          <w:tcPr>
            <w:tcW w:w="2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Loans</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Loans</w:t>
            </w:r>
          </w:p>
        </w:tc>
        <w:tc>
          <w:tcPr>
            <w:tcW w:w="1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(Recoveries)</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6"/>
              </w:rPr>
              <w:t>Loans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Loans</w:t>
            </w:r>
          </w:p>
        </w:tc>
      </w:tr>
      <w:tr>
        <w:trPr>
          <w:trHeight w:val="27"/>
        </w:trPr>
        <w:tc>
          <w:tcPr>
            <w:tcW w:w="2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183,543</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128,980</w:t>
            </w: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2120" w:type="dxa"/>
            <w:vAlign w:val="bottom"/>
          </w:tcPr>
          <w:p>
            <w:pPr>
              <w:ind w:left="20"/>
              <w:spacing w:after="0"/>
              <w:rPr>
                <w:sz w:val="20"/>
                <w:szCs w:val="20"/>
                <w:color w:val="auto"/>
              </w:rPr>
            </w:pPr>
            <w:r>
              <w:rPr>
                <w:rFonts w:ascii="Arial" w:cs="Arial" w:eastAsia="Arial" w:hAnsi="Arial"/>
                <w:sz w:val="18"/>
                <w:szCs w:val="18"/>
                <w:color w:val="auto"/>
                <w:w w:val="91"/>
              </w:rPr>
              <w:t>Commercial, non-real estate</w:t>
            </w: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21,803</w:t>
            </w:r>
          </w:p>
        </w:tc>
        <w:tc>
          <w:tcPr>
            <w:tcW w:w="8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5,885</w:t>
            </w:r>
          </w:p>
        </w:tc>
        <w:tc>
          <w:tcPr>
            <w:tcW w:w="8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29,465</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31,572</w:t>
            </w: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12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21,612</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2,245</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28,392</w:t>
            </w:r>
          </w:p>
        </w:tc>
        <w:tc>
          <w:tcPr>
            <w:tcW w:w="8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31.7 %</w:t>
            </w:r>
          </w:p>
        </w:tc>
      </w:tr>
      <w:tr>
        <w:trPr>
          <w:trHeight w:val="27"/>
        </w:trPr>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18,115</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120" w:type="dxa"/>
            <w:vAlign w:val="bottom"/>
          </w:tcPr>
          <w:p>
            <w:pPr>
              <w:ind w:left="2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8,148</w:t>
            </w:r>
          </w:p>
        </w:tc>
        <w:tc>
          <w:tcPr>
            <w:tcW w:w="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4,858</w:t>
            </w:r>
          </w:p>
        </w:tc>
        <w:tc>
          <w:tcPr>
            <w:tcW w:w="8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282,686</w:t>
            </w:r>
          </w:p>
        </w:tc>
        <w:tc>
          <w:tcPr>
            <w:tcW w:w="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$2,298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204,501 204501000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gridSpan w:val="7"/>
          </w:tcPr>
          <w:p>
            <w:pPr>
              <w:ind w:left="640"/>
              <w:spacing w:after="0"/>
              <w:rPr>
                <w:sz w:val="20"/>
                <w:szCs w:val="20"/>
                <w:color w:val="auto"/>
              </w:rPr>
            </w:pPr>
            <w:r>
              <w:rPr>
                <w:rFonts w:ascii="Arial" w:cs="Arial" w:eastAsia="Arial" w:hAnsi="Arial"/>
                <w:sz w:val="18"/>
                <w:szCs w:val="18"/>
                <w:b w:val="1"/>
                <w:bCs w:val="1"/>
                <w:color w:val="auto"/>
              </w:rPr>
              <w:t>Six Months Ended June 30, 2023</w:t>
            </w:r>
          </w:p>
        </w:tc>
        <w:tc>
          <w:tcPr>
            <w:tcW w:w="160" w:type="dxa"/>
            <w:vAlign w:val="bottom"/>
          </w:tcPr>
          <w:p>
            <w:pPr>
              <w:spacing w:after="0"/>
              <w:rPr>
                <w:sz w:val="20"/>
                <w:szCs w:val="20"/>
                <w:color w:val="auto"/>
              </w:rPr>
            </w:pPr>
          </w:p>
        </w:tc>
        <w:tc>
          <w:tcPr>
            <w:tcW w:w="4180" w:type="dxa"/>
            <w:vAlign w:val="bottom"/>
            <w:gridSpan w:val="6"/>
          </w:tcPr>
          <w:p>
            <w:pPr>
              <w:jc w:val="right"/>
              <w:ind w:right="830"/>
              <w:spacing w:after="0"/>
              <w:rPr>
                <w:sz w:val="20"/>
                <w:szCs w:val="20"/>
                <w:color w:val="auto"/>
              </w:rPr>
            </w:pPr>
            <w:r>
              <w:rPr>
                <w:rFonts w:ascii="Arial" w:cs="Arial" w:eastAsia="Arial" w:hAnsi="Arial"/>
                <w:sz w:val="18"/>
                <w:szCs w:val="18"/>
                <w:b w:val="1"/>
                <w:bCs w:val="1"/>
                <w:color w:val="auto"/>
              </w:rPr>
              <w:t>Six Months Ended June 30, 2022</w:t>
            </w:r>
          </w:p>
        </w:tc>
      </w:tr>
      <w:tr>
        <w:trPr>
          <w:trHeight w:val="27"/>
        </w:trPr>
        <w:tc>
          <w:tcPr>
            <w:tcW w:w="2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NCO (Recovery)</w:t>
            </w:r>
          </w:p>
        </w:tc>
      </w:tr>
      <w:tr>
        <w:trPr>
          <w:trHeight w:val="216"/>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Net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NCO to</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Charge-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to</w:t>
            </w:r>
          </w:p>
        </w:tc>
      </w:tr>
      <w:tr>
        <w:trPr>
          <w:trHeight w:val="216"/>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Charge-</w:t>
            </w: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Offs</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25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Offs</w:t>
            </w:r>
          </w:p>
        </w:tc>
        <w:tc>
          <w:tcPr>
            <w:tcW w:w="2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Loans</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(Recoveries)</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Loans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Loans</w:t>
            </w:r>
          </w:p>
        </w:tc>
      </w:tr>
      <w:tr>
        <w:trPr>
          <w:trHeight w:val="27"/>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Commercial, non-real estate</w:t>
            </w: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18,204</w:t>
            </w:r>
          </w:p>
        </w:tc>
        <w:tc>
          <w:tcPr>
            <w:tcW w:w="10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Strategic program loans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22,459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44.9 %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27,565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36.8 %</w:t>
            </w: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271,095</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203,282</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Interest-Bearing Deposits in Other Banks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interest-bearing deposits in other banks increased to $118.7 million at June 30, 2023 from $100.2 million at December 31, 2022, an increase of $18.5 million, or 18.5%. This increase was primarily due to an increase in reserve account requirements related to our Strategic Program loans. Interest-bearing deposits in other banks have generally been the primary repository of the liquidity we use to fund our operations. Aside from minimal balances held with our correspondent banks, the majority of our interest-bearing deposits in other banks was held directly with the Federal Reserve.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classify investment securities as either held-to-maturity or available-for-sale based on our intentions and the Company’s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periods presented, all securities were classified as held-to-maturity.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contractual maturities and weighted average yields of investment securities at June 30, 2023, and the amortized cost of those securities as of the indicated dates.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89"/>
              </w:rPr>
              <w:t>As of June 30, 2023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9"/>
          </w:tcPr>
          <w:p>
            <w:pPr>
              <w:ind w:left="660"/>
              <w:spacing w:after="0"/>
              <w:rPr>
                <w:sz w:val="20"/>
                <w:szCs w:val="20"/>
                <w:color w:val="auto"/>
              </w:rPr>
            </w:pPr>
            <w:r>
              <w:rPr>
                <w:rFonts w:ascii="Arial" w:cs="Arial" w:eastAsia="Arial" w:hAnsi="Arial"/>
                <w:sz w:val="18"/>
                <w:szCs w:val="18"/>
                <w:b w:val="1"/>
                <w:bCs w:val="1"/>
                <w:color w:val="auto"/>
              </w:rPr>
              <w:t>One Year or Less</w:t>
            </w:r>
          </w:p>
        </w:tc>
        <w:tc>
          <w:tcPr>
            <w:tcW w:w="320" w:type="dxa"/>
            <w:vAlign w:val="bottom"/>
          </w:tcPr>
          <w:p>
            <w:pPr>
              <w:spacing w:after="0"/>
              <w:rPr>
                <w:sz w:val="20"/>
                <w:szCs w:val="20"/>
                <w:color w:val="auto"/>
              </w:rPr>
            </w:pPr>
          </w:p>
        </w:tc>
        <w:tc>
          <w:tcPr>
            <w:tcW w:w="2740" w:type="dxa"/>
            <w:vAlign w:val="bottom"/>
            <w:gridSpan w:val="6"/>
          </w:tcPr>
          <w:p>
            <w:pPr>
              <w:ind w:left="300"/>
              <w:spacing w:after="0"/>
              <w:rPr>
                <w:sz w:val="20"/>
                <w:szCs w:val="20"/>
                <w:color w:val="auto"/>
              </w:rPr>
            </w:pPr>
            <w:r>
              <w:rPr>
                <w:rFonts w:ascii="Arial" w:cs="Arial" w:eastAsia="Arial" w:hAnsi="Arial"/>
                <w:sz w:val="18"/>
                <w:szCs w:val="18"/>
                <w:b w:val="1"/>
                <w:bCs w:val="1"/>
                <w:color w:val="auto"/>
              </w:rPr>
              <w:t>After One to Five Years</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320" w:type="dxa"/>
            <w:vAlign w:val="bottom"/>
          </w:tcPr>
          <w:p>
            <w:pPr>
              <w:spacing w:after="0"/>
              <w:rPr>
                <w:sz w:val="18"/>
                <w:szCs w:val="18"/>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33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Cost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Yield</w:t>
            </w:r>
          </w:p>
        </w:tc>
        <w:tc>
          <w:tcPr>
            <w:tcW w:w="320" w:type="dxa"/>
            <w:vAlign w:val="bottom"/>
          </w:tcPr>
          <w:p>
            <w:pPr>
              <w:spacing w:after="0"/>
              <w:rPr>
                <w:sz w:val="20"/>
                <w:szCs w:val="20"/>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Yield</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Collateralized mortgage obligations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4"/>
          </w:tcPr>
          <w:p>
            <w:pPr>
              <w:ind w:left="10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3"/>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4"/>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14"/>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9"/>
              </w:rPr>
              <w:t>As of June 30, 2023</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8"/>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After Ten Years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6"/>
          </w:tcPr>
          <w:p>
            <w:pPr>
              <w:ind w:left="100"/>
              <w:spacing w:after="0"/>
              <w:rPr>
                <w:sz w:val="20"/>
                <w:szCs w:val="20"/>
                <w:color w:val="auto"/>
              </w:rPr>
            </w:pPr>
            <w:r>
              <w:rPr>
                <w:rFonts w:ascii="Arial" w:cs="Arial" w:eastAsia="Arial" w:hAnsi="Arial"/>
                <w:sz w:val="18"/>
                <w:szCs w:val="18"/>
                <w:b w:val="1"/>
                <w:bCs w:val="1"/>
                <w:color w:val="auto"/>
              </w:rPr>
              <w:t>After Five to Ten Years Weighted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5"/>
          </w:tcPr>
          <w:p>
            <w:pPr>
              <w:jc w:val="center"/>
              <w:ind w:left="890"/>
              <w:spacing w:after="0"/>
              <w:rPr>
                <w:sz w:val="20"/>
                <w:szCs w:val="20"/>
                <w:color w:val="auto"/>
              </w:rPr>
            </w:pPr>
            <w:r>
              <w:rPr>
                <w:rFonts w:ascii="Arial" w:cs="Arial" w:eastAsia="Arial" w:hAnsi="Arial"/>
                <w:sz w:val="18"/>
                <w:szCs w:val="18"/>
                <w:b w:val="1"/>
                <w:bCs w:val="1"/>
                <w:color w:val="auto"/>
                <w:w w:val="88"/>
              </w:rPr>
              <w:t>Weighted</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3"/>
              </w:rPr>
              <w:t>Amortized</w:t>
            </w:r>
          </w:p>
        </w:tc>
        <w:tc>
          <w:tcPr>
            <w:tcW w:w="320" w:type="dxa"/>
            <w:vAlign w:val="bottom"/>
          </w:tcPr>
          <w:p>
            <w:pPr>
              <w:spacing w:after="0"/>
              <w:rPr>
                <w:sz w:val="18"/>
                <w:szCs w:val="18"/>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Amortized</w:t>
            </w:r>
          </w:p>
        </w:tc>
      </w:tr>
      <w:tr>
        <w:trPr>
          <w:trHeight w:val="234"/>
        </w:trPr>
        <w:tc>
          <w:tcPr>
            <w:tcW w:w="334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0"/>
                <w:szCs w:val="20"/>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2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Yield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4"/>
              </w:rPr>
              <w:t>Cost</w:t>
            </w:r>
          </w:p>
        </w:tc>
        <w:tc>
          <w:tcPr>
            <w:tcW w:w="320" w:type="dxa"/>
            <w:vAlign w:val="bottom"/>
          </w:tcPr>
          <w:p>
            <w:pPr>
              <w:spacing w:after="0"/>
              <w:rPr>
                <w:sz w:val="20"/>
                <w:szCs w:val="20"/>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Yield</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Cost</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w w:val="91"/>
              </w:rPr>
              <w:t>1.7 %</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7,511</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Collateralized mortgage obligations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w w:val="91"/>
              </w:rPr>
              <w:t>1.2 %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6,892</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3"/>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1"/>
              </w:rPr>
              <w:t>2.0 %</w:t>
            </w:r>
          </w:p>
        </w:tc>
        <w:tc>
          <w:tcPr>
            <w:tcW w:w="6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14,403</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yield of investment securities is the sum of all interest that the investments generate, divided by the sum of the book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calls, sales or maturities of securities during the six months ended June 30, 2023 and June 30, 2022.</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there were nineteen securities, consisting of nine collateralized mortgage obligations and ten mortgage-backed securities, in an unrealized loss position at June 30, 2023 and seventeen securities, consisting of eight collateralized mortgage obligations and nine mortgage-backed securities, in an unrealized loss position as of December 31,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Liabilities</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liabilities increased to $348.2 million, or 33.7%, as of June 30, 2023 from $260.3 million as of December 31, 2022 primarily due to an increase in brokered deposits utilized in the funding of our lending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Deposits are the major source of funding for the Company. We offer a variety of deposit products including interest and noninterest bearing demand accounts, HSA demand deposits sourced through Lively, Inc.,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or Strategic Program loan portfolio. In addition to the reserve account, some Strategic Program loan originators maintain operating deposit accounts with us.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end of period and average balances of our deposit portfolio for the periods indicated (average balances have been calculated using daily averages):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4"/>
          </w:tcPr>
          <w:p>
            <w:pPr>
              <w:ind w:left="740"/>
              <w:spacing w:after="0"/>
              <w:rPr>
                <w:sz w:val="20"/>
                <w:szCs w:val="20"/>
                <w:color w:val="auto"/>
              </w:rPr>
            </w:pPr>
            <w:r>
              <w:rPr>
                <w:rFonts w:ascii="Arial" w:cs="Arial" w:eastAsia="Arial" w:hAnsi="Arial"/>
                <w:sz w:val="18"/>
                <w:szCs w:val="18"/>
                <w:b w:val="1"/>
                <w:bCs w:val="1"/>
                <w:color w:val="auto"/>
              </w:rPr>
              <w:t>June 30, 2023</w:t>
            </w:r>
          </w:p>
        </w:tc>
        <w:tc>
          <w:tcPr>
            <w:tcW w:w="320" w:type="dxa"/>
            <w:vAlign w:val="bottom"/>
          </w:tcPr>
          <w:p>
            <w:pPr>
              <w:spacing w:after="0"/>
              <w:rPr>
                <w:sz w:val="20"/>
                <w:szCs w:val="20"/>
                <w:color w:val="auto"/>
              </w:rPr>
            </w:pPr>
          </w:p>
        </w:tc>
        <w:tc>
          <w:tcPr>
            <w:tcW w:w="28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32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700" w:type="dxa"/>
            <w:vAlign w:val="bottom"/>
            <w:gridSpan w:val="2"/>
          </w:tcPr>
          <w:p>
            <w:pPr>
              <w:ind w:left="520"/>
              <w:spacing w:after="0"/>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jc w:val="right"/>
              <w:ind w:right="41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4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Period end:</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Noninterest-bearing demand deposits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93,347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78,817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Interest-bearing deposits: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Demand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50,746</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Savings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9,484</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8,289</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10,882</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Time 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168,891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50.8 %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94,264</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38.8 %</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period end deposits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332,530</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242,998</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6"/>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 2023</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6"/>
          </w:tcPr>
          <w:p>
            <w:pPr>
              <w:ind w:left="700"/>
              <w:spacing w:after="0"/>
              <w:rPr>
                <w:sz w:val="20"/>
                <w:szCs w:val="20"/>
                <w:color w:val="auto"/>
              </w:rPr>
            </w:pPr>
            <w:r>
              <w:rPr>
                <w:rFonts w:ascii="Arial" w:cs="Arial" w:eastAsia="Arial" w:hAnsi="Arial"/>
                <w:sz w:val="18"/>
                <w:szCs w:val="18"/>
                <w:b w:val="1"/>
                <w:bCs w:val="1"/>
                <w:color w:val="auto"/>
                <w:w w:val="96"/>
              </w:rPr>
              <w:t>December 31, 2022</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2022</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Average</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13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rate paid</w:t>
            </w: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of total</w:t>
            </w:r>
          </w:p>
        </w:tc>
        <w:tc>
          <w:tcPr>
            <w:tcW w:w="180" w:type="dxa"/>
            <w:vAlign w:val="bottom"/>
          </w:tcPr>
          <w:p>
            <w:pPr>
              <w:spacing w:after="0"/>
              <w:rPr>
                <w:sz w:val="20"/>
                <w:szCs w:val="20"/>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3"/>
              </w:rPr>
              <w:t>rate paid</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of total</w:t>
            </w: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rate paid</w:t>
            </w: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of total</w:t>
            </w:r>
          </w:p>
        </w:tc>
        <w:tc>
          <w:tcPr>
            <w:tcW w:w="0" w:type="dxa"/>
            <w:vAlign w:val="bottom"/>
          </w:tcPr>
          <w:p>
            <w:pPr>
              <w:spacing w:after="0"/>
              <w:rPr>
                <w:sz w:val="1"/>
                <w:szCs w:val="1"/>
                <w:color w:val="auto"/>
              </w:rPr>
            </w:pPr>
          </w:p>
        </w:tc>
      </w:tr>
      <w:tr>
        <w:trPr>
          <w:trHeight w:val="27"/>
        </w:trPr>
        <w:tc>
          <w:tcPr>
            <w:tcW w:w="13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Average:</w:t>
            </w: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Noninterest-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bearing demand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95,257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96,581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120,359</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Interest-bearing</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Demand</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1380" w:type="dxa"/>
            <w:vAlign w:val="bottom"/>
          </w:tcPr>
          <w:p>
            <w:pPr>
              <w:ind w:left="20"/>
              <w:spacing w:after="0"/>
              <w:rPr>
                <w:sz w:val="20"/>
                <w:szCs w:val="20"/>
                <w:color w:val="auto"/>
              </w:rPr>
            </w:pPr>
            <w:r>
              <w:rPr>
                <w:rFonts w:ascii="Arial" w:cs="Arial" w:eastAsia="Arial" w:hAnsi="Arial"/>
                <w:sz w:val="18"/>
                <w:szCs w:val="18"/>
                <w:color w:val="auto"/>
              </w:rPr>
              <w:t>Savings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0.56 %</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0.26 %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7,430</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0.05 %</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29,318</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0.29 %</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Time certificates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of deposit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153,662</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4.30 %</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59,273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82,870</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0.94 %</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7"/>
        </w:trPr>
        <w:tc>
          <w:tcPr>
            <w:tcW w:w="1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average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314,332</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222,683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247,564</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0.39 %</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905"/>
        </w:trPr>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5"/>
          </w:tcPr>
          <w:p>
            <w:pPr>
              <w:ind w:left="480"/>
              <w:spacing w:after="0"/>
              <w:rPr>
                <w:sz w:val="20"/>
                <w:szCs w:val="20"/>
                <w:color w:val="auto"/>
              </w:rPr>
            </w:pPr>
            <w:r>
              <w:rPr>
                <w:rFonts w:ascii="Arial" w:cs="Arial" w:eastAsia="Arial" w:hAnsi="Arial"/>
                <w:sz w:val="18"/>
                <w:szCs w:val="18"/>
                <w:b w:val="1"/>
                <w:bCs w:val="1"/>
                <w:color w:val="auto"/>
              </w:rPr>
              <w:t>For the Six Months Ended</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ind w:left="280"/>
              <w:spacing w:after="0"/>
              <w:rPr>
                <w:sz w:val="20"/>
                <w:szCs w:val="20"/>
                <w:color w:val="auto"/>
              </w:rPr>
            </w:pPr>
            <w:r>
              <w:rPr>
                <w:rFonts w:ascii="Arial" w:cs="Arial" w:eastAsia="Arial" w:hAnsi="Arial"/>
                <w:sz w:val="18"/>
                <w:szCs w:val="18"/>
                <w:b w:val="1"/>
                <w:bCs w:val="1"/>
                <w:color w:val="auto"/>
              </w:rPr>
              <w:t>June 30, 2023</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ind w:left="280"/>
              <w:spacing w:after="0"/>
              <w:rPr>
                <w:sz w:val="20"/>
                <w:szCs w:val="20"/>
                <w:color w:val="auto"/>
              </w:rPr>
            </w:pPr>
            <w:r>
              <w:rPr>
                <w:rFonts w:ascii="Arial" w:cs="Arial" w:eastAsia="Arial" w:hAnsi="Arial"/>
                <w:sz w:val="18"/>
                <w:szCs w:val="18"/>
                <w:b w:val="1"/>
                <w:bCs w:val="1"/>
                <w:color w:val="auto"/>
              </w:rPr>
              <w:t>June 30, 2022</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Average</w:t>
            </w:r>
          </w:p>
        </w:tc>
        <w:tc>
          <w:tcPr>
            <w:tcW w:w="1520" w:type="dxa"/>
            <w:vAlign w:val="bottom"/>
            <w:gridSpan w:val="2"/>
          </w:tcPr>
          <w:p>
            <w:pPr>
              <w:ind w:left="420"/>
              <w:spacing w:after="0"/>
              <w:rPr>
                <w:sz w:val="20"/>
                <w:szCs w:val="20"/>
                <w:color w:val="auto"/>
              </w:rPr>
            </w:pPr>
            <w:r>
              <w:rPr>
                <w:rFonts w:ascii="Arial" w:cs="Arial" w:eastAsia="Arial" w:hAnsi="Arial"/>
                <w:sz w:val="18"/>
                <w:szCs w:val="18"/>
                <w:b w:val="1"/>
                <w:bCs w:val="1"/>
                <w:color w:val="auto"/>
              </w:rPr>
              <w:t>Percent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146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rate paid</w:t>
            </w:r>
          </w:p>
        </w:tc>
        <w:tc>
          <w:tcPr>
            <w:tcW w:w="1520" w:type="dxa"/>
            <w:vAlign w:val="bottom"/>
            <w:gridSpan w:val="2"/>
          </w:tcPr>
          <w:p>
            <w:pPr>
              <w:ind w:left="440"/>
              <w:spacing w:after="0"/>
              <w:rPr>
                <w:sz w:val="20"/>
                <w:szCs w:val="20"/>
                <w:color w:val="auto"/>
              </w:rPr>
            </w:pPr>
            <w:r>
              <w:rPr>
                <w:rFonts w:ascii="Arial" w:cs="Arial" w:eastAsia="Arial" w:hAnsi="Arial"/>
                <w:sz w:val="18"/>
                <w:szCs w:val="18"/>
                <w:b w:val="1"/>
                <w:bCs w:val="1"/>
                <w:color w:val="auto"/>
              </w:rPr>
              <w:t>of total</w:t>
            </w:r>
          </w:p>
        </w:tc>
        <w:tc>
          <w:tcPr>
            <w:tcW w:w="30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rate paid</w:t>
            </w: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of total</w:t>
            </w:r>
          </w:p>
        </w:tc>
        <w:tc>
          <w:tcPr>
            <w:tcW w:w="0" w:type="dxa"/>
            <w:vAlign w:val="bottom"/>
          </w:tcPr>
          <w:p>
            <w:pPr>
              <w:spacing w:after="0"/>
              <w:rPr>
                <w:sz w:val="1"/>
                <w:szCs w:val="1"/>
                <w:color w:val="auto"/>
              </w:rPr>
            </w:pPr>
          </w:p>
        </w:tc>
      </w:tr>
      <w:tr>
        <w:trPr>
          <w:trHeight w:val="27"/>
        </w:trPr>
        <w:tc>
          <w:tcPr>
            <w:tcW w:w="14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Average:</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Noninterest-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bearing demand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93,489</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32.7 %</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129,014</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49.9 %</w:t>
            </w:r>
          </w:p>
        </w:tc>
        <w:tc>
          <w:tcPr>
            <w:tcW w:w="0" w:type="dxa"/>
            <w:vAlign w:val="bottom"/>
          </w:tcPr>
          <w:p>
            <w:pPr>
              <w:spacing w:after="0"/>
              <w:rPr>
                <w:sz w:val="1"/>
                <w:szCs w:val="1"/>
                <w:color w:val="auto"/>
              </w:rPr>
            </w:pPr>
          </w:p>
        </w:tc>
      </w:tr>
      <w:tr>
        <w:trPr>
          <w:trHeight w:val="229"/>
        </w:trPr>
        <w:tc>
          <w:tcPr>
            <w:tcW w:w="1460" w:type="dxa"/>
            <w:vAlign w:val="bottom"/>
          </w:tcPr>
          <w:p>
            <w:pPr>
              <w:ind w:left="20"/>
              <w:spacing w:after="0"/>
              <w:rPr>
                <w:sz w:val="20"/>
                <w:szCs w:val="20"/>
                <w:color w:val="auto"/>
              </w:rPr>
            </w:pPr>
            <w:r>
              <w:rPr>
                <w:rFonts w:ascii="Arial" w:cs="Arial" w:eastAsia="Arial" w:hAnsi="Arial"/>
                <w:sz w:val="18"/>
                <w:szCs w:val="18"/>
                <w:color w:val="auto"/>
              </w:rPr>
              <w:t>Interest-bearing</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Demand</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42,822</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Arial" w:cs="Arial" w:eastAsia="Arial" w:hAnsi="Arial"/>
                <w:sz w:val="18"/>
                <w:szCs w:val="18"/>
                <w:color w:val="auto"/>
              </w:rPr>
              <w:t>Savings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7,821</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0.53 %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7,056</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0.06 %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13,040</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9"/>
        </w:trPr>
        <w:tc>
          <w:tcPr>
            <w:tcW w:w="1460" w:type="dxa"/>
            <w:vAlign w:val="bottom"/>
          </w:tcPr>
          <w:p>
            <w:pPr>
              <w:ind w:left="20"/>
              <w:spacing w:after="0"/>
              <w:rPr>
                <w:sz w:val="20"/>
                <w:szCs w:val="20"/>
                <w:color w:val="auto"/>
              </w:rPr>
            </w:pPr>
            <w:r>
              <w:rPr>
                <w:rFonts w:ascii="Arial" w:cs="Arial" w:eastAsia="Arial" w:hAnsi="Arial"/>
                <w:sz w:val="18"/>
                <w:szCs w:val="18"/>
                <w:color w:val="auto"/>
                <w:w w:val="93"/>
              </w:rPr>
              <w:t>Time certificates of</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deposit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128,583</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3.90 %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45.0 %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85,235</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0.98 %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7"/>
        </w:trPr>
        <w:tc>
          <w:tcPr>
            <w:tcW w:w="1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average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285,755</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258,870</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0.39 %</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deposits increased to $332.5 million as of June 30, 2023 from $243.0 million as of December 31, 2022, an increase of $89.5 million, or 36.8%, and was primarily due to an increase in brokered time deposits utilized in the funding of our lending programs. Our Interest-bearing demand deposits decreased to $46.3 million as of June 30, 2023 from $50.7 million as of December 31, 2022, a decrease of $4.4 million, or 8.7%. This decrease was primarily due to a decrease in brokered demand deposits.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uninsured deposits were $133.1 million and $108.4 million as of June 30, 2023 and December 31, 2022, respectively. The maturity profile of our uninsured time deposits, those amounts that exceed the FDIC insurance limit, at June 30, 2023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2023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More than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three</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More than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Three</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months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six months</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More than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months</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to six</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 twelve</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twelve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or less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months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months</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months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deposits, uninsured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r>
      <w:tr>
        <w:trPr>
          <w:trHeight w:val="486"/>
        </w:trPr>
        <w:tc>
          <w:tcPr>
            <w:tcW w:w="350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5"/>
        </w:trPr>
        <w:tc>
          <w:tcPr>
            <w:tcW w:w="3500" w:type="dxa"/>
            <w:vAlign w:val="bottom"/>
          </w:tcPr>
          <w:p>
            <w:pPr>
              <w:spacing w:after="0"/>
              <w:rPr>
                <w:sz w:val="20"/>
                <w:szCs w:val="20"/>
                <w:color w:val="auto"/>
              </w:rPr>
            </w:pPr>
            <w:r>
              <w:rPr>
                <w:rFonts w:ascii="Arial" w:cs="Arial" w:eastAsia="Arial" w:hAnsi="Arial"/>
                <w:sz w:val="18"/>
                <w:szCs w:val="18"/>
                <w:i w:val="1"/>
                <w:iCs w:val="1"/>
                <w:color w:val="auto"/>
              </w:rPr>
              <w:t>Liquidity Management</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Liquidity management is the ability to meet current and future financial obligations of a short-term nature. Our primary sources of funds consist of deposit inflows, the sale of loans, repayment of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23, 2021, we completed our IPO at a price of $10.50 per share. We raised approximately $36.1 million in net proceeds after deducting underwriting discounts and commissions of approximately $3.0 million and certain estimated offering expenses payable by us of approximately of $3.2 million. The net proceeds less $0.5 million in other related expenses, including legal fees totaled $35.6 million.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source of funds to originate new loans is derived from deposits. Deposits are comprised of core and noncore deposits. We use brokered deposits and a rate listing service to advertise rates to banks, credit unions, and other institutional entities. We designate deposits obtained from this source as Institutional Deposits. Depositors of brokered and Institutional Deposits have generally been willing to place deposits with us at rates near the middle of the market. To attract deposits from local and nationwide consumer and commercial markets, we historically paid rates at the higher end of the market, which we have been able to pay due to our high margin and technology oriented business model. We utilize rate listing services and website advertising to attract deposits from consumer and commercial sources.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regularly evaluate new, core deposit products and in 2022, we launched an HSA deposit product sourced through Lively, Inc. 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reduce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24.0% of total assets at June 30, 2023.</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primarily utilize short-term and long-term borrowings to supplement deposits to fund our lending and investment activities, each of which is discussed below. At June 30, 2023, we had the ability to access $10.4 million from the Federal Reserve Bank’s Discount Window and $0.8 million from the Federal Reserve Bank's Bank Term Funding Program on a collateralized basis. The Bank had an available unsecured line of credit with Bankers’ Bank of the West to borrow up to $1.05 million in overnight funds. We also maintain a $2.5 million line of credit with Federal Home Loan Bank, secured by specific pledged loans. We had no outstanding balances on such unsecured or secured lines of credit as of June 30, 2023. In long term borrowings, we had $0.3 million outstanding at June 30, 2023 related to the PPPLF. The PPPLF is secured by pledged PPP loans.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liquid assets are cash and cash equivalents. The levels of these assets depend on our operating, financing, lending and investing activities during any given period. At June 30, 2023, liquid assets (defined as cash and due from banks and interest bearing deposits), consisting of cash and due from banks, totaled $119.0 million. We believe that our liquid assets combined with the available lines of credit provide adequate liquidity to meet our current financial obligations for at least the next 12 months.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equity increased $7.0 million to $147.4 million at June 30, 2023 compared to $140.5 million at December 31, 2022. The increase in shareholders’ equity was primarily attributable to net income recognized of $8.5 million. Stock options exercised, and stock-based compensation increased additional paid-in capital in the aggregate by approximately $1.1 million while the repurchase of common stock and the adoption of ASC 2016-13 (CECL) reduced additional paid-in capital by approximately $2.4 million and $0.2 million, respectively.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several indicators of capital strength. The most commonly used measure is total equity to total assets, which was 29.7% and 34.9% as of June 30, 2023 and December 31, 2022, respectively.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return on average equity was 12.8% and 17.2% for the three months ended June 30, 2023 and 2022, respectively. Our return on average assets was 3.9% and 5.5% for the three months ended June 30, 2023 and 2022, respectively. Our return on average equity was 12.0% and 24.3% for the six months ended June 30, 2023 and 2022, respectively. Our return on average assets was 3.9% and 8.0% for the six months ended June 30, 2023 and 2022, respectively.</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The Bank has elected to opt into the Community Bank Leverage Ratio framework starting in 2020. Under these new capital requirements the Bank must maintain a leverage ratio greater than 9.0% for each year beginning in 2022.</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and December 31, 2022, the most recent notification from the FDIC categorized the Bank as well-capitalized under the regulatory framework for prompt corrective action (there are no conditions or events since that notification we believe have changed the Bank’s category). The following table sets forth the actual capital amounts and ratios for the Bank and the amount of capital required to be categorized as well-capitalized as of the dates indicated.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regulatory capital ratios for the Bank as of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80" w:type="dxa"/>
            <w:vAlign w:val="bottom"/>
            <w:gridSpan w:val="4"/>
          </w:tcPr>
          <w:p>
            <w:pPr>
              <w:spacing w:after="0"/>
              <w:rPr>
                <w:sz w:val="20"/>
                <w:szCs w:val="20"/>
                <w:color w:val="auto"/>
              </w:rPr>
            </w:pPr>
            <w:r>
              <w:rPr>
                <w:rFonts w:ascii="Arial" w:cs="Arial" w:eastAsia="Arial" w:hAnsi="Arial"/>
                <w:sz w:val="18"/>
                <w:szCs w:val="18"/>
                <w:b w:val="1"/>
                <w:bCs w:val="1"/>
                <w:color w:val="auto"/>
              </w:rPr>
              <w:t>As of</w:t>
            </w:r>
          </w:p>
        </w:tc>
        <w:tc>
          <w:tcPr>
            <w:tcW w:w="160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4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Well-</w:t>
            </w:r>
          </w:p>
        </w:tc>
      </w:tr>
      <w:tr>
        <w:trPr>
          <w:trHeight w:val="216"/>
        </w:trPr>
        <w:tc>
          <w:tcPr>
            <w:tcW w:w="4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Capitalized</w:t>
            </w:r>
          </w:p>
        </w:tc>
      </w:tr>
      <w:tr>
        <w:trPr>
          <w:trHeight w:val="234"/>
        </w:trPr>
        <w:tc>
          <w:tcPr>
            <w:tcW w:w="4180" w:type="dxa"/>
            <w:vAlign w:val="bottom"/>
          </w:tcPr>
          <w:p>
            <w:pPr>
              <w:ind w:left="20"/>
              <w:spacing w:after="0"/>
              <w:rPr>
                <w:sz w:val="20"/>
                <w:szCs w:val="20"/>
                <w:color w:val="auto"/>
              </w:rPr>
            </w:pPr>
            <w:r>
              <w:rPr>
                <w:rFonts w:ascii="Arial" w:cs="Arial" w:eastAsia="Arial" w:hAnsi="Arial"/>
                <w:sz w:val="18"/>
                <w:szCs w:val="18"/>
                <w:i w:val="1"/>
                <w:iCs w:val="1"/>
                <w:color w:val="auto"/>
              </w:rPr>
              <w:t>Capital Ratios</w:t>
            </w:r>
          </w:p>
        </w:tc>
        <w:tc>
          <w:tcPr>
            <w:tcW w:w="178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30, 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December 31, 2022</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Requirement</w:t>
            </w:r>
          </w:p>
        </w:tc>
      </w:tr>
      <w:tr>
        <w:trPr>
          <w:trHeight w:val="27"/>
        </w:trPr>
        <w:tc>
          <w:tcPr>
            <w:tcW w:w="41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Leverage Ratio (under CBLR)</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2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7"/>
        </w:trPr>
        <w:tc>
          <w:tcPr>
            <w:tcW w:w="4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June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One to</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More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Less than</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Three</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Three to</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Than Five</w:t>
            </w: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One Year</w:t>
            </w:r>
          </w:p>
        </w:tc>
        <w:tc>
          <w:tcPr>
            <w:tcW w:w="2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Years</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Five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Years</w:t>
            </w:r>
          </w:p>
        </w:tc>
        <w:tc>
          <w:tcPr>
            <w:tcW w:w="0" w:type="dxa"/>
            <w:vAlign w:val="bottom"/>
          </w:tcPr>
          <w:p>
            <w:pPr>
              <w:spacing w:after="0"/>
              <w:rPr>
                <w:sz w:val="1"/>
                <w:szCs w:val="1"/>
                <w:color w:val="auto"/>
              </w:rPr>
            </w:pPr>
          </w:p>
        </w:tc>
      </w:tr>
      <w:tr>
        <w:trPr>
          <w:trHeight w:val="27"/>
        </w:trPr>
        <w:tc>
          <w:tcPr>
            <w:tcW w:w="3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Deposits without stated maturity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168,891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9,012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borrowings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316,046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275,261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 Balances in this category pertain to the PPPLF and are fully-collateralized with PPP loans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We are not aware of any accounting</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to be incurred by funding these commitments; if required, we would maintain an allowance for off-balance sheet credit risk which would be recorded in other liabilities on the consolidated balance sheets.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commitments to extend credit as of the dates indicated are summarized below. Since commitments associated with commitments to extend credit may expire unused, the amounts shown do not necessarily reflect the actual future cash funding requirements.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June 30,</w:t>
            </w:r>
          </w:p>
        </w:tc>
        <w:tc>
          <w:tcPr>
            <w:tcW w:w="12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As of December</w:t>
            </w:r>
          </w:p>
        </w:tc>
      </w:tr>
      <w:tr>
        <w:trPr>
          <w:trHeight w:val="234"/>
        </w:trPr>
        <w:tc>
          <w:tcPr>
            <w:tcW w:w="81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31, 2022</w:t>
            </w: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open-end lines of credit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17,886</w:t>
            </w: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unused commitments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 commitments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19,822</w:t>
            </w:r>
          </w:p>
        </w:tc>
      </w:tr>
      <w:tr>
        <w:trPr>
          <w:trHeight w:val="21"/>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filer category of “smaller reporting company,” as defined in Rule 12b-2 of the Exchange Act, the Company is not required to provide information requested by Part I, Item 3 of this Report.</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defined in Rule 13a-15(e) under the Exchange Act as of the end of the period covered by this Report. Based on that evaluation, the Company’s Chief Executive Officer and Chief Financial Officer concluded that the Company's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the Company’s internal controls over financial reporting (as such term is defined in Rules 13a-15(f) and 15d-15(f) under the Exchange Act) during the fiscal quarter to which this Report relates that have materially affected, or are reasonably likely to materially affect, the Company’s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a number of factors that may adversely affect the Company's business, financial results or stock price. Refer to Part I, Item 1A. “Risk Factors” of the 2022 Form 10-K for a discussion of these risks.</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the Company’s stock during the second quarter of 2023.</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2023, we repurchased 269,690 shares of our common stock for $2.4 million (average per share purchase price of $8.03) pursuant to our common stock repurchase program.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1"/>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178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 Purchased as</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Shares that May Yet</w:t>
            </w:r>
          </w:p>
        </w:tc>
      </w:t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Part of Publicly</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11"/>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Average Price Paid</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Announced Plans or</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the Plans or</w:t>
            </w:r>
          </w:p>
        </w:tc>
      </w:tr>
      <w:tr>
        <w:trPr>
          <w:trHeight w:val="26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Shares Purchased</w:t>
            </w:r>
          </w:p>
        </w:tc>
        <w:tc>
          <w:tcPr>
            <w:tcW w:w="120" w:type="dxa"/>
            <w:vAlign w:val="bottom"/>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100" w:type="dxa"/>
            <w:vAlign w:val="bottom"/>
          </w:tcPr>
          <w:p>
            <w:pPr>
              <w:spacing w:after="0"/>
              <w:rPr>
                <w:sz w:val="22"/>
                <w:szCs w:val="22"/>
                <w:color w:val="auto"/>
              </w:rPr>
            </w:pPr>
          </w:p>
        </w:tc>
        <w:tc>
          <w:tcPr>
            <w:tcW w:w="1780" w:type="dxa"/>
            <w:vAlign w:val="bottom"/>
            <w:tcBorders>
              <w:bottom w:val="single" w:sz="8" w:color="auto"/>
            </w:tcBorders>
          </w:tcPr>
          <w:p>
            <w:pPr>
              <w:jc w:val="center"/>
              <w:spacing w:after="0" w:line="263" w:lineRule="exact"/>
              <w:rPr>
                <w:sz w:val="20"/>
                <w:szCs w:val="20"/>
                <w:color w:val="auto"/>
              </w:rPr>
            </w:pPr>
            <w:r>
              <w:rPr>
                <w:rFonts w:ascii="Arial" w:cs="Arial" w:eastAsia="Arial" w:hAnsi="Arial"/>
                <w:sz w:val="18"/>
                <w:szCs w:val="18"/>
                <w:color w:val="auto"/>
                <w:w w:val="82"/>
              </w:rPr>
              <w:t xml:space="preserve">Programs </w:t>
            </w:r>
            <w:r>
              <w:rPr>
                <w:rFonts w:ascii="Arial" w:cs="Arial" w:eastAsia="Arial" w:hAnsi="Arial"/>
                <w:sz w:val="23"/>
                <w:szCs w:val="23"/>
                <w:color w:val="auto"/>
                <w:w w:val="82"/>
                <w:vertAlign w:val="superscript"/>
              </w:rPr>
              <w:t>(1)</w:t>
            </w:r>
          </w:p>
        </w:tc>
        <w:tc>
          <w:tcPr>
            <w:tcW w:w="120" w:type="dxa"/>
            <w:vAlign w:val="bottom"/>
          </w:tcPr>
          <w:p>
            <w:pPr>
              <w:spacing w:after="0"/>
              <w:rPr>
                <w:sz w:val="22"/>
                <w:szCs w:val="22"/>
                <w:color w:val="auto"/>
              </w:rPr>
            </w:pPr>
          </w:p>
        </w:tc>
        <w:tc>
          <w:tcPr>
            <w:tcW w:w="1780" w:type="dxa"/>
            <w:vAlign w:val="bottom"/>
            <w:tcBorders>
              <w:bottom w:val="single" w:sz="8" w:color="auto"/>
            </w:tcBorders>
          </w:tcPr>
          <w:p>
            <w:pPr>
              <w:jc w:val="center"/>
              <w:spacing w:after="0" w:line="263" w:lineRule="exact"/>
              <w:rPr>
                <w:sz w:val="20"/>
                <w:szCs w:val="20"/>
                <w:color w:val="auto"/>
              </w:rPr>
            </w:pPr>
            <w:r>
              <w:rPr>
                <w:rFonts w:ascii="Arial" w:cs="Arial" w:eastAsia="Arial" w:hAnsi="Arial"/>
                <w:sz w:val="18"/>
                <w:szCs w:val="18"/>
                <w:color w:val="auto"/>
                <w:w w:val="84"/>
              </w:rPr>
              <w:t xml:space="preserve">Programs </w:t>
            </w:r>
            <w:r>
              <w:rPr>
                <w:rFonts w:ascii="Arial" w:cs="Arial" w:eastAsia="Arial" w:hAnsi="Arial"/>
                <w:sz w:val="23"/>
                <w:szCs w:val="23"/>
                <w:color w:val="auto"/>
                <w:w w:val="84"/>
                <w:vertAlign w:val="superscript"/>
              </w:rPr>
              <w:t>(1)</w:t>
            </w:r>
          </w:p>
        </w:tc>
      </w:tr>
      <w:tr>
        <w:trPr>
          <w:trHeight w:val="23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April 1, 2023 - April 30, 2023</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500,668</w:t>
            </w: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 2023 - May 31, 2023</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252,710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252710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247,958</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June 1, 2023 - June 30, 2023</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16,980</w:t>
            </w:r>
          </w:p>
        </w:tc>
        <w:tc>
          <w:tcPr>
            <w:tcW w:w="1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5"/>
              </w:rPr>
              <w:t>8.54</w:t>
            </w:r>
          </w:p>
        </w:tc>
        <w:tc>
          <w:tcPr>
            <w:tcW w:w="10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16,980</w:t>
            </w:r>
          </w:p>
        </w:tc>
        <w:tc>
          <w:tcPr>
            <w:tcW w:w="1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230,978</w:t>
            </w:r>
          </w:p>
        </w:tc>
      </w:tr>
      <w:tr>
        <w:trPr>
          <w:trHeight w:val="27"/>
        </w:trPr>
        <w:tc>
          <w:tcPr>
            <w:tcW w:w="3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269,690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269,690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230,978</w:t>
            </w:r>
          </w:p>
        </w:tc>
      </w:tr>
      <w:tr>
        <w:trPr>
          <w:trHeight w:val="310"/>
        </w:trPr>
        <w:tc>
          <w:tcPr>
            <w:tcW w:w="368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94" w:lineRule="exact"/>
        <w:rPr>
          <w:sz w:val="20"/>
          <w:szCs w:val="20"/>
          <w:color w:val="auto"/>
        </w:rPr>
      </w:pPr>
    </w:p>
    <w:p>
      <w:pPr>
        <w:jc w:val="both"/>
        <w:ind w:left="260" w:hanging="252"/>
        <w:spacing w:after="0" w:line="269" w:lineRule="auto"/>
        <w:tabs>
          <w:tab w:leader="none" w:pos="254"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August 18, 2022, the Company announced that the Board has authorized, effective August 16, 2022, a common stock repurchase program to purchase up to 644,241 shares of the Company’s common stock in the aggregate. The repurchase program expires on August 31, 2024, but may be limited or terminated at any time without prior notice. The repurchase program authorizes the repurchase by the Company of its common stock in open market transactions, including pursuant to a trading plan in accordance with Rule 10b-18 promulgated under the Exchange Act or privately negotiated transactions. The authorization permits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4"/>
          </w:tcPr>
          <w:p>
            <w:pPr>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58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1580" w:type="dxa"/>
            <w:vAlign w:val="bottom"/>
            <w:gridSpan w:val="4"/>
          </w:tcPr>
          <w:p>
            <w:pPr>
              <w:spacing w:after="0"/>
              <w:rPr>
                <w:sz w:val="20"/>
                <w:szCs w:val="20"/>
                <w:color w:val="auto"/>
              </w:rPr>
            </w:pPr>
            <w:r>
              <w:rPr>
                <w:rFonts w:ascii="Arial" w:cs="Arial" w:eastAsia="Arial" w:hAnsi="Arial"/>
                <w:sz w:val="18"/>
                <w:szCs w:val="18"/>
                <w:color w:val="auto"/>
              </w:rPr>
              <w:t>Exhibits.</w:t>
            </w: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4"/>
                <w:szCs w:val="24"/>
                <w:color w:val="auto"/>
              </w:rPr>
            </w:pPr>
          </w:p>
        </w:tc>
        <w:tc>
          <w:tcPr>
            <w:tcW w:w="964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148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color w:val="0000F1"/>
                <w:w w:val="87"/>
              </w:rPr>
              <w:t>3.</w:t>
            </w:r>
            <w:r>
              <w:rPr>
                <w:rFonts w:ascii="Arial" w:cs="Arial" w:eastAsia="Arial" w:hAnsi="Arial"/>
                <w:sz w:val="18"/>
                <w:szCs w:val="18"/>
                <w:u w:val="single" w:color="auto"/>
                <w:color w:val="0000F1"/>
                <w:w w:val="87"/>
              </w:rPr>
              <w:t>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40" w:type="dxa"/>
            <w:vAlign w:val="bottom"/>
            <w:gridSpan w:val="8"/>
            <w:shd w:val="clear" w:color="auto" w:fill="CCEEFF"/>
          </w:tcPr>
          <w:p>
            <w:pPr>
              <w:spacing w:after="0" w:line="202" w:lineRule="exact"/>
              <w:rPr>
                <w:rFonts w:ascii="Arial" w:cs="Arial" w:eastAsia="Arial" w:hAnsi="Arial"/>
                <w:sz w:val="18"/>
                <w:szCs w:val="18"/>
                <w:color w:val="0000FF"/>
                <w:w w:val="94"/>
              </w:rPr>
            </w:pPr>
            <w:hyperlink r:id="rId90">
              <w:r>
                <w:rPr>
                  <w:rFonts w:ascii="Arial" w:cs="Arial" w:eastAsia="Arial" w:hAnsi="Arial"/>
                  <w:sz w:val="18"/>
                  <w:szCs w:val="18"/>
                  <w:color w:val="0000FF"/>
                  <w:w w:val="94"/>
                </w:rPr>
                <w:t>Fourth Amended and Restated Articles of Incorporation (incorporated by reference to Exhibit 3.1 of the Registrant’s Registration</w:t>
              </w:r>
            </w:hyperlink>
          </w:p>
        </w:tc>
      </w:tr>
      <w:tr>
        <w:trPr>
          <w:trHeight w:val="244"/>
        </w:trPr>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1"/>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46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Statement on Form S-1 filed with the Securities and Exchange Commission on July 30, 2021 (File No. 333-257929)).</w:t>
              </w:r>
            </w:hyperlink>
          </w:p>
        </w:tc>
        <w:tc>
          <w:tcPr>
            <w:tcW w:w="840" w:type="dxa"/>
            <w:vAlign w:val="bottom"/>
            <w:tcBorders>
              <w:top w:val="single" w:sz="8" w:color="0000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480" w:type="dxa"/>
            <w:vAlign w:val="bottom"/>
            <w:gridSpan w:val="3"/>
          </w:tcPr>
          <w:p>
            <w:pPr>
              <w:jc w:val="center"/>
              <w:spacing w:after="0" w:line="202" w:lineRule="exact"/>
              <w:rPr>
                <w:sz w:val="20"/>
                <w:szCs w:val="20"/>
                <w:color w:val="auto"/>
              </w:rPr>
            </w:pPr>
            <w:r>
              <w:rPr>
                <w:rFonts w:ascii="Arial" w:cs="Arial" w:eastAsia="Arial" w:hAnsi="Arial"/>
                <w:sz w:val="18"/>
                <w:szCs w:val="18"/>
                <w:color w:val="0000F1"/>
                <w:w w:val="87"/>
              </w:rPr>
              <w:t>3.</w:t>
            </w:r>
            <w:r>
              <w:rPr>
                <w:rFonts w:ascii="Arial" w:cs="Arial" w:eastAsia="Arial" w:hAnsi="Arial"/>
                <w:sz w:val="18"/>
                <w:szCs w:val="18"/>
                <w:u w:val="single" w:color="auto"/>
                <w:color w:val="0000F1"/>
                <w:w w:val="87"/>
              </w:rPr>
              <w:t>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8"/>
          </w:tcPr>
          <w:p>
            <w:pPr>
              <w:spacing w:after="0" w:line="202"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Amended and Restated Bylaws (incorporated by reference to Exhibit 3.2 of the Registrant’s Registration Statement on Form S-1 filed</w:t>
              </w:r>
            </w:hyperlink>
          </w:p>
        </w:tc>
      </w:tr>
      <w:tr>
        <w:trPr>
          <w:trHeight w:val="196"/>
        </w:trPr>
        <w:tc>
          <w:tcPr>
            <w:tcW w:w="640" w:type="dxa"/>
            <w:vAlign w:val="bottom"/>
          </w:tcPr>
          <w:p>
            <w:pPr>
              <w:spacing w:after="0"/>
              <w:rPr>
                <w:sz w:val="17"/>
                <w:szCs w:val="17"/>
                <w:color w:val="auto"/>
              </w:rPr>
            </w:pPr>
          </w:p>
        </w:tc>
        <w:tc>
          <w:tcPr>
            <w:tcW w:w="220" w:type="dxa"/>
            <w:vAlign w:val="bottom"/>
            <w:tcBorders>
              <w:top w:val="single" w:sz="8" w:color="0000F1"/>
            </w:tcBorders>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with the Securities and Exchange Commission on July 30, 2021 (File No. 333-257929)).</w:t>
              </w:r>
            </w:hyperlink>
          </w:p>
        </w:tc>
        <w:tc>
          <w:tcPr>
            <w:tcW w:w="20" w:type="dxa"/>
            <w:vAlign w:val="bottom"/>
          </w:tcPr>
          <w:p>
            <w:pPr>
              <w:spacing w:after="0"/>
              <w:rPr>
                <w:sz w:val="17"/>
                <w:szCs w:val="17"/>
                <w:color w:val="auto"/>
              </w:rPr>
            </w:pPr>
          </w:p>
        </w:tc>
      </w:tr>
      <w:tr>
        <w:trPr>
          <w:trHeight w:val="48"/>
        </w:trPr>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48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31.1*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40" w:type="dxa"/>
            <w:vAlign w:val="bottom"/>
            <w:gridSpan w:val="8"/>
            <w:shd w:val="clear" w:color="auto" w:fill="CCEEFF"/>
          </w:tcPr>
          <w:p>
            <w:pPr>
              <w:spacing w:after="0" w:line="202" w:lineRule="exact"/>
              <w:rPr>
                <w:sz w:val="20"/>
                <w:szCs w:val="20"/>
                <w:color w:val="auto"/>
              </w:rPr>
            </w:pPr>
            <w:r>
              <w:rPr>
                <w:rFonts w:ascii="Arial" w:cs="Arial" w:eastAsia="Arial" w:hAnsi="Arial"/>
                <w:sz w:val="18"/>
                <w:szCs w:val="18"/>
                <w:color w:val="0000FF"/>
              </w:rPr>
              <w:t>Rule 13a-14(a) Certification of the Principal Executive Officer.</w:t>
            </w:r>
          </w:p>
        </w:tc>
      </w:tr>
      <w:tr>
        <w:trPr>
          <w:trHeight w:val="202"/>
        </w:trPr>
        <w:tc>
          <w:tcPr>
            <w:tcW w:w="1480" w:type="dxa"/>
            <w:vAlign w:val="bottom"/>
            <w:tcBorders>
              <w:top w:val="single" w:sz="8" w:color="CCEEFF"/>
            </w:tcBorders>
            <w:gridSpan w:val="3"/>
          </w:tcPr>
          <w:p>
            <w:pPr>
              <w:jc w:val="center"/>
              <w:spacing w:after="0" w:line="202" w:lineRule="exact"/>
              <w:rPr>
                <w:sz w:val="20"/>
                <w:szCs w:val="20"/>
                <w:color w:val="auto"/>
              </w:rPr>
            </w:pPr>
            <w:r>
              <w:rPr>
                <w:rFonts w:ascii="Arial" w:cs="Arial" w:eastAsia="Arial" w:hAnsi="Arial"/>
                <w:sz w:val="18"/>
                <w:szCs w:val="18"/>
                <w:color w:val="auto"/>
                <w:w w:val="95"/>
              </w:rPr>
              <w:t>31.2*</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540" w:type="dxa"/>
            <w:vAlign w:val="bottom"/>
            <w:tcBorders>
              <w:top w:val="single" w:sz="8" w:color="0000FF"/>
            </w:tcBorders>
            <w:gridSpan w:val="2"/>
          </w:tcPr>
          <w:p>
            <w:pPr>
              <w:spacing w:after="0" w:line="202" w:lineRule="exact"/>
              <w:rPr>
                <w:sz w:val="20"/>
                <w:szCs w:val="20"/>
                <w:color w:val="auto"/>
              </w:rPr>
            </w:pPr>
            <w:r>
              <w:rPr>
                <w:rFonts w:ascii="Arial" w:cs="Arial" w:eastAsia="Arial" w:hAnsi="Arial"/>
                <w:sz w:val="18"/>
                <w:szCs w:val="18"/>
                <w:color w:val="0000FF"/>
                <w:w w:val="93"/>
              </w:rPr>
              <w:t>Rule 13a-14(a) Certification of the Principal Financial Officer.</w:t>
            </w:r>
          </w:p>
        </w:tc>
        <w:tc>
          <w:tcPr>
            <w:tcW w:w="5100" w:type="dxa"/>
            <w:vAlign w:val="bottom"/>
            <w:tcBorders>
              <w:top w:val="single" w:sz="8" w:color="CCEEFF"/>
            </w:tcBorders>
            <w:gridSpan w:val="6"/>
          </w:tcPr>
          <w:p>
            <w:pPr>
              <w:spacing w:after="0"/>
              <w:rPr>
                <w:sz w:val="17"/>
                <w:szCs w:val="17"/>
                <w:color w:val="auto"/>
              </w:rPr>
            </w:pPr>
          </w:p>
        </w:tc>
      </w:tr>
      <w:tr>
        <w:trPr>
          <w:trHeight w:val="48"/>
        </w:trPr>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5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480" w:type="dxa"/>
            <w:vAlign w:val="bottom"/>
            <w:tcBorders>
              <w:bottom w:val="single" w:sz="8" w:color="CCEEFF"/>
            </w:tcBorders>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0000FF"/>
            </w:tcBorders>
            <w:gridSpan w:val="3"/>
            <w:shd w:val="clear" w:color="auto" w:fill="CCEEFF"/>
          </w:tcPr>
          <w:p>
            <w:pPr>
              <w:spacing w:after="0" w:line="202" w:lineRule="exact"/>
              <w:rPr>
                <w:sz w:val="20"/>
                <w:szCs w:val="20"/>
                <w:color w:val="auto"/>
              </w:rPr>
            </w:pPr>
            <w:r>
              <w:rPr>
                <w:rFonts w:ascii="Arial" w:cs="Arial" w:eastAsia="Arial" w:hAnsi="Arial"/>
                <w:sz w:val="18"/>
                <w:szCs w:val="18"/>
                <w:color w:val="0000FF"/>
                <w:w w:val="92"/>
              </w:rPr>
              <w:t>Section 1350 Certification of Chief Executive Officer and Chief Financial Officer.</w:t>
            </w:r>
          </w:p>
        </w:tc>
        <w:tc>
          <w:tcPr>
            <w:tcW w:w="3720" w:type="dxa"/>
            <w:vAlign w:val="bottom"/>
            <w:tcBorders>
              <w:bottom w:val="single" w:sz="8" w:color="CCEEFF"/>
            </w:tcBorders>
            <w:gridSpan w:val="5"/>
            <w:shd w:val="clear" w:color="auto" w:fill="CCEEFF"/>
          </w:tcPr>
          <w:p>
            <w:pPr>
              <w:spacing w:after="0"/>
              <w:rPr>
                <w:sz w:val="21"/>
                <w:szCs w:val="21"/>
                <w:color w:val="auto"/>
              </w:rPr>
            </w:pPr>
          </w:p>
        </w:tc>
      </w:tr>
      <w:tr>
        <w:trPr>
          <w:trHeight w:val="229"/>
        </w:trPr>
        <w:tc>
          <w:tcPr>
            <w:tcW w:w="1580" w:type="dxa"/>
            <w:vAlign w:val="bottom"/>
            <w:gridSpan w:val="4"/>
          </w:tcPr>
          <w:p>
            <w:pPr>
              <w:jc w:val="center"/>
              <w:ind w:right="80"/>
              <w:spacing w:after="0"/>
              <w:rPr>
                <w:sz w:val="20"/>
                <w:szCs w:val="20"/>
                <w:color w:val="auto"/>
              </w:rPr>
            </w:pPr>
            <w:r>
              <w:rPr>
                <w:rFonts w:ascii="Arial" w:cs="Arial" w:eastAsia="Arial" w:hAnsi="Arial"/>
                <w:sz w:val="18"/>
                <w:szCs w:val="18"/>
                <w:color w:val="auto"/>
                <w:w w:val="97"/>
              </w:rPr>
              <w:t>101.INS*</w:t>
            </w:r>
          </w:p>
        </w:tc>
        <w:tc>
          <w:tcPr>
            <w:tcW w:w="20" w:type="dxa"/>
            <w:vAlign w:val="bottom"/>
          </w:tcPr>
          <w:p>
            <w:pPr>
              <w:spacing w:after="0"/>
              <w:rPr>
                <w:sz w:val="19"/>
                <w:szCs w:val="19"/>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 tags are</w:t>
            </w:r>
          </w:p>
        </w:tc>
      </w:tr>
      <w:tr>
        <w:trPr>
          <w:trHeight w:val="230"/>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
        </w:trPr>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4"/>
              </w:rPr>
              <w:t>101.SCH*</w:t>
            </w:r>
          </w:p>
        </w:tc>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580" w:type="dxa"/>
            <w:vAlign w:val="bottom"/>
            <w:gridSpan w:val="4"/>
          </w:tcPr>
          <w:p>
            <w:pPr>
              <w:jc w:val="center"/>
              <w:ind w:right="100"/>
              <w:spacing w:after="0"/>
              <w:rPr>
                <w:sz w:val="20"/>
                <w:szCs w:val="20"/>
                <w:color w:val="auto"/>
              </w:rPr>
            </w:pPr>
            <w:r>
              <w:rPr>
                <w:rFonts w:ascii="Arial" w:cs="Arial" w:eastAsia="Arial" w:hAnsi="Arial"/>
                <w:sz w:val="18"/>
                <w:szCs w:val="18"/>
                <w:color w:val="auto"/>
                <w:w w:val="98"/>
              </w:rPr>
              <w:t>101.CAL*</w:t>
            </w:r>
          </w:p>
        </w:tc>
        <w:tc>
          <w:tcPr>
            <w:tcW w:w="20" w:type="dxa"/>
            <w:vAlign w:val="bottom"/>
          </w:tcPr>
          <w:p>
            <w:pPr>
              <w:spacing w:after="0"/>
              <w:rPr>
                <w:sz w:val="21"/>
                <w:szCs w:val="21"/>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
        </w:trPr>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4"/>
            <w:shd w:val="clear" w:color="auto" w:fill="CCEEFF"/>
          </w:tcPr>
          <w:p>
            <w:pPr>
              <w:jc w:val="center"/>
              <w:ind w:right="80"/>
              <w:spacing w:after="0"/>
              <w:rPr>
                <w:sz w:val="20"/>
                <w:szCs w:val="20"/>
                <w:color w:val="auto"/>
              </w:rPr>
            </w:pPr>
            <w:r>
              <w:rPr>
                <w:rFonts w:ascii="Arial" w:cs="Arial" w:eastAsia="Arial" w:hAnsi="Arial"/>
                <w:sz w:val="18"/>
                <w:szCs w:val="18"/>
                <w:color w:val="auto"/>
                <w:w w:val="94"/>
              </w:rPr>
              <w:t>101.DEF*</w:t>
            </w:r>
          </w:p>
        </w:tc>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580" w:type="dxa"/>
            <w:vAlign w:val="bottom"/>
            <w:gridSpan w:val="4"/>
          </w:tcPr>
          <w:p>
            <w:pPr>
              <w:jc w:val="center"/>
              <w:ind w:right="100"/>
              <w:spacing w:after="0"/>
              <w:rPr>
                <w:sz w:val="20"/>
                <w:szCs w:val="20"/>
                <w:color w:val="auto"/>
              </w:rPr>
            </w:pPr>
            <w:r>
              <w:rPr>
                <w:rFonts w:ascii="Arial" w:cs="Arial" w:eastAsia="Arial" w:hAnsi="Arial"/>
                <w:sz w:val="18"/>
                <w:szCs w:val="18"/>
                <w:color w:val="auto"/>
                <w:w w:val="99"/>
              </w:rPr>
              <w:t>101.LAB*</w:t>
            </w:r>
          </w:p>
        </w:tc>
        <w:tc>
          <w:tcPr>
            <w:tcW w:w="20" w:type="dxa"/>
            <w:vAlign w:val="bottom"/>
          </w:tcPr>
          <w:p>
            <w:pPr>
              <w:spacing w:after="0"/>
              <w:rPr>
                <w:sz w:val="21"/>
                <w:szCs w:val="21"/>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
        </w:trPr>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4"/>
            <w:shd w:val="clear" w:color="auto" w:fill="CCEEFF"/>
          </w:tcPr>
          <w:p>
            <w:pPr>
              <w:jc w:val="center"/>
              <w:ind w:right="80"/>
              <w:spacing w:after="0"/>
              <w:rPr>
                <w:sz w:val="20"/>
                <w:szCs w:val="20"/>
                <w:color w:val="auto"/>
              </w:rPr>
            </w:pPr>
            <w:r>
              <w:rPr>
                <w:rFonts w:ascii="Arial" w:cs="Arial" w:eastAsia="Arial" w:hAnsi="Arial"/>
                <w:sz w:val="18"/>
                <w:szCs w:val="18"/>
                <w:color w:val="auto"/>
                <w:w w:val="93"/>
              </w:rPr>
              <w:t>101.PRE*</w:t>
            </w:r>
          </w:p>
        </w:tc>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1480" w:type="dxa"/>
            <w:vAlign w:val="bottom"/>
            <w:gridSpan w:val="3"/>
          </w:tcPr>
          <w:p>
            <w:pPr>
              <w:jc w:val="center"/>
              <w:spacing w:after="0"/>
              <w:rPr>
                <w:sz w:val="20"/>
                <w:szCs w:val="20"/>
                <w:color w:val="auto"/>
              </w:rPr>
            </w:pPr>
            <w:r>
              <w:rPr>
                <w:rFonts w:ascii="Arial" w:cs="Arial" w:eastAsia="Arial" w:hAnsi="Arial"/>
                <w:sz w:val="18"/>
                <w:szCs w:val="18"/>
                <w:color w:val="auto"/>
                <w:w w:val="97"/>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 in Exhibit 101).</w:t>
            </w:r>
          </w:p>
        </w:tc>
      </w:tr>
      <w:tr>
        <w:trPr>
          <w:trHeight w:val="445"/>
        </w:trPr>
        <w:tc>
          <w:tcPr>
            <w:tcW w:w="1580" w:type="dxa"/>
            <w:vAlign w:val="bottom"/>
            <w:gridSpan w:val="4"/>
          </w:tcPr>
          <w:p>
            <w:pPr>
              <w:spacing w:after="0"/>
              <w:rPr>
                <w:sz w:val="20"/>
                <w:szCs w:val="20"/>
                <w:color w:val="auto"/>
              </w:rPr>
            </w:pPr>
            <w:r>
              <w:rPr>
                <w:rFonts w:ascii="Arial" w:cs="Arial" w:eastAsia="Arial" w:hAnsi="Arial"/>
                <w:sz w:val="18"/>
                <w:szCs w:val="18"/>
                <w:color w:val="auto"/>
              </w:rPr>
              <w:t>* Filed herewith.</w:t>
            </w: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23"/>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2"/>
          </w:tcPr>
          <w:p>
            <w:pPr>
              <w:jc w:val="right"/>
              <w:ind w:right="29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5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3180" w:type="dxa"/>
            <w:vAlign w:val="bottom"/>
            <w:gridSpan w:val="2"/>
          </w:tcPr>
          <w:p>
            <w:pPr>
              <w:ind w:left="1840"/>
              <w:spacing w:after="0"/>
              <w:rPr>
                <w:sz w:val="20"/>
                <w:szCs w:val="20"/>
                <w:color w:val="auto"/>
              </w:rPr>
            </w:pPr>
            <w:r>
              <w:rPr>
                <w:rFonts w:ascii="Arial" w:cs="Arial" w:eastAsia="Arial" w:hAnsi="Arial"/>
                <w:sz w:val="18"/>
                <w:szCs w:val="18"/>
                <w:color w:val="auto"/>
                <w:w w:val="96"/>
              </w:rPr>
              <w:t>FinWise Bancorp</w:t>
            </w:r>
          </w:p>
        </w:tc>
        <w:tc>
          <w:tcPr>
            <w:tcW w:w="4580" w:type="dxa"/>
            <w:vAlign w:val="bottom"/>
          </w:tcPr>
          <w:p>
            <w:pPr>
              <w:spacing w:after="0"/>
              <w:rPr>
                <w:sz w:val="20"/>
                <w:szCs w:val="20"/>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August 14, 2023</w:t>
            </w:r>
          </w:p>
        </w:tc>
        <w:tc>
          <w:tcPr>
            <w:tcW w:w="318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/s/ Kent Landvatter</w:t>
            </w:r>
          </w:p>
        </w:tc>
      </w:tr>
      <w:tr>
        <w:trPr>
          <w:trHeight w:val="27"/>
        </w:trPr>
        <w:tc>
          <w:tcPr>
            <w:tcW w:w="34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8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Kent Landvatter</w:t>
            </w:r>
          </w:p>
        </w:tc>
      </w:tr>
      <w:tr>
        <w:trPr>
          <w:trHeight w:val="270"/>
        </w:trPr>
        <w:tc>
          <w:tcPr>
            <w:tcW w:w="34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580" w:type="dxa"/>
            <w:vAlign w:val="bottom"/>
          </w:tcPr>
          <w:p>
            <w:pPr>
              <w:jc w:val="center"/>
              <w:ind w:right="650"/>
              <w:spacing w:after="0"/>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270"/>
        </w:trPr>
        <w:tc>
          <w:tcPr>
            <w:tcW w:w="34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580" w:type="dxa"/>
            <w:vAlign w:val="bottom"/>
          </w:tcPr>
          <w:p>
            <w:pPr>
              <w:jc w:val="center"/>
              <w:ind w:right="650"/>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August 14, 2023</w:t>
            </w:r>
          </w:p>
        </w:tc>
        <w:tc>
          <w:tcPr>
            <w:tcW w:w="318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jc w:val="center"/>
              <w:ind w:right="650"/>
              <w:spacing w:after="0"/>
              <w:rPr>
                <w:sz w:val="20"/>
                <w:szCs w:val="20"/>
                <w:color w:val="auto"/>
              </w:rPr>
            </w:pPr>
            <w:r>
              <w:rPr>
                <w:rFonts w:ascii="Arial" w:cs="Arial" w:eastAsia="Arial" w:hAnsi="Arial"/>
                <w:sz w:val="18"/>
                <w:szCs w:val="18"/>
                <w:b w:val="1"/>
                <w:bCs w:val="1"/>
                <w:color w:val="auto"/>
                <w:w w:val="85"/>
              </w:rPr>
              <w:t>/s/ Javvis Jacobson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29"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Javvis Jacobson</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67" w:lineRule="exact"/>
        <w:rPr>
          <w:sz w:val="20"/>
          <w:szCs w:val="20"/>
          <w:color w:val="auto"/>
        </w:rPr>
      </w:pPr>
    </w:p>
    <w:p>
      <w:pPr>
        <w:jc w:val="center"/>
        <w:ind w:left="59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296"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Kent Landvatter, certify that:</w:t>
      </w:r>
    </w:p>
    <w:p>
      <w:pPr>
        <w:spacing w:after="0" w:line="18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FinWise Bancorp;</w:t>
      </w:r>
    </w:p>
    <w:p>
      <w:pPr>
        <w:spacing w:after="0" w:line="198"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820" w:right="220" w:hanging="326"/>
        <w:spacing w:after="0" w:line="263" w:lineRule="auto"/>
        <w:tabs>
          <w:tab w:leader="none" w:pos="81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20" w:right="520" w:hanging="326"/>
        <w:spacing w:after="0" w:line="263" w:lineRule="auto"/>
        <w:tabs>
          <w:tab w:leader="none" w:pos="8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20" w:right="700" w:hanging="326"/>
        <w:spacing w:after="0" w:line="342" w:lineRule="auto"/>
        <w:tabs>
          <w:tab w:leader="none" w:pos="81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20" w:right="220" w:hanging="326"/>
        <w:spacing w:after="0" w:line="263" w:lineRule="auto"/>
        <w:tabs>
          <w:tab w:leader="none" w:pos="8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820" w:right="120" w:hanging="326"/>
        <w:spacing w:after="0" w:line="277" w:lineRule="auto"/>
        <w:tabs>
          <w:tab w:leader="none" w:pos="81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20" w:right="80" w:hanging="326"/>
        <w:spacing w:after="0" w:line="277" w:lineRule="auto"/>
        <w:tabs>
          <w:tab w:leader="none" w:pos="8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14,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030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Kent Landvatter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p>
      <w:pPr>
        <w:sectPr>
          <w:pgSz w:w="11900" w:h="16838" w:orient="portrait"/>
          <w:cols w:equalWidth="0" w:num="1">
            <w:col w:w="11240"/>
          </w:cols>
          <w:pgMar w:left="320" w:top="110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Javvis Jacobson, certify that:</w:t>
      </w:r>
    </w:p>
    <w:p>
      <w:pPr>
        <w:spacing w:after="0" w:line="185"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FinWise Bancorp;</w:t>
      </w:r>
    </w:p>
    <w:p>
      <w:pPr>
        <w:spacing w:after="0" w:line="198"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80" w:right="60" w:hanging="486"/>
        <w:spacing w:after="0" w:line="263" w:lineRule="auto"/>
        <w:tabs>
          <w:tab w:leader="none" w:pos="97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80" w:right="360" w:hanging="486"/>
        <w:spacing w:after="0" w:line="263"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486"/>
        <w:spacing w:after="0" w:line="342" w:lineRule="auto"/>
        <w:tabs>
          <w:tab w:leader="none" w:pos="97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80" w:right="60" w:hanging="486"/>
        <w:spacing w:after="0" w:line="263"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486"/>
        <w:spacing w:after="0" w:line="342" w:lineRule="auto"/>
        <w:tabs>
          <w:tab w:leader="none" w:pos="971"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480" w:hanging="486"/>
        <w:spacing w:after="0" w:line="277"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14,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030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Javvis Jacobson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10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the Quarterly Report of FinWise Bancorp (the “Company”) on Form 10-Q for the period ended June 30, 2023,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14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certification is being furnished solely pursuant to the requirements of 18 U.S.C. § 1350 and is not being filed as a part of the Report or as a separate disclosure document.</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030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Kent Landvatter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14,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0030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Javvis Jacobson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14, 2023</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upperLetter"/>
      <w:start w:val="68"/>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0" Type="http://schemas.openxmlformats.org/officeDocument/2006/relationships/hyperlink" Target="https://www.sec.gov/Archives/edgar/data/1856365/000114036121026281/nt10024103x7_ex3-1.htm" TargetMode="External"/><Relationship Id="rId91" Type="http://schemas.openxmlformats.org/officeDocument/2006/relationships/hyperlink" Target="https://www.sec.gov/Archives/edgar/data/1856365/000114036121026281/nt10024103x7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2023-08-15T05:29:47Z</dcterms:created>
  <dcterms:modified xsi:type="dcterms:W3CDTF">2023-08-15T05:29:47Z</dcterms:modified>
</cp:coreProperties>
</file>