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001-40721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FINWISE BANCORP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756 East Winchester, Suite 100</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501-7200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November 7, 2025, the registrant had 13,586,921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0">
              <w:r>
                <w:rPr>
                  <w:rStyle w:val="InternetLink"/>
                  <w:rFonts w:ascii="Times New Roman;serif" w:hAnsi="Times New Roman;serif"/>
                  <w:b w:val="false"/>
                  <w:color w:val="0000FF"/>
                  <w:sz w:val="20"/>
                  <w:u w:val="single"/>
                </w:rPr>
                <w:t>Cautionary 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0">
              <w:r>
                <w:rPr>
                  <w:rStyle w:val="InternetLink"/>
                  <w:rFonts w:ascii="Times New Roman;serif" w:hAnsi="Times New Roman;serif"/>
                  <w:b w:val="false"/>
                  <w:strike w:val="false"/>
                  <w:dstrike w:val="false"/>
                  <w:color w:val="000000"/>
                  <w:sz w:val="20"/>
                  <w:u w:val="none"/>
                  <w:effect w:val="none"/>
                </w:rPr>
                <w:t>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
              <w:r>
                <w:rPr>
                  <w:rStyle w:val="InternetLink"/>
                  <w:rFonts w:ascii="Times New Roman;serif" w:hAnsi="Times New Roman;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
              <w:r>
                <w:rPr>
                  <w:rStyle w:val="InternetLink"/>
                  <w:rFonts w:ascii="Times New Roman;serif" w:hAnsi="Times New Roman;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3">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6">
              <w:r>
                <w:rPr>
                  <w:rStyle w:val="InternetLink"/>
                  <w:rFonts w:ascii="Times New Roman;serif" w:hAnsi="Times New Roman;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6">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9">
              <w:r>
                <w:rPr>
                  <w:rStyle w:val="InternetLink"/>
                  <w:rFonts w:ascii="Times New Roman;serif" w:hAnsi="Times New Roman;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9">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22">
              <w:r>
                <w:rPr>
                  <w:rStyle w:val="InternetLink"/>
                  <w:rFonts w:ascii="Times New Roman;serif" w:hAnsi="Times New Roman;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22">
              <w:r>
                <w:rPr>
                  <w:rStyle w:val="InternetLink"/>
                  <w:rFonts w:ascii="Times New Roman;serif" w:hAnsi="Times New Roman;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25">
              <w:r>
                <w:rPr>
                  <w:rStyle w:val="InternetLink"/>
                  <w:rFonts w:ascii="Times New Roman;serif" w:hAnsi="Times New Roman;serif"/>
                  <w:b w:val="false"/>
                  <w:color w:val="0000FF"/>
                  <w:sz w:val="20"/>
                  <w:u w:val="single"/>
                </w:rPr>
                <w:t>Consolidated Statements of Comprehensive Income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25">
              <w:r>
                <w:rPr>
                  <w:rStyle w:val="InternetLink"/>
                  <w:rFonts w:ascii="Times New Roman;serif" w:hAnsi="Times New Roman;serif"/>
                  <w:b w:val="false"/>
                  <w:strike w:val="false"/>
                  <w:dstrike w:val="false"/>
                  <w:color w:val="000000"/>
                  <w:sz w:val="20"/>
                  <w:u w:val="none"/>
                  <w:effect w:val="none"/>
                </w:rPr>
                <w:t>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28">
              <w:r>
                <w:rPr>
                  <w:rStyle w:val="InternetLink"/>
                  <w:rFonts w:ascii="Times New Roman;serif" w:hAnsi="Times New Roman;serif"/>
                  <w:b w:val="false"/>
                  <w:color w:val="0000FF"/>
                  <w:sz w:val="20"/>
                  <w:u w:val="single"/>
                </w:rPr>
                <w:t>Consolidated Statement of Changes in Shareholders’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28">
              <w:r>
                <w:rPr>
                  <w:rStyle w:val="InternetLink"/>
                  <w:rFonts w:ascii="Times New Roman;serif" w:hAnsi="Times New Roman;serif"/>
                  <w:b w:val="false"/>
                  <w:strike w:val="false"/>
                  <w:dstrike w:val="false"/>
                  <w:color w:val="000000"/>
                  <w:sz w:val="20"/>
                  <w:u w:val="none"/>
                  <w:effect w:val="none"/>
                </w:rPr>
                <w:t>9</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34">
              <w:r>
                <w:rPr>
                  <w:rStyle w:val="InternetLink"/>
                  <w:rFonts w:ascii="Times New Roman;serif" w:hAnsi="Times New Roman;serif"/>
                  <w:b w:val="false"/>
                  <w:color w:val="0000FF"/>
                  <w:sz w:val="20"/>
                  <w:u w:val="singl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34">
              <w:r>
                <w:rPr>
                  <w:rStyle w:val="InternetLink"/>
                  <w:rFonts w:ascii="Times New Roman;serif" w:hAnsi="Times New Roman;serif"/>
                  <w:b w:val="false"/>
                  <w:strike w:val="false"/>
                  <w:dstrike w:val="false"/>
                  <w:color w:val="000000"/>
                  <w:sz w:val="20"/>
                  <w:u w:val="none"/>
                  <w:effect w:val="none"/>
                </w:rPr>
                <w:t>11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37">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37">
              <w:r>
                <w:rPr>
                  <w:rStyle w:val="InternetLink"/>
                  <w:rFonts w:ascii="Times New Roman;serif" w:hAnsi="Times New Roman;serif"/>
                  <w:b w:val="false"/>
                  <w:strike w:val="false"/>
                  <w:dstrike w:val="false"/>
                  <w:color w:val="000000"/>
                  <w:sz w:val="20"/>
                  <w:u w:val="none"/>
                  <w:effect w:val="none"/>
                </w:rPr>
                <w:t>12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94">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94">
              <w:r>
                <w:rPr>
                  <w:rStyle w:val="InternetLink"/>
                  <w:rFonts w:ascii="Times New Roman;serif" w:hAnsi="Times New Roman;serif"/>
                  <w:b w:val="false"/>
                  <w:strike w:val="false"/>
                  <w:dstrike w:val="false"/>
                  <w:color w:val="000000"/>
                  <w:sz w:val="20"/>
                  <w:u w:val="none"/>
                  <w:effect w:val="none"/>
                </w:rPr>
                <w:t>43</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1">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1">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21">
              <w:r>
                <w:rPr>
                  <w:rStyle w:val="InternetLink"/>
                  <w:rFonts w:ascii="Times New Roman;serif" w:hAnsi="Times New Roman;serif"/>
                  <w:b w:val="false"/>
                  <w:strike w:val="false"/>
                  <w:dstrike w:val="false"/>
                  <w:color w:val="000000"/>
                  <w:sz w:val="20"/>
                  <w:u w:val="none"/>
                  <w:effect w:val="none"/>
                </w:rPr>
                <w:t>70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4">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4">
              <w:r>
                <w:rPr>
                  <w:rStyle w:val="InternetLink"/>
                  <w:rFonts w:ascii="Times New Roman;serif" w:hAnsi="Times New Roman;serif"/>
                  <w:b w:val="false"/>
                  <w:color w:val="0000FF"/>
                  <w:sz w:val="20"/>
                  <w:u w:val="single"/>
                </w:rPr>
                <w:t>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24">
              <w:r>
                <w:rPr>
                  <w:rStyle w:val="InternetLink"/>
                  <w:rFonts w:ascii="Times New Roman;serif" w:hAnsi="Times New Roman;serif"/>
                  <w:b w:val="false"/>
                  <w:strike w:val="false"/>
                  <w:dstrike w:val="false"/>
                  <w:color w:val="000000"/>
                  <w:sz w:val="20"/>
                  <w:u w:val="none"/>
                  <w:effect w:val="none"/>
                </w:rPr>
                <w:t>72</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7">
              <w:r>
                <w:rPr>
                  <w:rStyle w:val="InternetLink"/>
                  <w:rFonts w:ascii="Times New Roman;serif" w:hAnsi="Times New Roman;serif"/>
                  <w:b w:val="false"/>
                  <w:strike w:val="false"/>
                  <w:dstrike w:val="false"/>
                  <w:color w:val="000000"/>
                  <w:sz w:val="20"/>
                  <w:u w:val="none"/>
                  <w:effect w:val="non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27">
              <w:r>
                <w:rPr>
                  <w:rStyle w:val="InternetLink"/>
                  <w:rFonts w:ascii="Times New Roman;serif" w:hAnsi="Times New Roman;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48">
              <w:r>
                <w:rPr>
                  <w:rStyle w:val="InternetLink"/>
                  <w:rFonts w:ascii="Times New Roman;serif" w:hAnsi="Times New Roman;serif"/>
                  <w:b w:val="false"/>
                  <w:strike w:val="false"/>
                  <w:dstrike w:val="false"/>
                  <w:color w:val="000000"/>
                  <w:sz w:val="20"/>
                  <w:u w:val="none"/>
                  <w:effect w:val="none"/>
                </w:rPr>
                <w:t>74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0">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0">
              <w:r>
                <w:rPr>
                  <w:rStyle w:val="InternetLink"/>
                  <w:rFonts w:ascii="Times New Roman;serif" w:hAnsi="Times New Roman;serif"/>
                  <w:b w:val="false"/>
                  <w:color w:val="0000FF"/>
                  <w:sz w:val="20"/>
                  <w:u w:val="singl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30">
              <w:r>
                <w:rPr>
                  <w:rStyle w:val="InternetLink"/>
                  <w:rFonts w:ascii="Times New Roman;serif" w:hAnsi="Times New Roman;serif"/>
                  <w:b w:val="false"/>
                  <w:strike w:val="false"/>
                  <w:dstrike w:val="false"/>
                  <w:color w:val="000000"/>
                  <w:sz w:val="20"/>
                  <w:u w:val="none"/>
                  <w:effect w:val="none"/>
                </w:rPr>
                <w:t>73</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3">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3">
              <w:r>
                <w:rPr>
                  <w:rStyle w:val="InternetLink"/>
                  <w:rFonts w:ascii="Times New Roman;serif" w:hAnsi="Times New Roman;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33">
              <w:r>
                <w:rPr>
                  <w:rStyle w:val="InternetLink"/>
                  <w:rFonts w:ascii="Times New Roman;serif" w:hAnsi="Times New Roman;serif"/>
                  <w:b w:val="false"/>
                  <w:strike w:val="false"/>
                  <w:dstrike w:val="false"/>
                  <w:color w:val="000000"/>
                  <w:sz w:val="20"/>
                  <w:u w:val="none"/>
                  <w:effect w:val="none"/>
                </w:rPr>
                <w:t>73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6">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36">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36">
              <w:r>
                <w:rPr>
                  <w:rStyle w:val="InternetLink"/>
                  <w:rFonts w:ascii="Times New Roman;serif" w:hAnsi="Times New Roman;serif"/>
                  <w:b w:val="false"/>
                  <w:strike w:val="false"/>
                  <w:dstrike w:val="false"/>
                  <w:color w:val="000000"/>
                  <w:sz w:val="20"/>
                  <w:u w:val="none"/>
                  <w:effect w:val="none"/>
                </w:rPr>
                <w:t>74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2">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2">
              <w:r>
                <w:rPr>
                  <w:rStyle w:val="InternetLink"/>
                  <w:rFonts w:ascii="Times New Roman;serif" w:hAnsi="Times New Roman;serif"/>
                  <w:b w:val="false"/>
                  <w:color w:val="0000FF"/>
                  <w:sz w:val="20"/>
                  <w:u w:val="singl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42">
              <w:r>
                <w:rPr>
                  <w:rStyle w:val="InternetLink"/>
                  <w:rFonts w:ascii="Times New Roman;serif" w:hAnsi="Times New Roman;serif"/>
                  <w:b w:val="false"/>
                  <w:strike w:val="false"/>
                  <w:dstrike w:val="false"/>
                  <w:color w:val="000000"/>
                  <w:sz w:val="20"/>
                  <w:u w:val="none"/>
                  <w:effect w:val="none"/>
                </w:rPr>
                <w:t>74</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5">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5">
              <w:r>
                <w:rPr>
                  <w:rStyle w:val="InternetLink"/>
                  <w:rFonts w:ascii="Times New Roman;serif" w:hAnsi="Times New Roman;serif"/>
                  <w:b w:val="false"/>
                  <w:color w:val="0000FF"/>
                  <w:sz w:val="20"/>
                  <w:u w:val="singl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45">
              <w:r>
                <w:rPr>
                  <w:rStyle w:val="InternetLink"/>
                  <w:rFonts w:ascii="Times New Roman;serif" w:hAnsi="Times New Roman;serif"/>
                  <w:b w:val="false"/>
                  <w:strike w:val="false"/>
                  <w:dstrike w:val="false"/>
                  <w:color w:val="000000"/>
                  <w:sz w:val="20"/>
                  <w:u w:val="none"/>
                  <w:effect w:val="none"/>
                </w:rPr>
                <w:t>74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8">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48">
              <w:r>
                <w:rPr>
                  <w:rStyle w:val="InternetLink"/>
                  <w:rFonts w:ascii="Times New Roman;serif" w:hAnsi="Times New Roman;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48">
              <w:r>
                <w:rPr>
                  <w:rStyle w:val="InternetLink"/>
                  <w:rFonts w:ascii="Times New Roman;serif" w:hAnsi="Times New Roman;serif"/>
                  <w:b w:val="false"/>
                  <w:strike w:val="false"/>
                  <w:dstrike w:val="false"/>
                  <w:color w:val="000000"/>
                  <w:sz w:val="20"/>
                  <w:u w:val="none"/>
                  <w:effect w:val="none"/>
                </w:rPr>
                <w:t>74</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51">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51">
              <w:r>
                <w:rPr>
                  <w:rStyle w:val="InternetLink"/>
                  <w:rFonts w:ascii="Times New Roman;serif" w:hAnsi="Times New Roman;serif"/>
                  <w:b w:val="false"/>
                  <w:color w:val="0000FF"/>
                  <w:sz w:val="20"/>
                  <w:u w:val="singl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51">
              <w:r>
                <w:rPr>
                  <w:rStyle w:val="InternetLink"/>
                  <w:rFonts w:ascii="Times New Roman;serif" w:hAnsi="Times New Roman;serif"/>
                  <w:b w:val="false"/>
                  <w:strike w:val="false"/>
                  <w:dstrike w:val="false"/>
                  <w:color w:val="000000"/>
                  <w:sz w:val="20"/>
                  <w:u w:val="none"/>
                  <w:effect w:val="none"/>
                </w:rPr>
                <w:t>74</w:t>
              </w:r>
            </w:hyperlink>
          </w:p>
        </w:tc>
      </w:tr>
      <w:tr>
        <w:trPr/>
        <w:tc>
          <w:tcPr>
            <w:tcW w:w="8188"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bfbeea609ee401f929ad99d9f409fc6_154">
              <w:r>
                <w:rPr>
                  <w:rStyle w:val="InternetLink"/>
                  <w:rFonts w:ascii="Times New Roman;serif" w:hAnsi="Times New Roman;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bfbeea609ee401f929ad99d9f409fc6_154">
              <w:r>
                <w:rPr>
                  <w:rStyle w:val="InternetLink"/>
                  <w:rFonts w:ascii="Times New Roman;serif" w:hAnsi="Times New Roman;serif"/>
                  <w:b w:val="false"/>
                  <w:strike w:val="false"/>
                  <w:dstrike w:val="false"/>
                  <w:color w:val="000000"/>
                  <w:sz w:val="20"/>
                  <w:u w:val="none"/>
                  <w:effect w:val="none"/>
                </w:rPr>
                <w:t>75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success of the financial technology and banking-as-a-service (“BaaS”) industries, as well as the continued evolution of the regulation of these industries;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ability of our Fintech Banking and Payment Solutions service providers to comply with regulatory regimes, and our ability to adequately oversee and monitor our Fintech Banking and Payment Solutions service providers;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maintain and grow our relationships with our service providers;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the laws, rules, regulations, interpretations or policies relating to financial institutions, accounting, tax, trade, tariffs, monetary and fiscal matters, including the application of interest rate caps or maximums;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system failure or cybersecurity breaches of our network security;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general economic, political and business conditions, either nationally or in our market areas;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increased national or regional competition in the financial services industry;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adequacy of our risk management framework;</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adequacy of our allowance for credit losses (“ACL”);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financial soundness of other financial institutions;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Small Business Administration (“SBA”) rules, regulations and loan products, including specifically the Section 7(a) program, or changes to the status of the Bank as an SBA Preferred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68" w:before="200" w:after="283"/>
        <w:ind w:left="0" w:right="0" w:hanging="540"/>
        <w:jc w:val="left"/>
        <w:rPr/>
      </w:pPr>
      <w:r>
        <w:rPr>
          <w:color w:val="000000"/>
        </w:rPr>
        <w:t>•</w:t>
      </w:r>
      <w:r>
        <w:rPr>
          <w:rFonts w:ascii="Times New Roman;serif" w:hAnsi="Times New Roman;serif"/>
          <w:b w:val="false"/>
          <w:color w:val="000000"/>
          <w:sz w:val="20"/>
        </w:rPr>
        <w:t>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value of collateral securing our loans;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levels of nonperforming assets;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losses from loan defaults;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implement our growth strategy;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continue to launch new products or services successfully;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interest rate, volatility and liquidity risks;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dependence on our management team and changes in management composition;</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sufficiency of our capital;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results of examinations of us by our regulators;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involvement from time to time in legal proceedings in the ordinary course or otherwise including any class action lawsuits;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future equity and debt issuances and other capital raising opportunities on favorable terms;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we and such other businesses operate;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desired effects of implementing segment reporting in the presentation of our financial results in our periodic reports;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further negative ratings outlooks or downgrades of the U.S.’s long-term credit rating;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legislative, regulatory or tax priorities;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reductions in staffing at U.S. governmental agencies;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ongoing federal government shutdown and other political impasses, including with respect to the U.S. debt ceiling and federal budget;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other factors listed from time to time in our filings with the Securities and Exchange Commission (the “SEC”), including, in our Annual Report on Form 10-K for the year ended December 31, 2024 (the “2024 Form 10-K”) and subsequent quarterly reports on Form 10-Q, including under Item 1A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974"/>
        <w:gridCol w:w="2328"/>
        <w:gridCol w:w="2354"/>
        <w:gridCol w:w="203"/>
        <w:gridCol w:w="782"/>
        <w:gridCol w:w="113"/>
        <w:gridCol w:w="109"/>
        <w:gridCol w:w="109"/>
        <w:gridCol w:w="109"/>
        <w:gridCol w:w="199"/>
        <w:gridCol w:w="765"/>
        <w:gridCol w:w="160"/>
      </w:tblGrid>
      <w:tr>
        <w:trPr/>
        <w:tc>
          <w:tcPr>
            <w:tcW w:w="2974"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banks (restricted cash of $3.2 million and $3.1 million,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available-for-sale, at fair value, net of allowance for credit losses of $0, (amortized cost of $27.5 million and $30.0 million,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Investment securities held-to-maturity, net of allowance for credit losses of $0, (fair value of $9.6 million and $11.1 million,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Federal Home Loan Bank (“FHLB”) stock, at cost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Program loans held-for-sale, at lower of cost or fair value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156,718 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Loans held-for-investment, net of allowance for credit losses of $25.8 million and $13.2 million,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533,549 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447,812 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Assets subject to operating leases, net of accumulated depreciation of $4.2 million and $2.7 million,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 Business Administration (“SBA”) servicing asset,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Business Funding Group (“BFG”), at fair value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(“ROU”)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899,929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130,601 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551,709 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682,310 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712,164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572,256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6)</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Preferred stock, $0.001 par value, 4,000,000 authorized; no shares issued and outstanding as of September 30, 2025 and December 31, 2024</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Common stock, $0.001 par value, 40,000,000 shares authorized; 13,571,090 and 13,211,640 shares issued and outstanding as of September 30, 2025 and December 31, 2024,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128,282 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net of tax</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187,765 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173,720 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899,929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per share amounts)</w:t>
      </w:r>
    </w:p>
    <w:tbl>
      <w:tblPr>
        <w:tblW w:w="8579" w:type="dxa"/>
        <w:jc w:val="left"/>
        <w:tblInd w:w="0" w:type="dxa"/>
        <w:tblLayout w:type="fixed"/>
        <w:tblCellMar>
          <w:top w:w="28" w:type="dxa"/>
          <w:left w:w="28" w:type="dxa"/>
          <w:bottom w:w="28" w:type="dxa"/>
          <w:right w:w="28" w:type="dxa"/>
        </w:tblCellMar>
      </w:tblPr>
      <w:tblGrid>
        <w:gridCol w:w="1353"/>
        <w:gridCol w:w="1185"/>
        <w:gridCol w:w="1196"/>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SBA loan servicing fees,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investment in BFG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miscellaneous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enhancement servicing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guarantee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12,859,264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12,658,557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12,786,167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12,596,496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13,167,315</w:t>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2"/>
        <w:gridCol w:w="1542"/>
        <w:gridCol w:w="1562"/>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403"/>
      </w:tblGrid>
      <w:tr>
        <w:trPr/>
        <w:tc>
          <w:tcPr>
            <w:tcW w:w="181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9,949</w:t>
            </w: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items, net of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securities available-for-sale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previously unrealized gain on interest rate swaps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10,291</w:t>
            </w:r>
            <w:r>
              <w:rPr>
                <w:color w:val="000000"/>
              </w:rPr>
              <w:t>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September 30,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3"/>
        <w:gridCol w:w="321"/>
        <w:gridCol w:w="323"/>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512"/>
        <w:gridCol w:w="912"/>
        <w:gridCol w:w="265"/>
        <w:gridCol w:w="109"/>
        <w:gridCol w:w="109"/>
        <w:gridCol w:w="109"/>
        <w:gridCol w:w="233"/>
        <w:gridCol w:w="931"/>
        <w:gridCol w:w="176"/>
      </w:tblGrid>
      <w:tr>
        <w:trPr/>
        <w:tc>
          <w:tcPr>
            <w:tcW w:w="8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13,469,725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181,959</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13,571,090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59,417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128,282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187,765</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September 30, 2024</w:t>
      </w:r>
    </w:p>
    <w:tbl>
      <w:tblPr>
        <w:tblW w:w="10205" w:type="dxa"/>
        <w:jc w:val="left"/>
        <w:tblInd w:w="0" w:type="dxa"/>
        <w:tblLayout w:type="fixed"/>
        <w:tblCellMar>
          <w:top w:w="28" w:type="dxa"/>
          <w:left w:w="28" w:type="dxa"/>
          <w:bottom w:w="28" w:type="dxa"/>
          <w:right w:w="28" w:type="dxa"/>
        </w:tblCellMar>
      </w:tblPr>
      <w:tblGrid>
        <w:gridCol w:w="863"/>
        <w:gridCol w:w="321"/>
        <w:gridCol w:w="323"/>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44"/>
        <w:gridCol w:w="1014"/>
        <w:gridCol w:w="231"/>
        <w:gridCol w:w="109"/>
        <w:gridCol w:w="109"/>
        <w:gridCol w:w="109"/>
        <w:gridCol w:w="233"/>
        <w:gridCol w:w="931"/>
        <w:gridCol w:w="176"/>
      </w:tblGrid>
      <w:tr>
        <w:trPr/>
        <w:tc>
          <w:tcPr>
            <w:tcW w:w="8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13,143,560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165,796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13,211,160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113,801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170,370</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Consolidated Statements of Changes in Shareholders’ Equity (Continued)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Nine Months Ended</w:t>
      </w:r>
      <w:r>
        <w:rPr>
          <w:color w:val="000000"/>
          <w:shd w:fill="FFFFFF" w:val="clear"/>
        </w:rPr>
        <w:t xml:space="preserve"> </w:t>
      </w:r>
      <w:r>
        <w:rPr>
          <w:rFonts w:ascii="Times New Roman;serif" w:hAnsi="Times New Roman;serif"/>
          <w:b/>
          <w:color w:val="000000"/>
          <w:sz w:val="20"/>
        </w:rPr>
        <w:t>September 30,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5"/>
        <w:gridCol w:w="389"/>
        <w:gridCol w:w="390"/>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27"/>
        <w:gridCol w:w="974"/>
        <w:gridCol w:w="222"/>
        <w:gridCol w:w="109"/>
        <w:gridCol w:w="109"/>
        <w:gridCol w:w="109"/>
        <w:gridCol w:w="233"/>
        <w:gridCol w:w="931"/>
        <w:gridCol w:w="175"/>
      </w:tblGrid>
      <w:tr>
        <w:trPr/>
        <w:tc>
          <w:tcPr>
            <w:tcW w:w="7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 xml:space="preserve">Equity </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173,720</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surrendered for tax withholding upon vesting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13,571,090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59,417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187,765</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Nine Months Ended September 30,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6"/>
        <w:gridCol w:w="370"/>
        <w:gridCol w:w="371"/>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44"/>
        <w:gridCol w:w="1014"/>
        <w:gridCol w:w="231"/>
        <w:gridCol w:w="109"/>
        <w:gridCol w:w="109"/>
        <w:gridCol w:w="109"/>
        <w:gridCol w:w="233"/>
        <w:gridCol w:w="931"/>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155,056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BFG ownership purchase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13,211,160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113,801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170,370</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tbl>
      <w:tblPr>
        <w:tblW w:w="8625" w:type="dxa"/>
        <w:jc w:val="center"/>
        <w:tblInd w:w="0" w:type="dxa"/>
        <w:tblLayout w:type="fixed"/>
        <w:tblCellMar>
          <w:top w:w="28" w:type="dxa"/>
          <w:left w:w="28" w:type="dxa"/>
          <w:bottom w:w="28" w:type="dxa"/>
          <w:right w:w="28" w:type="dxa"/>
        </w:tblCellMar>
      </w:tblPr>
      <w:tblGrid>
        <w:gridCol w:w="2166"/>
        <w:gridCol w:w="1906"/>
        <w:gridCol w:w="1912"/>
        <w:gridCol w:w="218"/>
        <w:gridCol w:w="822"/>
        <w:gridCol w:w="121"/>
        <w:gridCol w:w="121"/>
        <w:gridCol w:w="121"/>
        <w:gridCol w:w="121"/>
        <w:gridCol w:w="219"/>
        <w:gridCol w:w="726"/>
        <w:gridCol w:w="172"/>
      </w:tblGrid>
      <w:tr>
        <w:trPr/>
        <w:tc>
          <w:tcPr>
            <w:tcW w:w="216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Adjustments to reconcile net income to net cash used in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amortization of securities (discounts) and premiums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Strategic Program loans held-for-sale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(4,275,141)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(3,594,347)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Strategic Program loans held-for-sale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4,210,677 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3,557,861 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BFG</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(recovery) of SBA servicing asset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Noncash change in credit enhancement asset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changes in: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(36,501)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loans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lease pools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(27,698)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bank premises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assets subject to operating leases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investment securities available-for-sale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sales of loans held-for-investment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sales of assets subject to operating leases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securities available-for-sale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paydowns of securities held-to-maturity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FHLB stock</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(103,905)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(98,864)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deposits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related to net share settlement of equity awards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PPP Liquidity Facility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 and 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(31,207)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the period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the period</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85,768 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BFG investment in exchange for shares of the Company’s common stock</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68" w:before="200" w:after="283"/>
        <w:jc w:val="left"/>
        <w:rPr/>
      </w:pPr>
      <w:r>
        <w:rPr>
          <w:rFonts w:ascii="Times New Roman;serif" w:hAnsi="Times New Roman;serif"/>
          <w:b/>
          <w:color w:val="000000"/>
          <w:sz w:val="20"/>
        </w:rPr>
        <w:t xml:space="preserve">Nature of Business and Organization – </w:t>
      </w:r>
      <w:r>
        <w:rPr>
          <w:rFonts w:ascii="Times New Roman;serif" w:hAnsi="Times New Roman;serif"/>
          <w:b w:val="false"/>
          <w:color w:val="000000"/>
          <w:sz w:val="20"/>
        </w:rPr>
        <w:t>FinWise Bancorp is a Utah bank holding company headquartered in Murray, Utah and operates all business 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 FinWise Investment, LLC’s purpose is to hold and manage private investments made by the Company and the Bank.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References to “FinWise Bancorp,” “Bancorp” or the “holding company,” refer to FinWise Bancorp on a standalone basis. References to the “Company” refer to FinWise Bancorp, FinWise Bank, and FinWise Investment, LLC collectively and on a consolidated basis.</w:t>
      </w:r>
    </w:p>
    <w:p>
      <w:pPr>
        <w:pStyle w:val="TextBody"/>
        <w:bidi w:val="0"/>
        <w:spacing w:lineRule="auto" w:line="288" w:before="200" w:after="283"/>
        <w:jc w:val="left"/>
        <w:rPr/>
      </w:pPr>
      <w:r>
        <w:rPr>
          <w:rFonts w:ascii="Times New Roman;serif" w:hAnsi="Times New Roman;serif"/>
          <w:b/>
          <w:color w:val="000000"/>
          <w:sz w:val="20"/>
        </w:rPr>
        <w:t>Basis of Presentation</w:t>
      </w:r>
      <w:r>
        <w:rPr>
          <w:color w:val="000000"/>
        </w:rPr>
        <w:t xml:space="preserve"> – </w:t>
      </w:r>
      <w:r>
        <w:rPr>
          <w:rFonts w:ascii="Times New Roman;serif" w:hAnsi="Times New Roman;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and nine months ended September 30, 2025 are not necessarily indicative of the results of operations that may be expected for subsequent periods or the full year results. The consolidated balance sheet data as of December 31, 2024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2024.</w:t>
      </w:r>
    </w:p>
    <w:p>
      <w:pPr>
        <w:pStyle w:val="TextBody"/>
        <w:bidi w:val="0"/>
        <w:spacing w:lineRule="auto" w:line="288" w:before="200" w:after="283"/>
        <w:jc w:val="left"/>
        <w:rPr/>
      </w:pPr>
      <w:r>
        <w:rPr>
          <w:rFonts w:ascii="Times New Roman;serif" w:hAnsi="Times New Roman;serif"/>
          <w:b/>
          <w:color w:val="000000"/>
          <w:sz w:val="20"/>
        </w:rPr>
        <w:t>Reclassifications</w:t>
      </w:r>
      <w:r>
        <w:rPr>
          <w:color w:val="000000"/>
        </w:rPr>
        <w:t xml:space="preserve"> – </w:t>
      </w:r>
      <w:r>
        <w:rPr>
          <w:rFonts w:ascii="Times New Roman;serif" w:hAnsi="Times New Roman;serif"/>
          <w:b w:val="false"/>
          <w:color w:val="000000"/>
          <w:sz w:val="20"/>
        </w:rPr>
        <w:t>Reclassifications have been made to the interim consolidated financial statements to conform to the current year’s presentation. Certain of these reclassifications relate to the change in fair value of the SBA servicing asset, which was reclassified from non-interest expense to non-interest income to better align with the SBA servicing asset revenue and the associated costs. The effect of these reclassifications were not material to the previously reported interim consolidated financial statements.</w:t>
      </w:r>
    </w:p>
    <w:p>
      <w:pPr>
        <w:pStyle w:val="TextBody"/>
        <w:bidi w:val="0"/>
        <w:spacing w:lineRule="auto" w:line="288" w:before="200" w:after="283"/>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In preparing the interim consolidated financial statements in accordance with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288" w:before="200" w:after="283"/>
        <w:jc w:val="left"/>
        <w:rPr/>
      </w:pPr>
      <w:r>
        <w:rPr>
          <w:rFonts w:ascii="Times New Roman;serif" w:hAnsi="Times New Roman;serif"/>
          <w:b/>
          <w:color w:val="000000"/>
          <w:sz w:val="20"/>
        </w:rPr>
        <w:t>Stock Repurchase Program</w:t>
      </w:r>
      <w:r>
        <w:rPr>
          <w:color w:val="000000"/>
        </w:rPr>
        <w:t xml:space="preserve"> – </w:t>
      </w:r>
      <w:r>
        <w:rPr>
          <w:rFonts w:ascii="Times New Roman;serif" w:hAnsi="Times New Roman;serif"/>
          <w:b w:val="false"/>
          <w:color w:val="000000"/>
          <w:sz w:val="20"/>
        </w:rPr>
        <w:t>On March 7, 2024, the Company announced that its Board of Directors (the “Board”) had authorized, effective March 6, 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Since the repurchase program’s inception, the Company has repurchased and subsequently retired a total of 44,608 shares for $0.5 million at an average price of $10.30 per share.</w:t>
      </w:r>
    </w:p>
    <w:p>
      <w:pPr>
        <w:pStyle w:val="TextBody"/>
        <w:bidi w:val="0"/>
        <w:spacing w:lineRule="auto" w:line="288" w:before="200" w:after="283"/>
        <w:jc w:val="left"/>
        <w:rPr/>
      </w:pPr>
      <w:r>
        <w:rPr>
          <w:rFonts w:ascii="Times New Roman;serif" w:hAnsi="Times New Roman;serif"/>
          <w:b/>
          <w:color w:val="000000"/>
          <w:sz w:val="20"/>
        </w:rPr>
        <w:t>Segment Reporting</w:t>
      </w:r>
      <w:r>
        <w:rPr>
          <w:color w:val="000000"/>
        </w:rPr>
        <w:t xml:space="preserve"> – </w:t>
      </w:r>
      <w:r>
        <w:rPr>
          <w:rFonts w:ascii="Times New Roman;serif" w:hAnsi="Times New Roman;serif"/>
          <w:b w:val="false"/>
          <w:color w:val="000000"/>
          <w:sz w:val="20"/>
        </w:rPr>
        <w:t xml:space="preserve">As further described in Note 15, Segments, during the third quarter of 2025, the Company implemented segment reporting following the completion of a technology initiative to capture segment-specific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data and develop reports used by the Company’s chief operating decision maker (“CODM”) to review the Company’s financial performance and determine how to allocate resources. The Company established three reportable segments: traditional banking, banking as a service (“BaaS”) and treasury and administration. For periods prior to July 1, 2025, the Company operated under one operating segment, consistent with the information that was presented to the Company’s CODM.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ASU 2023-09 improves the transparency of annual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The Company adopted ASU 2023-09 effective January 1, 2025 and will include the incremental disclosures in its Annual Report on Form 10-K for the year ended December 31,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eliminates the consideration of project development stages in determining whether a cost is eligible for capitalization. Instead, cost capitalization will be based on a “probable to complete” threshold. This guidance will be effective for the Company on January 1, 2028. The Company is currently evaluating the impact that the adoption of this guidance will have on its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Investments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Available-for-Sale, at Fair Value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Company’s available-for-sale (“AFS”) investment portfolio consists of U.S. Treasury securities. The Company reports debt securities AFS on the Company’s Consolidated Balance Sheets at fair value. The amortized cost, gross unrealized gains and losses, and estimated fair value of investment securities AFS as of September 30,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379"/>
        <w:gridCol w:w="460"/>
        <w:gridCol w:w="197"/>
        <w:gridCol w:w="109"/>
        <w:gridCol w:w="109"/>
        <w:gridCol w:w="109"/>
        <w:gridCol w:w="272"/>
        <w:gridCol w:w="622"/>
        <w:gridCol w:w="142"/>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presents the amortized cost and estimated fair value of investment securities AFS at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by contractual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5995" w:type="dxa"/>
        <w:jc w:val="left"/>
        <w:tblInd w:w="0" w:type="dxa"/>
        <w:tblLayout w:type="fixed"/>
        <w:tblCellMar>
          <w:top w:w="28" w:type="dxa"/>
          <w:left w:w="28" w:type="dxa"/>
          <w:bottom w:w="28" w:type="dxa"/>
          <w:right w:w="28" w:type="dxa"/>
        </w:tblCellMar>
      </w:tblPr>
      <w:tblGrid>
        <w:gridCol w:w="1125"/>
        <w:gridCol w:w="988"/>
        <w:gridCol w:w="992"/>
        <w:gridCol w:w="211"/>
        <w:gridCol w:w="721"/>
        <w:gridCol w:w="109"/>
        <w:gridCol w:w="109"/>
        <w:gridCol w:w="109"/>
        <w:gridCol w:w="109"/>
        <w:gridCol w:w="211"/>
        <w:gridCol w:w="721"/>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securities AFS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September 30, 2025, debt securities AFS with a fair value of </w:t>
      </w:r>
      <w:r>
        <w:rPr>
          <w:rFonts w:ascii="Times New Roman;serif" w:hAnsi="Times New Roman;serif"/>
          <w:b w:val="false"/>
          <w:color w:val="000000"/>
          <w:sz w:val="20"/>
        </w:rPr>
        <w:t>$27.8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Accrued interest receivable on debt securities AFS totaled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at September 30,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 and was included in accrued interest receivable on the Consolidated Balance Sheets.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Held-to-Maturity, at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held-to-maturity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September 30, 2025 and December 31, 2024, are summarized as follows:</w:t>
      </w:r>
    </w:p>
    <w:tbl>
      <w:tblPr>
        <w:tblW w:w="10205" w:type="dxa"/>
        <w:jc w:val="left"/>
        <w:tblInd w:w="0" w:type="dxa"/>
        <w:tblLayout w:type="fixed"/>
        <w:tblCellMar>
          <w:top w:w="28" w:type="dxa"/>
          <w:left w:w="28" w:type="dxa"/>
          <w:bottom w:w="28" w:type="dxa"/>
          <w:right w:w="28" w:type="dxa"/>
        </w:tblCellMar>
      </w:tblPr>
      <w:tblGrid>
        <w:gridCol w:w="962"/>
        <w:gridCol w:w="846"/>
        <w:gridCol w:w="849"/>
        <w:gridCol w:w="211"/>
        <w:gridCol w:w="721"/>
        <w:gridCol w:w="109"/>
        <w:gridCol w:w="109"/>
        <w:gridCol w:w="109"/>
        <w:gridCol w:w="109"/>
        <w:gridCol w:w="603"/>
        <w:gridCol w:w="1161"/>
        <w:gridCol w:w="312"/>
        <w:gridCol w:w="109"/>
        <w:gridCol w:w="109"/>
        <w:gridCol w:w="109"/>
        <w:gridCol w:w="379"/>
        <w:gridCol w:w="460"/>
        <w:gridCol w:w="197"/>
        <w:gridCol w:w="109"/>
        <w:gridCol w:w="109"/>
        <w:gridCol w:w="109"/>
        <w:gridCol w:w="272"/>
        <w:gridCol w:w="622"/>
        <w:gridCol w:w="142"/>
        <w:gridCol w:w="109"/>
        <w:gridCol w:w="109"/>
        <w:gridCol w:w="109"/>
        <w:gridCol w:w="224"/>
        <w:gridCol w:w="658"/>
        <w:gridCol w:w="169"/>
      </w:tblGrid>
      <w:tr>
        <w:trPr/>
        <w:tc>
          <w:tcPr>
            <w:tcW w:w="9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amortized cost and estimated market value of debt securities HTM at September 30, 2025, by contractual maturity, are shown below. Actual maturities may differ from contractual maturities because borrowers may have the right to call or prepay obligations with or without call or prepayment penalties.</w:t>
      </w:r>
    </w:p>
    <w:tbl>
      <w:tblPr>
        <w:tblW w:w="5567"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28"/>
        <w:gridCol w:w="668"/>
        <w:gridCol w:w="16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September 30, 2025, HTM debt securities with a book value of </w:t>
      </w:r>
      <w:r>
        <w:rPr>
          <w:rFonts w:ascii="Times New Roman;serif" w:hAnsi="Times New Roman;serif"/>
          <w:b w:val="false"/>
          <w:color w:val="000000"/>
          <w:sz w:val="20"/>
        </w:rPr>
        <w:t>$10.6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30, 2025 and December 31, 2024, there was no ACL related to debt securities HTM or AFS due to the composition of the portfolio which is generally considered not to have credit risk given the United States government issuance or guarantee associated with these agency securities.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w:t>
      </w:r>
      <w:r>
        <w:rPr>
          <w:rFonts w:ascii="Times New Roman;serif" w:hAnsi="Times New Roman;serif"/>
          <w:b w:val="false"/>
          <w:color w:val="000000"/>
          <w:sz w:val="20"/>
        </w:rPr>
        <w:t xml:space="preserve">ny had sixteen securities, consisting of seven collateralized mortgage obligations and nine mortgage-backed </w:t>
      </w:r>
      <w:r>
        <w:rPr>
          <w:rFonts w:ascii="Times New Roman;serif" w:hAnsi="Times New Roman;serif"/>
          <w:b w:val="false"/>
          <w:color w:val="000000"/>
          <w:sz w:val="20"/>
          <w:shd w:fill="FFFFFF" w:val="clear"/>
        </w:rPr>
        <w:t xml:space="preserve">securities in an unrealized loss position at September 30, 2025 and </w:t>
      </w:r>
      <w:r>
        <w:rPr>
          <w:rFonts w:ascii="Times New Roman;serif" w:hAnsi="Times New Roman;serif"/>
          <w:b w:val="false"/>
          <w:color w:val="000000"/>
          <w:sz w:val="20"/>
        </w:rPr>
        <w:t>twenty-two</w:t>
      </w:r>
      <w:r>
        <w:rPr>
          <w:color w:val="000000"/>
          <w:shd w:fill="FFFFFF" w:val="clear"/>
        </w:rPr>
        <w:t xml:space="preserve"> </w:t>
      </w:r>
      <w:r>
        <w:rPr>
          <w:rFonts w:ascii="Times New Roman;serif" w:hAnsi="Times New Roman;serif"/>
          <w:b w:val="false"/>
          <w:color w:val="000000"/>
          <w:sz w:val="20"/>
          <w:shd w:fill="FFFFFF" w:val="clear"/>
        </w:rPr>
        <w:t>securities, consisting of</w:t>
      </w:r>
      <w:r>
        <w:rPr>
          <w:color w:val="000000"/>
        </w:rPr>
        <w:t xml:space="preserve"> </w:t>
      </w:r>
      <w:r>
        <w:rPr>
          <w:rFonts w:ascii="Times New Roman;serif" w:hAnsi="Times New Roman;serif"/>
          <w:b w:val="false"/>
          <w:color w:val="000000"/>
          <w:sz w:val="20"/>
        </w:rPr>
        <w:t>eight collateralized</w:t>
      </w:r>
      <w:r>
        <w:rPr>
          <w:color w:val="000000"/>
          <w:shd w:fill="FFFFFF" w:val="clear"/>
        </w:rPr>
        <w:t xml:space="preserve"> </w:t>
      </w:r>
      <w:r>
        <w:rPr>
          <w:rFonts w:ascii="Times New Roman;serif" w:hAnsi="Times New Roman;serif"/>
          <w:b w:val="false"/>
          <w:color w:val="000000"/>
          <w:sz w:val="20"/>
          <w:shd w:fill="FFFFFF" w:val="clear"/>
        </w:rPr>
        <w:t xml:space="preserve">mortgage obligations, </w:t>
      </w:r>
      <w:r>
        <w:rPr>
          <w:rFonts w:ascii="Times New Roman;serif" w:hAnsi="Times New Roman;serif"/>
          <w:b w:val="false"/>
          <w:color w:val="000000"/>
          <w:sz w:val="20"/>
        </w:rPr>
        <w:t>ten</w:t>
      </w:r>
      <w:r>
        <w:rPr>
          <w:color w:val="000000"/>
          <w:shd w:fill="FFFFFF" w:val="clear"/>
        </w:rPr>
        <w:t xml:space="preserve"> </w:t>
      </w:r>
      <w:r>
        <w:rPr>
          <w:rFonts w:ascii="Times New Roman;serif" w:hAnsi="Times New Roman;serif"/>
          <w:b w:val="false"/>
          <w:color w:val="000000"/>
          <w:sz w:val="20"/>
          <w:shd w:fill="FFFFFF" w:val="clear"/>
        </w:rPr>
        <w:t xml:space="preserve">mortgage-backed securities and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U.S. Treasury securities in an unrealized loss position at December 31, 2024. The following table presents the estimated fair value and gross unrealized losses of debt securities HTM and AFS, aggregated by category and length of time in a continuous unrealized loss position at September 30, 2025 and December 31, 2024:</w:t>
      </w:r>
    </w:p>
    <w:tbl>
      <w:tblPr>
        <w:tblW w:w="10205" w:type="dxa"/>
        <w:jc w:val="left"/>
        <w:tblInd w:w="0" w:type="dxa"/>
        <w:tblLayout w:type="fixed"/>
        <w:tblCellMar>
          <w:top w:w="28" w:type="dxa"/>
          <w:left w:w="28" w:type="dxa"/>
          <w:bottom w:w="28" w:type="dxa"/>
          <w:right w:w="28" w:type="dxa"/>
        </w:tblCellMar>
      </w:tblPr>
      <w:tblGrid>
        <w:gridCol w:w="911"/>
        <w:gridCol w:w="799"/>
        <w:gridCol w:w="805"/>
        <w:gridCol w:w="265"/>
        <w:gridCol w:w="511"/>
        <w:gridCol w:w="137"/>
        <w:gridCol w:w="112"/>
        <w:gridCol w:w="112"/>
        <w:gridCol w:w="112"/>
        <w:gridCol w:w="301"/>
        <w:gridCol w:w="579"/>
        <w:gridCol w:w="156"/>
        <w:gridCol w:w="109"/>
        <w:gridCol w:w="109"/>
        <w:gridCol w:w="109"/>
        <w:gridCol w:w="223"/>
        <w:gridCol w:w="651"/>
        <w:gridCol w:w="114"/>
        <w:gridCol w:w="109"/>
        <w:gridCol w:w="109"/>
        <w:gridCol w:w="109"/>
        <w:gridCol w:w="272"/>
        <w:gridCol w:w="622"/>
        <w:gridCol w:w="142"/>
        <w:gridCol w:w="109"/>
        <w:gridCol w:w="109"/>
        <w:gridCol w:w="109"/>
        <w:gridCol w:w="223"/>
        <w:gridCol w:w="651"/>
        <w:gridCol w:w="114"/>
        <w:gridCol w:w="109"/>
        <w:gridCol w:w="109"/>
        <w:gridCol w:w="109"/>
        <w:gridCol w:w="269"/>
        <w:gridCol w:w="614"/>
        <w:gridCol w:w="202"/>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3"/>
        <w:gridCol w:w="760"/>
        <w:gridCol w:w="766"/>
        <w:gridCol w:w="211"/>
        <w:gridCol w:w="721"/>
        <w:gridCol w:w="109"/>
        <w:gridCol w:w="109"/>
        <w:gridCol w:w="109"/>
        <w:gridCol w:w="109"/>
        <w:gridCol w:w="272"/>
        <w:gridCol w:w="622"/>
        <w:gridCol w:w="142"/>
        <w:gridCol w:w="109"/>
        <w:gridCol w:w="109"/>
        <w:gridCol w:w="109"/>
        <w:gridCol w:w="221"/>
        <w:gridCol w:w="646"/>
        <w:gridCol w:w="113"/>
        <w:gridCol w:w="109"/>
        <w:gridCol w:w="109"/>
        <w:gridCol w:w="109"/>
        <w:gridCol w:w="229"/>
        <w:gridCol w:w="689"/>
        <w:gridCol w:w="120"/>
        <w:gridCol w:w="109"/>
        <w:gridCol w:w="109"/>
        <w:gridCol w:w="109"/>
        <w:gridCol w:w="211"/>
        <w:gridCol w:w="721"/>
        <w:gridCol w:w="109"/>
        <w:gridCol w:w="109"/>
        <w:gridCol w:w="109"/>
        <w:gridCol w:w="109"/>
        <w:gridCol w:w="213"/>
        <w:gridCol w:w="672"/>
        <w:gridCol w:w="160"/>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sales or transfers of investment securities and no realized gains or losses on these securities during the three and nine months ended September 30, 2025 or 2024.</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FHLB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a member of the FHLB system. As a member, the Bank is required to maintain a minimum level of investment in FHLB stock based on a percentage of the Bank’s previous year-end assets and the Bank’s FHLB advances outstanding. At September 30, 2025 and December 31, 2024, the Bank owned $0.4 million and $0.3 million, respectively, of FHLB stock, which is carried at cost. The Company evaluated the carrying value of its FHLB stock investment at September 30, 2025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Loans held-for-investment outstanding by general ledger classification as of September 30, 2025 and December 31, 2024, consisted of the following:</w:t>
      </w:r>
    </w:p>
    <w:tbl>
      <w:tblPr>
        <w:tblW w:w="10205" w:type="dxa"/>
        <w:jc w:val="left"/>
        <w:tblInd w:w="0" w:type="dxa"/>
        <w:tblLayout w:type="fixed"/>
        <w:tblCellMar>
          <w:top w:w="28" w:type="dxa"/>
          <w:left w:w="28" w:type="dxa"/>
          <w:bottom w:w="28" w:type="dxa"/>
          <w:right w:w="28" w:type="dxa"/>
        </w:tblCellMar>
      </w:tblPr>
      <w:tblGrid>
        <w:gridCol w:w="2301"/>
        <w:gridCol w:w="1751"/>
        <w:gridCol w:w="1757"/>
        <w:gridCol w:w="356"/>
        <w:gridCol w:w="1399"/>
        <w:gridCol w:w="183"/>
        <w:gridCol w:w="166"/>
        <w:gridCol w:w="166"/>
        <w:gridCol w:w="166"/>
        <w:gridCol w:w="346"/>
        <w:gridCol w:w="1357"/>
        <w:gridCol w:w="257"/>
      </w:tblGrid>
      <w:tr>
        <w:trPr/>
        <w:tc>
          <w:tcPr>
            <w:tcW w:w="230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567,802 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533,549 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the SBA loans held-for-investment above are $132.2 million and $158.7 million of loans guaranteed by the SBA as of September 30, 2025 and December 31, 2024, respectively.</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The Bank sells participation interests in some loans it originates and may acquire a participation interest in loans originated by others.</w:t>
      </w:r>
      <w:r>
        <w:rPr>
          <w:color w:val="000000"/>
        </w:rPr>
        <w:t xml:space="preserve"> </w:t>
      </w:r>
      <w:r>
        <w:rPr>
          <w:rFonts w:ascii="Times New Roman;serif" w:hAnsi="Times New Roman;serif"/>
          <w:b w:val="false"/>
          <w:color w:val="000000"/>
          <w:sz w:val="20"/>
          <w:shd w:fill="FFFFFF" w:val="clear"/>
        </w:rPr>
        <w:t>All reported amounts reflect only the Bank’s ownership interest in the loans.</w:t>
      </w:r>
    </w:p>
    <w:p>
      <w:pPr>
        <w:pStyle w:val="TextBody"/>
        <w:bidi w:val="0"/>
        <w:spacing w:lineRule="auto" w:line="288" w:before="200" w:after="283"/>
        <w:jc w:val="left"/>
        <w:rPr/>
      </w:pPr>
      <w:r>
        <w:rPr>
          <w:rFonts w:ascii="Times New Roman;serif" w:hAnsi="Times New Roman;serif"/>
          <w:b/>
          <w:color w:val="000000"/>
          <w:sz w:val="20"/>
          <w:shd w:fill="FFFFFF" w:val="clear"/>
        </w:rPr>
        <w:t xml:space="preserve">Strategic Program Loans </w:t>
      </w:r>
      <w:r>
        <w:rPr>
          <w:color w:val="000000"/>
          <w:shd w:fill="FFFFFF" w:val="clear"/>
        </w:rPr>
        <w:t xml:space="preserve">– </w:t>
      </w:r>
      <w:r>
        <w:rPr>
          <w:rFonts w:ascii="Times New Roman;serif" w:hAnsi="Times New Roman;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 The Company may also hold loans or a portion of the loans or receivables and sell the remainder directly to the Strategic Program provider or other investors. The loans or portion of the loans the Company holds are classified as held-for-investment.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 for which the Company incurs a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right to withdraw amounts from the reserve account to fulfill loan purchaser obligations created under the program agreements. Total cash held in reserve by Strategic Program providers at the Company at September 30, 2025 and December 31, 2024, was $62.1 million and $54.0 million,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Strategic Program loans retained and held-for-sale as of September 30, 2025 and December 31, 2024, are summarized as follows:</w:t>
      </w:r>
    </w:p>
    <w:tbl>
      <w:tblPr>
        <w:tblW w:w="6970" w:type="dxa"/>
        <w:jc w:val="left"/>
        <w:tblInd w:w="0" w:type="dxa"/>
        <w:tblLayout w:type="fixed"/>
        <w:tblCellMar>
          <w:top w:w="28" w:type="dxa"/>
          <w:left w:w="28" w:type="dxa"/>
          <w:bottom w:w="28" w:type="dxa"/>
          <w:right w:w="28" w:type="dxa"/>
        </w:tblCellMar>
      </w:tblPr>
      <w:tblGrid>
        <w:gridCol w:w="1124"/>
        <w:gridCol w:w="988"/>
        <w:gridCol w:w="992"/>
        <w:gridCol w:w="326"/>
        <w:gridCol w:w="1276"/>
        <w:gridCol w:w="168"/>
        <w:gridCol w:w="109"/>
        <w:gridCol w:w="109"/>
        <w:gridCol w:w="109"/>
        <w:gridCol w:w="313"/>
        <w:gridCol w:w="1228"/>
        <w:gridCol w:w="22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Retained Strategic Program loans</w:t>
            </w:r>
            <w:r>
              <w:rPr>
                <w:rFonts w:ascii="Times New Roman;serif" w:hAnsi="Times New Roman;serif"/>
                <w:b w:val="false"/>
                <w:color w:val="000000"/>
                <w:sz w:val="13"/>
              </w:rPr>
              <w:t>(1)</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Strategic Program loans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219,741 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w:t>
      </w:r>
      <w:r>
        <w:rPr>
          <w:rFonts w:ascii="Times New Roman;serif" w:hAnsi="Times New Roman;serif"/>
          <w:b w:val="false"/>
          <w:color w:val="000000"/>
          <w:sz w:val="20"/>
          <w:shd w:fill="FFFFFF" w:val="clear"/>
        </w:rPr>
        <w:t>$41.4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of credit enhanced loans at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respectively.</w:t>
      </w:r>
    </w:p>
    <w:p>
      <w:pPr>
        <w:pStyle w:val="TextBody"/>
        <w:bidi w:val="0"/>
        <w:spacing w:lineRule="auto" w:line="288" w:before="200" w:after="283"/>
        <w:jc w:val="left"/>
        <w:rPr/>
      </w:pPr>
      <w:r>
        <w:rPr>
          <w:rFonts w:ascii="Times New Roman;serif" w:hAnsi="Times New Roman;serif"/>
          <w:b/>
          <w:i/>
          <w:color w:val="000000"/>
          <w:sz w:val="20"/>
          <w:shd w:fill="FFFFFF" w:val="clear"/>
        </w:rPr>
        <w:t xml:space="preserve">Allowance for Credit Losses: </w:t>
      </w:r>
      <w:r>
        <w:rPr>
          <w:rFonts w:ascii="Times New Roman;serif" w:hAnsi="Times New Roman;serif"/>
          <w:b w:val="false"/>
          <w:color w:val="000000"/>
          <w:sz w:val="20"/>
          <w:shd w:fill="FFFFFF" w:val="clear"/>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were identified as of September 30, 2025 and December 31, 2024 for the purposes of estimating the ACL:</w:t>
      </w:r>
    </w:p>
    <w:tbl>
      <w:tblPr>
        <w:tblW w:w="8320" w:type="dxa"/>
        <w:jc w:val="left"/>
        <w:tblInd w:w="0" w:type="dxa"/>
        <w:tblLayout w:type="fixed"/>
        <w:tblCellMar>
          <w:top w:w="28" w:type="dxa"/>
          <w:left w:w="28" w:type="dxa"/>
          <w:bottom w:w="28" w:type="dxa"/>
          <w:right w:w="28" w:type="dxa"/>
        </w:tblCellMar>
      </w:tblPr>
      <w:tblGrid>
        <w:gridCol w:w="1613"/>
        <w:gridCol w:w="1417"/>
        <w:gridCol w:w="1424"/>
        <w:gridCol w:w="326"/>
        <w:gridCol w:w="1276"/>
        <w:gridCol w:w="168"/>
        <w:gridCol w:w="109"/>
        <w:gridCol w:w="109"/>
        <w:gridCol w:w="109"/>
        <w:gridCol w:w="313"/>
        <w:gridCol w:w="1228"/>
        <w:gridCol w:w="228"/>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righ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567,802 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ACL by common characteristic loan pools was as follows for the periods indicated:</w:t>
      </w:r>
    </w:p>
    <w:tbl>
      <w:tblPr>
        <w:tblW w:w="10205" w:type="dxa"/>
        <w:jc w:val="left"/>
        <w:tblInd w:w="0" w:type="dxa"/>
        <w:tblLayout w:type="fixed"/>
        <w:tblCellMar>
          <w:top w:w="28" w:type="dxa"/>
          <w:left w:w="28" w:type="dxa"/>
          <w:bottom w:w="28" w:type="dxa"/>
          <w:right w:w="28" w:type="dxa"/>
        </w:tblCellMar>
      </w:tblPr>
      <w:tblGrid>
        <w:gridCol w:w="936"/>
        <w:gridCol w:w="737"/>
        <w:gridCol w:w="705"/>
        <w:gridCol w:w="255"/>
        <w:gridCol w:w="872"/>
        <w:gridCol w:w="131"/>
        <w:gridCol w:w="109"/>
        <w:gridCol w:w="109"/>
        <w:gridCol w:w="109"/>
        <w:gridCol w:w="376"/>
        <w:gridCol w:w="1287"/>
        <w:gridCol w:w="194"/>
        <w:gridCol w:w="109"/>
        <w:gridCol w:w="109"/>
        <w:gridCol w:w="109"/>
        <w:gridCol w:w="253"/>
        <w:gridCol w:w="757"/>
        <w:gridCol w:w="131"/>
        <w:gridCol w:w="109"/>
        <w:gridCol w:w="109"/>
        <w:gridCol w:w="109"/>
        <w:gridCol w:w="278"/>
        <w:gridCol w:w="614"/>
        <w:gridCol w:w="144"/>
        <w:gridCol w:w="109"/>
        <w:gridCol w:w="109"/>
        <w:gridCol w:w="109"/>
        <w:gridCol w:w="237"/>
        <w:gridCol w:w="811"/>
        <w:gridCol w:w="179"/>
      </w:tblGrid>
      <w:tr>
        <w:trPr/>
        <w:tc>
          <w:tcPr>
            <w:tcW w:w="9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9"/>
        <w:gridCol w:w="716"/>
        <w:gridCol w:w="684"/>
        <w:gridCol w:w="256"/>
        <w:gridCol w:w="877"/>
        <w:gridCol w:w="132"/>
        <w:gridCol w:w="109"/>
        <w:gridCol w:w="109"/>
        <w:gridCol w:w="109"/>
        <w:gridCol w:w="382"/>
        <w:gridCol w:w="1306"/>
        <w:gridCol w:w="197"/>
        <w:gridCol w:w="109"/>
        <w:gridCol w:w="109"/>
        <w:gridCol w:w="109"/>
        <w:gridCol w:w="253"/>
        <w:gridCol w:w="757"/>
        <w:gridCol w:w="131"/>
        <w:gridCol w:w="109"/>
        <w:gridCol w:w="109"/>
        <w:gridCol w:w="109"/>
        <w:gridCol w:w="233"/>
        <w:gridCol w:w="681"/>
        <w:gridCol w:w="122"/>
        <w:gridCol w:w="109"/>
        <w:gridCol w:w="109"/>
        <w:gridCol w:w="109"/>
        <w:gridCol w:w="238"/>
        <w:gridCol w:w="814"/>
        <w:gridCol w:w="179"/>
      </w:tblGrid>
      <w:tr>
        <w:trPr/>
        <w:tc>
          <w:tcPr>
            <w:tcW w:w="9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020"/>
        <w:gridCol w:w="821"/>
        <w:gridCol w:w="793"/>
        <w:gridCol w:w="264"/>
        <w:gridCol w:w="906"/>
        <w:gridCol w:w="136"/>
        <w:gridCol w:w="109"/>
        <w:gridCol w:w="109"/>
        <w:gridCol w:w="109"/>
        <w:gridCol w:w="343"/>
        <w:gridCol w:w="1004"/>
        <w:gridCol w:w="177"/>
        <w:gridCol w:w="109"/>
        <w:gridCol w:w="109"/>
        <w:gridCol w:w="109"/>
        <w:gridCol w:w="253"/>
        <w:gridCol w:w="757"/>
        <w:gridCol w:w="131"/>
        <w:gridCol w:w="109"/>
        <w:gridCol w:w="109"/>
        <w:gridCol w:w="109"/>
        <w:gridCol w:w="278"/>
        <w:gridCol w:w="614"/>
        <w:gridCol w:w="144"/>
        <w:gridCol w:w="109"/>
        <w:gridCol w:w="109"/>
        <w:gridCol w:w="109"/>
        <w:gridCol w:w="242"/>
        <w:gridCol w:w="830"/>
        <w:gridCol w:w="184"/>
      </w:tblGrid>
      <w:tr>
        <w:trPr/>
        <w:tc>
          <w:tcPr>
            <w:tcW w:w="10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4"/>
        <w:gridCol w:w="701"/>
        <w:gridCol w:w="676"/>
        <w:gridCol w:w="286"/>
        <w:gridCol w:w="979"/>
        <w:gridCol w:w="147"/>
        <w:gridCol w:w="109"/>
        <w:gridCol w:w="109"/>
        <w:gridCol w:w="109"/>
        <w:gridCol w:w="396"/>
        <w:gridCol w:w="1157"/>
        <w:gridCol w:w="204"/>
        <w:gridCol w:w="109"/>
        <w:gridCol w:w="109"/>
        <w:gridCol w:w="109"/>
        <w:gridCol w:w="253"/>
        <w:gridCol w:w="757"/>
        <w:gridCol w:w="131"/>
        <w:gridCol w:w="109"/>
        <w:gridCol w:w="109"/>
        <w:gridCol w:w="109"/>
        <w:gridCol w:w="233"/>
        <w:gridCol w:w="681"/>
        <w:gridCol w:w="122"/>
        <w:gridCol w:w="109"/>
        <w:gridCol w:w="109"/>
        <w:gridCol w:w="109"/>
        <w:gridCol w:w="255"/>
        <w:gridCol w:w="873"/>
        <w:gridCol w:w="192"/>
      </w:tblGrid>
      <w:tr>
        <w:trPr/>
        <w:tc>
          <w:tcPr>
            <w:tcW w:w="85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Nonaccrual and past due loans are summarized below as of September 30, 2025 and December 31, 2024:</w:t>
      </w:r>
    </w:p>
    <w:tbl>
      <w:tblPr>
        <w:tblW w:w="10330" w:type="dxa"/>
        <w:jc w:val="left"/>
        <w:tblInd w:w="0" w:type="dxa"/>
        <w:tblLayout w:type="fixed"/>
        <w:tblCellMar>
          <w:top w:w="28" w:type="dxa"/>
          <w:left w:w="28" w:type="dxa"/>
          <w:bottom w:w="28" w:type="dxa"/>
          <w:right w:w="28" w:type="dxa"/>
        </w:tblCellMar>
      </w:tblPr>
      <w:tblGrid>
        <w:gridCol w:w="535"/>
        <w:gridCol w:w="325"/>
        <w:gridCol w:w="326"/>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$23.1 million of SBA 7(a) loan balances guaranteed by the SBA.</w:t>
            </w:r>
          </w:p>
        </w:tc>
      </w:tr>
    </w:tbl>
    <w:tbl>
      <w:tblPr>
        <w:tblW w:w="1033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$18.9 million of SBA 7(a) loan balances guaranteed by the SBA.</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was no interest income recognized for the three and nine months ended September 30, 2025 and 2024, while loans were classified as nonaccrual. The amount of accrued interest that was reversed against interest income on nonaccrual loans was approximately $0.2 million and $0.5 million for the three months ended September 30, 2025 and 2024, respectively, and $0.8 million and $0.6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Pass </w:t>
      </w:r>
      <w:r>
        <w:rPr>
          <w:color w:val="000000"/>
          <w:shd w:fill="FFFFFF" w:val="clear"/>
        </w:rPr>
        <w:t xml:space="preserve">– </w:t>
      </w:r>
      <w:r>
        <w:rPr>
          <w:rFonts w:ascii="Times New Roman;serif" w:hAnsi="Times New Roman;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erif" w:hAnsi="Times New Roman;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Watch </w:t>
      </w:r>
      <w:r>
        <w:rPr>
          <w:color w:val="000000"/>
          <w:shd w:fill="FFFFFF" w:val="clear"/>
        </w:rPr>
        <w:t xml:space="preserve">– </w:t>
      </w:r>
      <w:r>
        <w:rPr>
          <w:rFonts w:ascii="Times New Roman;serif" w:hAnsi="Times New Roman;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Special Mention </w:t>
      </w:r>
      <w:r>
        <w:rPr>
          <w:color w:val="000000"/>
          <w:shd w:fill="FFFFFF" w:val="clear"/>
        </w:rPr>
        <w:t xml:space="preserve">– </w:t>
      </w:r>
      <w:r>
        <w:rPr>
          <w:rFonts w:ascii="Times New Roman;serif" w:hAnsi="Times New Roman;serif"/>
          <w:b w:val="false"/>
          <w:color w:val="000000"/>
          <w:sz w:val="20"/>
          <w:shd w:fill="FFFFFF" w:val="clear"/>
        </w:rPr>
        <w:t>A Special Mention asset has potential weaknesses that may be</w:t>
      </w:r>
      <w:r>
        <w:rPr>
          <w:color w:val="000000"/>
          <w:shd w:fill="FFFFFF" w:val="clear"/>
        </w:rPr>
        <w:t xml:space="preserve"> </w:t>
      </w:r>
      <w:r>
        <w:rPr>
          <w:rFonts w:ascii="Times New Roman;serif" w:hAnsi="Times New Roman;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Substandard </w:t>
      </w:r>
      <w:r>
        <w:rPr>
          <w:color w:val="000000"/>
          <w:shd w:fill="FFFFFF" w:val="clear"/>
        </w:rPr>
        <w:t xml:space="preserve">– </w:t>
      </w:r>
      <w:r>
        <w:rPr>
          <w:rFonts w:ascii="Times New Roman;serif" w:hAnsi="Times New Roman;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erif" w:hAnsi="Times New Roman;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left"/>
        <w:rPr/>
      </w:pPr>
      <w:r>
        <w:rPr>
          <w:rFonts w:ascii="Times New Roman;serif" w:hAnsi="Times New Roman;serif"/>
          <w:b w:val="false"/>
          <w:i/>
          <w:color w:val="000000"/>
          <w:sz w:val="20"/>
          <w:shd w:fill="FFFFFF" w:val="clear"/>
        </w:rPr>
        <w:t>Doubtful</w:t>
      </w:r>
      <w:r>
        <w:rPr>
          <w:color w:val="000000"/>
          <w:shd w:fill="FFFFFF" w:val="clear"/>
        </w:rPr>
        <w:t xml:space="preserve"> – </w:t>
      </w:r>
      <w:r>
        <w:rPr>
          <w:rFonts w:ascii="Times New Roman;serif" w:hAnsi="Times New Roman;serif"/>
          <w:b w:val="false"/>
          <w:color w:val="000000"/>
          <w:sz w:val="20"/>
          <w:shd w:fill="FFFFFF" w:val="clear"/>
        </w:rPr>
        <w:t>A doubtful asset has an existing weakness or weaknesses that make collection or liquidation in full, on the basis of currently existing facts and conditions, highly questionable and improbable.</w:t>
      </w:r>
    </w:p>
    <w:p>
      <w:pPr>
        <w:pStyle w:val="TextBody"/>
        <w:bidi w:val="0"/>
        <w:spacing w:lineRule="auto" w:line="288" w:before="200" w:after="283"/>
        <w:jc w:val="left"/>
        <w:rPr/>
      </w:pPr>
      <w:r>
        <w:rPr>
          <w:rFonts w:ascii="Times New Roman;serif" w:hAnsi="Times New Roman;serif"/>
          <w:b w:val="false"/>
          <w:i/>
          <w:color w:val="000000"/>
          <w:sz w:val="20"/>
          <w:shd w:fill="FFFFFF" w:val="clear"/>
        </w:rPr>
        <w:t>Loss</w:t>
      </w:r>
      <w:r>
        <w:rPr>
          <w:color w:val="000000"/>
          <w:shd w:fill="FFFFFF" w:val="clear"/>
        </w:rPr>
        <w:t xml:space="preserve"> – </w:t>
      </w:r>
      <w:r>
        <w:rPr>
          <w:rFonts w:ascii="Times New Roman;serif" w:hAnsi="Times New Roman;serif"/>
          <w:b w:val="false"/>
          <w:color w:val="000000"/>
          <w:sz w:val="20"/>
          <w:shd w:fill="FFFFFF" w:val="clear"/>
        </w:rPr>
        <w:t>A loss asset has an existing weakness or weaknesses that render the loan uncollectible and of such little value that continuing to carry as an asset on the Company’s books is not warranted. This classification does not mean that the loan has absolutely no recovery or salvage value, but rather it is not practical nor desirable to defer writing off this basically worthless asset, even though partial recovery may be effected in the future.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Not Rated </w:t>
      </w:r>
      <w:r>
        <w:rPr>
          <w:color w:val="000000"/>
          <w:shd w:fill="FFFFFF" w:val="clear"/>
        </w:rPr>
        <w:t xml:space="preserve">– </w:t>
      </w:r>
      <w:r>
        <w:rPr>
          <w:rFonts w:ascii="Times New Roman;serif" w:hAnsi="Times New Roman;serif"/>
          <w:b w:val="false"/>
          <w:color w:val="000000"/>
          <w:sz w:val="20"/>
          <w:shd w:fill="FFFFFF" w:val="clear"/>
        </w:rPr>
        <w:t>For Strategic Program loans,</w:t>
      </w:r>
      <w:r>
        <w:rPr>
          <w:color w:val="000000"/>
          <w:shd w:fill="FFFFFF" w:val="clear"/>
        </w:rPr>
        <w:t xml:space="preserve"> </w:t>
      </w:r>
      <w:r>
        <w:rPr>
          <w:rFonts w:ascii="Times New Roman;serif" w:hAnsi="Times New Roman;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September 30, 2025, in addition to the gross writeoff by collateral type for the nine months ended September 30, 2025. The loans are grouped based on how they are assessed under CECL.</w:t>
      </w:r>
    </w:p>
    <w:tbl>
      <w:tblPr>
        <w:tblW w:w="10478" w:type="dxa"/>
        <w:jc w:val="left"/>
        <w:tblInd w:w="0" w:type="dxa"/>
        <w:tblLayout w:type="fixed"/>
        <w:tblCellMar>
          <w:top w:w="28" w:type="dxa"/>
          <w:left w:w="28" w:type="dxa"/>
          <w:bottom w:w="28" w:type="dxa"/>
          <w:right w:w="28" w:type="dxa"/>
        </w:tblCellMar>
      </w:tblPr>
      <w:tblGrid>
        <w:gridCol w:w="591"/>
        <w:gridCol w:w="282"/>
        <w:gridCol w:w="28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231"/>
        <w:gridCol w:w="480"/>
        <w:gridCol w:w="130"/>
        <w:gridCol w:w="109"/>
        <w:gridCol w:w="109"/>
        <w:gridCol w:w="109"/>
        <w:gridCol w:w="196"/>
        <w:gridCol w:w="64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 xml:space="preserve">Total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74"/>
        <w:gridCol w:w="619"/>
        <w:gridCol w:w="577"/>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277"/>
        <w:gridCol w:w="279"/>
        <w:gridCol w:w="109"/>
        <w:gridCol w:w="109"/>
        <w:gridCol w:w="109"/>
        <w:gridCol w:w="109"/>
        <w:gridCol w:w="320"/>
        <w:gridCol w:w="326"/>
        <w:gridCol w:w="109"/>
        <w:gridCol w:w="109"/>
        <w:gridCol w:w="109"/>
        <w:gridCol w:w="109"/>
        <w:gridCol w:w="203"/>
        <w:gridCol w:w="203"/>
        <w:gridCol w:w="109"/>
        <w:gridCol w:w="109"/>
        <w:gridCol w:w="109"/>
        <w:gridCol w:w="109"/>
        <w:gridCol w:w="368"/>
        <w:gridCol w:w="368"/>
        <w:gridCol w:w="155"/>
      </w:tblGrid>
      <w:tr>
        <w:trPr/>
        <w:tc>
          <w:tcPr>
            <w:tcW w:w="87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 multifamily</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236,860 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Consumer </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1473" w:type="dxa"/>
        <w:jc w:val="left"/>
        <w:tblInd w:w="0" w:type="dxa"/>
        <w:tblLayout w:type="fixed"/>
        <w:tblCellMar>
          <w:top w:w="28" w:type="dxa"/>
          <w:left w:w="28" w:type="dxa"/>
          <w:bottom w:w="28" w:type="dxa"/>
          <w:right w:w="28" w:type="dxa"/>
        </w:tblCellMar>
      </w:tblPr>
      <w:tblGrid>
        <w:gridCol w:w="677"/>
        <w:gridCol w:w="291"/>
        <w:gridCol w:w="29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financing receivables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writeoff-without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writeoff-with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portfolio loans receivable,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December 31, 2024, in addition to the gross writeoff by collateral type for the year ended December 31, 2024. The loans are grouped based on how they are assessed under CECL.</w:t>
      </w:r>
    </w:p>
    <w:tbl>
      <w:tblPr>
        <w:tblW w:w="10205" w:type="dxa"/>
        <w:jc w:val="left"/>
        <w:tblInd w:w="0" w:type="dxa"/>
        <w:tblLayout w:type="fixed"/>
        <w:tblCellMar>
          <w:top w:w="28" w:type="dxa"/>
          <w:left w:w="28" w:type="dxa"/>
          <w:bottom w:w="28" w:type="dxa"/>
          <w:right w:w="28" w:type="dxa"/>
        </w:tblCellMar>
      </w:tblPr>
      <w:tblGrid>
        <w:gridCol w:w="780"/>
        <w:gridCol w:w="536"/>
        <w:gridCol w:w="537"/>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90"/>
        <w:gridCol w:w="603"/>
        <w:gridCol w:w="163"/>
        <w:gridCol w:w="109"/>
        <w:gridCol w:w="109"/>
        <w:gridCol w:w="109"/>
        <w:gridCol w:w="196"/>
        <w:gridCol w:w="646"/>
        <w:gridCol w:w="157"/>
      </w:tblGrid>
      <w:tr>
        <w:trPr/>
        <w:tc>
          <w:tcPr>
            <w:tcW w:w="78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 xml:space="preserve">Total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153"/>
        <w:gridCol w:w="997"/>
        <w:gridCol w:w="1001"/>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277"/>
        <w:gridCol w:w="279"/>
        <w:gridCol w:w="109"/>
        <w:gridCol w:w="109"/>
        <w:gridCol w:w="109"/>
        <w:gridCol w:w="109"/>
        <w:gridCol w:w="321"/>
        <w:gridCol w:w="325"/>
        <w:gridCol w:w="109"/>
        <w:gridCol w:w="109"/>
        <w:gridCol w:w="109"/>
        <w:gridCol w:w="109"/>
        <w:gridCol w:w="203"/>
        <w:gridCol w:w="203"/>
        <w:gridCol w:w="109"/>
        <w:gridCol w:w="109"/>
        <w:gridCol w:w="109"/>
        <w:gridCol w:w="109"/>
        <w:gridCol w:w="368"/>
        <w:gridCol w:w="368"/>
        <w:gridCol w:w="156"/>
      </w:tblGrid>
      <w:tr>
        <w:trPr/>
        <w:tc>
          <w:tcPr>
            <w:tcW w:w="115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 multifamily</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Consumer </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financing receivables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34"/>
        <w:gridCol w:w="386"/>
        <w:gridCol w:w="38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6"/>
      </w:tblGrid>
      <w:tr>
        <w:trPr/>
        <w:tc>
          <w:tcPr>
            <w:tcW w:w="73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portfolio loans receivable,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465,233 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(12,669)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Modified Loans to Troubled Borrowers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Loans Held-for-Investment (Excluding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there were no new material loan modifications to loans held-for-investment, excluding Strategic Program loans which are discussed separately below. During the nine months ended September 30, 2025, there was a payment default of $0.2 million on a commercial real estate owner occupied loan to a borrower whose loan was modified due to financial difficulties within the previous twelve months and the loan was placed on nonaccrual status. The remaining modified loans were current as of September 30,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payment defaults during the three and nine months ended September 30, 2024 of modified loans that were modified during the previous twelve months. The following table presents the amortized cost basis as of September 30, 2024, the percentage of the loans modified to the total class of loans, and the financial effect of modified loans to troubled borrowers that were experiencing financial difficulty during the nine months ended September 30, 2024:</w:t>
      </w:r>
    </w:p>
    <w:tbl>
      <w:tblPr>
        <w:tblW w:w="10205" w:type="dxa"/>
        <w:jc w:val="left"/>
        <w:tblInd w:w="0" w:type="dxa"/>
        <w:tblLayout w:type="fixed"/>
        <w:tblCellMar>
          <w:top w:w="28" w:type="dxa"/>
          <w:left w:w="28" w:type="dxa"/>
          <w:bottom w:w="28" w:type="dxa"/>
          <w:right w:w="28" w:type="dxa"/>
        </w:tblCellMar>
      </w:tblPr>
      <w:tblGrid>
        <w:gridCol w:w="714"/>
        <w:gridCol w:w="617"/>
        <w:gridCol w:w="619"/>
        <w:gridCol w:w="830"/>
        <w:gridCol w:w="830"/>
        <w:gridCol w:w="833"/>
        <w:gridCol w:w="109"/>
        <w:gridCol w:w="109"/>
        <w:gridCol w:w="109"/>
        <w:gridCol w:w="847"/>
        <w:gridCol w:w="1871"/>
        <w:gridCol w:w="439"/>
        <w:gridCol w:w="109"/>
        <w:gridCol w:w="109"/>
        <w:gridCol w:w="109"/>
        <w:gridCol w:w="411"/>
        <w:gridCol w:w="390"/>
        <w:gridCol w:w="1150"/>
      </w:tblGrid>
      <w:tr>
        <w:trPr/>
        <w:tc>
          <w:tcPr>
            <w:tcW w:w="7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Amortized Cost at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Loan Type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1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 of $63.0 million and $20.1 million as of September 30, 2025 and December 31, 2024, respectively, consist primarily of personal loans to individuals.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some of the Company’s strategic programs will modify the original loan terms to optimize the recovery of principal and interest. The loan modifications may include (i) a delay in payment and extension of the loan term, or (ii) accrued interest forgiveness and interest rate and payment reductions. As of September 30, 2025, the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outstanding modified loans to individuals in the retained portfolio was approximately $0.3 million. As of December 31, 2024, the balance of outstanding modified loans to individuals in the retained portfolio was approximately $4.4 million.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Collateral-Dependent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amortized cost basis of collateral-dependent loans by class of loans as of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7"/>
        <w:gridCol w:w="951"/>
        <w:gridCol w:w="954"/>
        <w:gridCol w:w="653"/>
        <w:gridCol w:w="1442"/>
        <w:gridCol w:w="338"/>
        <w:gridCol w:w="109"/>
        <w:gridCol w:w="109"/>
        <w:gridCol w:w="109"/>
        <w:gridCol w:w="215"/>
        <w:gridCol w:w="737"/>
        <w:gridCol w:w="110"/>
        <w:gridCol w:w="109"/>
        <w:gridCol w:w="109"/>
        <w:gridCol w:w="109"/>
        <w:gridCol w:w="370"/>
        <w:gridCol w:w="1083"/>
        <w:gridCol w:w="191"/>
        <w:gridCol w:w="109"/>
        <w:gridCol w:w="109"/>
        <w:gridCol w:w="109"/>
        <w:gridCol w:w="211"/>
        <w:gridCol w:w="721"/>
        <w:gridCol w:w="161"/>
      </w:tblGrid>
      <w:tr>
        <w:trPr/>
        <w:tc>
          <w:tcPr>
            <w:tcW w:w="10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39,913 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September 30, 2025 include $23.1 million of SBA 7(a) loan balances that are guaranteed by the SBA.</w:t>
      </w:r>
    </w:p>
    <w:tbl>
      <w:tblPr>
        <w:tblW w:w="10205" w:type="dxa"/>
        <w:jc w:val="left"/>
        <w:tblInd w:w="0" w:type="dxa"/>
        <w:tblLayout w:type="fixed"/>
        <w:tblCellMar>
          <w:top w:w="28" w:type="dxa"/>
          <w:left w:w="28" w:type="dxa"/>
          <w:bottom w:w="28" w:type="dxa"/>
          <w:right w:w="28" w:type="dxa"/>
        </w:tblCellMar>
      </w:tblPr>
      <w:tblGrid>
        <w:gridCol w:w="1086"/>
        <w:gridCol w:w="951"/>
        <w:gridCol w:w="955"/>
        <w:gridCol w:w="707"/>
        <w:gridCol w:w="1361"/>
        <w:gridCol w:w="365"/>
        <w:gridCol w:w="109"/>
        <w:gridCol w:w="109"/>
        <w:gridCol w:w="109"/>
        <w:gridCol w:w="215"/>
        <w:gridCol w:w="737"/>
        <w:gridCol w:w="110"/>
        <w:gridCol w:w="109"/>
        <w:gridCol w:w="109"/>
        <w:gridCol w:w="109"/>
        <w:gridCol w:w="370"/>
        <w:gridCol w:w="1082"/>
        <w:gridCol w:w="191"/>
        <w:gridCol w:w="109"/>
        <w:gridCol w:w="109"/>
        <w:gridCol w:w="109"/>
        <w:gridCol w:w="211"/>
        <w:gridCol w:w="721"/>
        <w:gridCol w:w="162"/>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December 31, 2024 include $18.9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SBA Servicing Asset,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sells the guaranteed portions of SBA loans and retains rights to service the loans. Loans serviced for others are not included in the accompanying balance sheets. The unpaid principal balances of SBA loans serviced for others was $250.6 million and $218.4 million at September 30, 2025 and December 31,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SBA servicing asset, net activity for the periods indicated:</w:t>
      </w:r>
    </w:p>
    <w:tbl>
      <w:tblPr>
        <w:tblW w:w="7425"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in the valuation allowance for the SBA servicing asset was as follows for the periods indicated:</w:t>
      </w:r>
    </w:p>
    <w:tbl>
      <w:tblPr>
        <w:tblW w:w="7710"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market value of the SBA servicing asset as of September 30, 2025 and December 31, 2024, was $3.1 million and $3.3 million, respectively. 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19.6%, weighted average term of 3.38 years, and a weighted average discount rate of 12.5% at September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21.1%, weighted average term of 3.30 years, and a weighted average discount rate of 12.1%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September 30, 2025 and December 31, 2024, that the Bank’s capital levels exceed the regulatory floors required to be classified as a well-capitalized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tbl>
      <w:tblPr>
        <w:tblW w:w="7413"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233"/>
        <w:gridCol w:w="233"/>
        <w:gridCol w:w="341"/>
        <w:gridCol w:w="109"/>
        <w:gridCol w:w="109"/>
        <w:gridCol w:w="109"/>
        <w:gridCol w:w="211"/>
        <w:gridCol w:w="721"/>
        <w:gridCol w:w="109"/>
        <w:gridCol w:w="109"/>
        <w:gridCol w:w="109"/>
        <w:gridCol w:w="109"/>
        <w:gridCol w:w="180"/>
        <w:gridCol w:w="181"/>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Well-Capitalized</w:t>
              <w:b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Bank 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and other regulatory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Home Loan Bank Secured Line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Bank’s available line of credit with the FHLB to borrow funds was $18.5 million and $25.0 million, respectively. All borrowings are short-term and the interest rate is equal to the correspondent bank’s daily federal funds purchase rate. As of September 30, 2025 and December 31, 2024, no amounts were outstanding under the line of credit. Loans totaling $30.9 million and $41.6 million were pledged to secure the FHLB line of credit as of September 30, 2025 and December 31,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Bank had the ability to borrow $216.8 million and $239.2 million, respectively, in total from the Federal Reserve Bank (“FRB”) on a collateralized basis through the Discount Window and/or the borrower-in-custody (“BIC”) program. Loans totaling $251.9 million and $240.8 million and securities of $38.1 million and $42.6 million were pledged to secure these lines of credit with the FRB as of September 30, 2025 and December 31, 2024, respectively. In 2024, the Bank was accepted into the FRB’s borrower-in-custody program, which allows financial institutions to pledge loans that are not pledged to the FHLB as collateral for FRB’s Discount Window advances while retaining possession or control of the collateral. The Bank can borrow a maximum of $180.1 million and $198.8 million as of September 30, 2025 and December 31, 2024, respectively, under the BIC program utilizing the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pledged to the FRB while under the Discount Window the Bank can borrow a maximum of $216.8 million and $239.2 million, respectively, utilizing both the aforementioned loans as well as the securities pledged to the FRB. In no instance can the Bank exceed outstanding borrowings of $216.8 million and $239.2 million as of September 30, 2025 and December 31, 2024, respectively. The Company had no advances outstanding under either program as of September 30, 2025 and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Zions Bank, the Bank had an available unsecured line of credit of $5.0 million at September 30, 2025 and December 31, 2024. The Bank had an available line of credit with Bankers’ Bank of the West to borrow up to $1.1 million in overnight funds at September 30, 2025 and December 31, 2024. The Bank had no outstanding balances on such unsecured or secured lines of credit as of September 30, 2025 and December 31, 2024.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Instruments with Off-Balance Sheet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Commitments to Extend Credit</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 The Company’s </w:t>
      </w:r>
      <w:r>
        <w:rPr>
          <w:rFonts w:ascii="Times New Roman;serif" w:hAnsi="Times New Roman;serif"/>
          <w:b w:val="false"/>
          <w:color w:val="000000"/>
          <w:sz w:val="20"/>
          <w:shd w:fill="FFFFFF" w:val="clear"/>
        </w:rPr>
        <w:t>commitments to extend credit as of the dates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financial instruments with off-balance-sheet risk were as follows:</w:t>
      </w:r>
    </w:p>
    <w:tbl>
      <w:tblPr>
        <w:tblW w:w="6400" w:type="dxa"/>
        <w:jc w:val="left"/>
        <w:tblInd w:w="0" w:type="dxa"/>
        <w:tblLayout w:type="fixed"/>
        <w:tblCellMar>
          <w:top w:w="28" w:type="dxa"/>
          <w:left w:w="28" w:type="dxa"/>
          <w:bottom w:w="28" w:type="dxa"/>
          <w:right w:w="28" w:type="dxa"/>
        </w:tblCellMar>
      </w:tblPr>
      <w:tblGrid>
        <w:gridCol w:w="1254"/>
        <w:gridCol w:w="1103"/>
        <w:gridCol w:w="1107"/>
        <w:gridCol w:w="264"/>
        <w:gridCol w:w="904"/>
        <w:gridCol w:w="136"/>
        <w:gridCol w:w="109"/>
        <w:gridCol w:w="109"/>
        <w:gridCol w:w="109"/>
        <w:gridCol w:w="253"/>
        <w:gridCol w:w="867"/>
        <w:gridCol w:w="185"/>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open-end lines of credit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commercial real estate loans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unused commitments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unfunded loan commitments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 on Unfunded Commitments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$0.6 million and $0.5 million as of September 30, 2025 and December 31, 2024,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Class Action Litigation</w:t>
      </w:r>
    </w:p>
    <w:p>
      <w:pPr>
        <w:pStyle w:val="TextBody"/>
        <w:bidi w:val="0"/>
        <w:spacing w:lineRule="auto" w:line="288" w:before="200" w:after="283"/>
        <w:jc w:val="left"/>
        <w:rPr/>
      </w:pPr>
      <w:r>
        <w:rPr>
          <w:rFonts w:ascii="Times New Roman;serif" w:hAnsi="Times New Roman;serif"/>
          <w:b w:val="false"/>
          <w:color w:val="000000"/>
          <w:sz w:val="20"/>
        </w:rPr>
        <w:t xml:space="preserve">In July 2025, the Company notified approximately 600,000 individuals of an alleged data breach in which their personal data was exposed by a former employee following termination of their employment. Subsequently several class action lawsuits were filed, all of which have been consolidated into a single class action lawsuit in Utah federal court. </w:t>
      </w:r>
      <w:r>
        <w:rPr>
          <w:rFonts w:ascii="Times New Roman;serif" w:hAnsi="Times New Roman;serif"/>
          <w:b w:val="false"/>
          <w:color w:val="000000"/>
          <w:sz w:val="20"/>
          <w:shd w:fill="FFFFFF" w:val="clear"/>
        </w:rPr>
        <w:t xml:space="preserve">The Company has disputed the claims and is vigorously defending the lawsuit. </w:t>
      </w:r>
      <w:r>
        <w:rPr>
          <w:rFonts w:ascii="Times New Roman;serif" w:hAnsi="Times New Roman;serif"/>
          <w:b w:val="false"/>
          <w:color w:val="000000"/>
          <w:sz w:val="20"/>
        </w:rPr>
        <w:t xml:space="preserve">At the time of filing, the outcome of these matters and any possible related losses or damages are not estimable or probable.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 Investment in Business Funding Group,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in a private placement to the sellers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the Company’s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further discussion on the Company’s investment in BFG, see Note 9 - Fair Value of Financial Instruments and 12 -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Stock-Based Compensation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Stock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September 30, 2025, 120,929 shares under the 2019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September 30, 2025, 2,189 shares under the 2016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 Restricted stock vests over periods ranging from approximately 1 to 5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stock option activity for the nine months ended September 30, 2025:</w:t>
      </w:r>
    </w:p>
    <w:tbl>
      <w:tblPr>
        <w:tblW w:w="10205" w:type="dxa"/>
        <w:jc w:val="left"/>
        <w:tblInd w:w="0" w:type="dxa"/>
        <w:tblLayout w:type="fixed"/>
        <w:tblCellMar>
          <w:top w:w="28" w:type="dxa"/>
          <w:left w:w="28" w:type="dxa"/>
          <w:bottom w:w="28" w:type="dxa"/>
          <w:right w:w="28" w:type="dxa"/>
        </w:tblCellMar>
      </w:tblPr>
      <w:tblGrid>
        <w:gridCol w:w="1563"/>
        <w:gridCol w:w="1370"/>
        <w:gridCol w:w="1375"/>
        <w:gridCol w:w="262"/>
        <w:gridCol w:w="262"/>
        <w:gridCol w:w="267"/>
        <w:gridCol w:w="109"/>
        <w:gridCol w:w="109"/>
        <w:gridCol w:w="109"/>
        <w:gridCol w:w="232"/>
        <w:gridCol w:w="563"/>
        <w:gridCol w:w="121"/>
        <w:gridCol w:w="109"/>
        <w:gridCol w:w="109"/>
        <w:gridCol w:w="109"/>
        <w:gridCol w:w="585"/>
        <w:gridCol w:w="585"/>
        <w:gridCol w:w="587"/>
        <w:gridCol w:w="109"/>
        <w:gridCol w:w="109"/>
        <w:gridCol w:w="109"/>
        <w:gridCol w:w="211"/>
        <w:gridCol w:w="1081"/>
        <w:gridCol w:w="160"/>
      </w:tblGrid>
      <w:tr>
        <w:trPr/>
        <w:tc>
          <w:tcPr>
            <w:tcW w:w="15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Remaining</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9,266,286 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1,199,268 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11,149,596 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September 30, 2025</w:t>
            </w:r>
          </w:p>
        </w:tc>
        <w:tc>
          <w:tcPr>
            <w:tcW w:w="7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10,526,716 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the Company received de minimis proceeds from the exercise of stock options</w:t>
      </w:r>
      <w:bookmarkStart w:id="0" w:name="idc077cb4e5a84441bd60a1b2473d0a24_3882"/>
      <w:bookmarkEnd w:id="0"/>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activity for the nine months ended September 30, 2025:</w:t>
      </w:r>
    </w:p>
    <w:tbl>
      <w:tblPr>
        <w:tblW w:w="8590" w:type="dxa"/>
        <w:jc w:val="left"/>
        <w:tblInd w:w="0" w:type="dxa"/>
        <w:tblLayout w:type="fixed"/>
        <w:tblCellMar>
          <w:top w:w="28" w:type="dxa"/>
          <w:left w:w="28" w:type="dxa"/>
          <w:bottom w:w="28" w:type="dxa"/>
          <w:right w:w="28" w:type="dxa"/>
        </w:tblCellMar>
      </w:tblPr>
      <w:tblGrid>
        <w:gridCol w:w="1076"/>
        <w:gridCol w:w="945"/>
        <w:gridCol w:w="948"/>
        <w:gridCol w:w="539"/>
        <w:gridCol w:w="539"/>
        <w:gridCol w:w="541"/>
        <w:gridCol w:w="109"/>
        <w:gridCol w:w="109"/>
        <w:gridCol w:w="109"/>
        <w:gridCol w:w="790"/>
        <w:gridCol w:w="2308"/>
        <w:gridCol w:w="577"/>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2025</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nine months ended September 30, 2025 and 2024 was $2.1 million and $1.0 million, respectively.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recognized and income tax benefit for stock-based compensation related to restricted shares:</w:t>
      </w:r>
    </w:p>
    <w:tbl>
      <w:tblPr>
        <w:tblW w:w="8399" w:type="dxa"/>
        <w:jc w:val="left"/>
        <w:tblInd w:w="0" w:type="dxa"/>
        <w:tblLayout w:type="fixed"/>
        <w:tblCellMar>
          <w:top w:w="28" w:type="dxa"/>
          <w:left w:w="28" w:type="dxa"/>
          <w:bottom w:w="28" w:type="dxa"/>
          <w:right w:w="28" w:type="dxa"/>
        </w:tblCellMar>
      </w:tblPr>
      <w:tblGrid>
        <w:gridCol w:w="1369"/>
        <w:gridCol w:w="1201"/>
        <w:gridCol w:w="12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restricted shares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unrecognized stock-based compensation expense related to stock options and restricted stock of approximately $35.1 thousand and $5.7 million, respectively, which is expected to be recognized over the remaining weighted average recognition period of 0.7 years and 2.0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Fair Value of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left"/>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left"/>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erif" w:hAnsi="Times New Roman;serif"/>
          <w:b/>
          <w:color w:val="000000"/>
          <w:sz w:val="20"/>
        </w:rPr>
        <w:t>Investment securities available-for-sale</w:t>
      </w:r>
      <w:r>
        <w:rPr>
          <w:rFonts w:ascii="Times New Roman;serif" w:hAnsi="Times New Roman;serif"/>
          <w:b w:val="false"/>
          <w:color w:val="000000"/>
          <w:sz w:val="20"/>
        </w:rPr>
        <w:t>: Investment securities available-for-sale consist of U.S. Treasury securities and are carried at fair value. The Company estimates the fair value of investment securities available-for-sale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erif" w:hAnsi="Times New Roman;serif"/>
          <w:b/>
          <w:color w:val="000000"/>
          <w:sz w:val="20"/>
        </w:rPr>
        <w:t>Investment in BFG</w:t>
      </w:r>
      <w:r>
        <w:rPr>
          <w:rFonts w:ascii="Times New Roman;serif" w:hAnsi="Times New Roman;serif"/>
          <w:b w:val="false"/>
          <w:color w:val="000000"/>
          <w:sz w:val="20"/>
        </w:rPr>
        <w:t>: The Company’s valuation technique utilized the average of the discounted cash flow method and the Guideline Public Company method. A 4.5% discount for non-voting shares was applied to the valuation to arrive at fair value as of September 30, 2025 and December 31, 2024. The calculation of fair value utilized significant unobservable inputs, including projected cash flows, growth rates, and discount rates.</w:t>
      </w:r>
    </w:p>
    <w:p>
      <w:pPr>
        <w:pStyle w:val="TextBody"/>
        <w:bidi w:val="0"/>
        <w:spacing w:lineRule="auto" w:line="288" w:before="200" w:after="283"/>
        <w:jc w:val="left"/>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The Company’s derivative instruments consist of interest rate swaps accounted for as cash flow hedges. The Company’s derivative instruments are carried at fair value and considered Level 2 measurements. The Company measures fair value of interest rate swaps utilizing market observable inputs, such as forecasted yield curves.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recurring basis at the periods indicated:</w:t>
      </w:r>
    </w:p>
    <w:tbl>
      <w:tblPr>
        <w:tblW w:w="6788" w:type="dxa"/>
        <w:jc w:val="left"/>
        <w:tblInd w:w="0" w:type="dxa"/>
        <w:tblLayout w:type="fixed"/>
        <w:tblCellMar>
          <w:top w:w="28" w:type="dxa"/>
          <w:left w:w="28" w:type="dxa"/>
          <w:bottom w:w="28" w:type="dxa"/>
          <w:right w:w="28" w:type="dxa"/>
        </w:tblCellMar>
      </w:tblPr>
      <w:tblGrid>
        <w:gridCol w:w="728"/>
        <w:gridCol w:w="639"/>
        <w:gridCol w:w="642"/>
        <w:gridCol w:w="195"/>
        <w:gridCol w:w="195"/>
        <w:gridCol w:w="196"/>
        <w:gridCol w:w="109"/>
        <w:gridCol w:w="109"/>
        <w:gridCol w:w="109"/>
        <w:gridCol w:w="358"/>
        <w:gridCol w:w="1226"/>
        <w:gridCol w:w="185"/>
        <w:gridCol w:w="109"/>
        <w:gridCol w:w="109"/>
        <w:gridCol w:w="109"/>
        <w:gridCol w:w="344"/>
        <w:gridCol w:w="1175"/>
        <w:gridCol w:w="25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Company’s investment in BFG classified as a Level 3 financial instrument and measured at fair value on a recurring basis for the periods indicated:</w:t>
      </w:r>
    </w:p>
    <w:tbl>
      <w:tblPr>
        <w:tblW w:w="7769"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BFG ownership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nonrecurring basis at the periods indicated:</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20"/>
        </w:rPr>
        <w:t xml:space="preserve">Individually evaluated loans </w:t>
      </w:r>
      <w:r>
        <w:rPr>
          <w:color w:val="000000"/>
        </w:rPr>
        <w:t xml:space="preserve">– </w:t>
      </w:r>
      <w:r>
        <w:rPr>
          <w:rFonts w:ascii="Times New Roman;serif" w:hAnsi="Times New Roman;serif"/>
          <w:b w:val="false"/>
          <w:color w:val="000000"/>
          <w:sz w:val="20"/>
        </w:rPr>
        <w:t xml:space="preserve">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erif" w:hAnsi="Times New Roman;serif"/>
          <w:b/>
          <w:color w:val="000000"/>
          <w:sz w:val="20"/>
        </w:rPr>
        <w:t xml:space="preserve">Quantitative information for Level 3 fair value measurements </w:t>
      </w:r>
      <w:r>
        <w:rPr>
          <w:color w:val="000000"/>
        </w:rPr>
        <w:t xml:space="preserve">– </w:t>
      </w:r>
      <w:r>
        <w:rPr>
          <w:rFonts w:ascii="Times New Roman;serif" w:hAnsi="Times New Roman;serif"/>
          <w:b w:val="false"/>
          <w:color w:val="000000"/>
          <w:sz w:val="20"/>
        </w:rPr>
        <w:t>The following table presents information about quantitative inputs and assumptions used to fair value Level 3 nonrecurring assets as of September 30, 2025 and December 31, 2024:</w:t>
      </w:r>
    </w:p>
    <w:tbl>
      <w:tblPr>
        <w:tblW w:w="10205" w:type="dxa"/>
        <w:jc w:val="left"/>
        <w:tblInd w:w="0" w:type="dxa"/>
        <w:tblLayout w:type="fixed"/>
        <w:tblCellMar>
          <w:top w:w="28" w:type="dxa"/>
          <w:left w:w="28" w:type="dxa"/>
          <w:bottom w:w="28" w:type="dxa"/>
          <w:right w:w="28" w:type="dxa"/>
        </w:tblCellMar>
      </w:tblPr>
      <w:tblGrid>
        <w:gridCol w:w="796"/>
        <w:gridCol w:w="658"/>
        <w:gridCol w:w="661"/>
        <w:gridCol w:w="211"/>
        <w:gridCol w:w="721"/>
        <w:gridCol w:w="109"/>
        <w:gridCol w:w="109"/>
        <w:gridCol w:w="109"/>
        <w:gridCol w:w="109"/>
        <w:gridCol w:w="349"/>
        <w:gridCol w:w="349"/>
        <w:gridCol w:w="353"/>
        <w:gridCol w:w="1211"/>
        <w:gridCol w:w="1211"/>
        <w:gridCol w:w="1214"/>
        <w:gridCol w:w="109"/>
        <w:gridCol w:w="109"/>
        <w:gridCol w:w="109"/>
        <w:gridCol w:w="379"/>
        <w:gridCol w:w="338"/>
        <w:gridCol w:w="991"/>
      </w:tblGrid>
      <w:tr>
        <w:trPr/>
        <w:tc>
          <w:tcPr>
            <w:tcW w:w="79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w:t>
            </w:r>
          </w:p>
        </w:tc>
        <w:tc>
          <w:tcPr>
            <w:tcW w:w="3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w:t>
              <w:br/>
              <w:t xml:space="preserve">(Weighted Average) </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range and weighted average of the significant unobservable inputs used to fair value the investment in BFG as of September 30, 2025 and as of December 31, 2024 are shown in the following table:</w:t>
      </w:r>
    </w:p>
    <w:tbl>
      <w:tblPr>
        <w:tblW w:w="6596" w:type="dxa"/>
        <w:jc w:val="left"/>
        <w:tblInd w:w="0" w:type="dxa"/>
        <w:tblLayout w:type="fixed"/>
        <w:tblCellMar>
          <w:top w:w="28" w:type="dxa"/>
          <w:left w:w="28" w:type="dxa"/>
          <w:bottom w:w="28" w:type="dxa"/>
          <w:right w:w="28" w:type="dxa"/>
        </w:tblCellMar>
      </w:tblPr>
      <w:tblGrid>
        <w:gridCol w:w="950"/>
        <w:gridCol w:w="835"/>
        <w:gridCol w:w="839"/>
        <w:gridCol w:w="401"/>
        <w:gridCol w:w="401"/>
        <w:gridCol w:w="998"/>
        <w:gridCol w:w="109"/>
        <w:gridCol w:w="109"/>
        <w:gridCol w:w="109"/>
        <w:gridCol w:w="376"/>
        <w:gridCol w:w="376"/>
        <w:gridCol w:w="109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br/>
              <w:t>Range</w:t>
              <w:br/>
              <w:t>(Weighted Average)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growth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 growth rate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Lack of marketability discount</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Guideline Public Company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4.3x to 5.3x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3.5x to 5.8x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carrying amount and estimated fair value of the Company's financial instruments at the periods indicated:</w:t>
      </w:r>
    </w:p>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564,626 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564,626 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PPPLF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income tax expense was $1.5 million and $1.2 million, respectively, resulting in an effective income tax rate of 23.7% and 25.1%, respectively. For the nine months ended September 30, 2025 and 2024, income tax expense was $4.1 million and $3.3 million, respectively, resulting in an effective income tax rate of 25.2% and 25.2%, respectively. The effective tax rate differs from the statutory rate of 21.0%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 xml:space="preserve">three and nine months ended September 30, 2025 due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rimarily to state income tax expense and higher estimated disallowed compensation estimates</w:t>
      </w:r>
      <w:r>
        <w:rPr>
          <w:rFonts w:ascii="Times New Roman;serif" w:hAnsi="Times New Roman;serif"/>
          <w:b w:val="false"/>
          <w:color w:val="000000"/>
          <w:sz w:val="22"/>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President Trump signed into law the legislation formally titled “An Act to Provide for Reconciliation Pursuant to Title II of H. Con. Res. 14” and commonly referred to as the One Big Beautiful Bill (“the Act”). The Company is currently evaluating income tax implications of the Act; however, the Company does not expect the Act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Derivatives and Hedging Activities</w:t>
      </w: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Management Objective of Using Derivatives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Company estimates that an additional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will be reclassified as an increase to interest expense.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Derivative Instruments on the Consolidated Balance Sheets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notional amount, location, and fair value of the Company’s derivative financial instruments on the Consolidated Balance Sheets as of </w:t>
      </w:r>
      <w:r>
        <w:rPr>
          <w:rFonts w:ascii="Times New Roman;serif" w:hAnsi="Times New Roman;serif"/>
          <w:b w:val="false"/>
          <w:color w:val="000000"/>
          <w:sz w:val="20"/>
        </w:rPr>
        <w:t>September 30, 2025 and December 31, 2024</w:t>
      </w:r>
      <w:r>
        <w:rPr>
          <w:rFonts w:ascii="Times New Roman;serif" w:hAnsi="Times New Roman;serif"/>
          <w:b w:val="false"/>
          <w:color w:val="000000"/>
          <w:sz w:val="20"/>
          <w:shd w:fill="FFFFFF" w:val="clear"/>
        </w:rPr>
        <w:t>:</w:t>
      </w:r>
    </w:p>
    <w:tbl>
      <w:tblPr>
        <w:tblW w:w="9458" w:type="dxa"/>
        <w:jc w:val="left"/>
        <w:tblInd w:w="0" w:type="dxa"/>
        <w:tblLayout w:type="fixed"/>
        <w:tblCellMar>
          <w:top w:w="28" w:type="dxa"/>
          <w:left w:w="28" w:type="dxa"/>
          <w:bottom w:w="28" w:type="dxa"/>
          <w:right w:w="28" w:type="dxa"/>
        </w:tblCellMar>
      </w:tblPr>
      <w:tblGrid>
        <w:gridCol w:w="1478"/>
        <w:gridCol w:w="1299"/>
        <w:gridCol w:w="1303"/>
        <w:gridCol w:w="316"/>
        <w:gridCol w:w="1081"/>
        <w:gridCol w:w="163"/>
        <w:gridCol w:w="109"/>
        <w:gridCol w:w="109"/>
        <w:gridCol w:w="109"/>
        <w:gridCol w:w="699"/>
        <w:gridCol w:w="699"/>
        <w:gridCol w:w="701"/>
        <w:gridCol w:w="109"/>
        <w:gridCol w:w="109"/>
        <w:gridCol w:w="109"/>
        <w:gridCol w:w="309"/>
        <w:gridCol w:w="530"/>
        <w:gridCol w:w="226"/>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7" w:type="dxa"/>
        <w:jc w:val="left"/>
        <w:tblInd w:w="0" w:type="dxa"/>
        <w:tblLayout w:type="fixed"/>
        <w:tblCellMar>
          <w:top w:w="28" w:type="dxa"/>
          <w:left w:w="28" w:type="dxa"/>
          <w:bottom w:w="28" w:type="dxa"/>
          <w:right w:w="28" w:type="dxa"/>
        </w:tblCellMar>
      </w:tblPr>
      <w:tblGrid>
        <w:gridCol w:w="1479"/>
        <w:gridCol w:w="1298"/>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Accumulated Other Comprehensive Income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pre-tax effect of cash flow hedge accounting on accumulated other comprehensive income for the three and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(in thousands)</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80"/>
        <w:gridCol w:w="684"/>
        <w:gridCol w:w="688"/>
        <w:gridCol w:w="109"/>
        <w:gridCol w:w="109"/>
        <w:gridCol w:w="109"/>
        <w:gridCol w:w="688"/>
        <w:gridCol w:w="975"/>
        <w:gridCol w:w="289"/>
        <w:gridCol w:w="137"/>
        <w:gridCol w:w="137"/>
        <w:gridCol w:w="137"/>
        <w:gridCol w:w="137"/>
        <w:gridCol w:w="775"/>
        <w:gridCol w:w="775"/>
        <w:gridCol w:w="777"/>
        <w:gridCol w:w="137"/>
        <w:gridCol w:w="137"/>
        <w:gridCol w:w="137"/>
        <w:gridCol w:w="626"/>
        <w:gridCol w:w="1348"/>
        <w:gridCol w:w="353"/>
        <w:gridCol w:w="161"/>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Recognized from Accumulated OCI into Income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Reclassified from Accumulated OCI into Income</w:t>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7"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4"/>
        <w:gridCol w:w="688"/>
        <w:gridCol w:w="691"/>
        <w:gridCol w:w="109"/>
        <w:gridCol w:w="109"/>
        <w:gridCol w:w="109"/>
        <w:gridCol w:w="536"/>
        <w:gridCol w:w="1182"/>
        <w:gridCol w:w="246"/>
        <w:gridCol w:w="130"/>
        <w:gridCol w:w="130"/>
        <w:gridCol w:w="130"/>
        <w:gridCol w:w="130"/>
        <w:gridCol w:w="779"/>
        <w:gridCol w:w="779"/>
        <w:gridCol w:w="782"/>
        <w:gridCol w:w="130"/>
        <w:gridCol w:w="130"/>
        <w:gridCol w:w="130"/>
        <w:gridCol w:w="630"/>
        <w:gridCol w:w="1356"/>
        <w:gridCol w:w="355"/>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2341"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Recognized from Accumulated OCI into Income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Reclassified from Accumulated OCI into Income</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0" w:type="dxa"/>
            <w:tcBorders/>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pPr>
      <w:r>
        <w:rPr>
          <w:rFonts w:ascii="Times New Roman;serif" w:hAnsi="Times New Roman;serif"/>
          <w:b/>
          <w:color w:val="000000"/>
          <w:sz w:val="20"/>
          <w:shd w:fill="FFFFFF" w:val="clear"/>
        </w:rPr>
        <w:t xml:space="preserve">Effect of Cash Flow Hedge Accounting on the Statement of Income for the Three and </w:t>
      </w:r>
      <w:r>
        <w:rPr>
          <w:rFonts w:ascii="Times New Roman;serif" w:hAnsi="Times New Roman;serif"/>
          <w:b/>
          <w:color w:val="000000"/>
          <w:sz w:val="20"/>
        </w:rPr>
        <w:t>Nine Months Ended September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effect of the Company’s derivative financial instruments on the Consolidated Statements of Income for the three and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(in thousands)</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435"/>
        <w:gridCol w:w="1194"/>
        <w:gridCol w:w="1199"/>
        <w:gridCol w:w="109"/>
        <w:gridCol w:w="109"/>
        <w:gridCol w:w="109"/>
        <w:gridCol w:w="880"/>
        <w:gridCol w:w="1552"/>
        <w:gridCol w:w="404"/>
        <w:gridCol w:w="109"/>
        <w:gridCol w:w="109"/>
        <w:gridCol w:w="109"/>
        <w:gridCol w:w="824"/>
        <w:gridCol w:w="1512"/>
        <w:gridCol w:w="551"/>
      </w:tblGrid>
      <w:tr>
        <w:trPr/>
        <w:tc>
          <w:tcPr>
            <w:tcW w:w="143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r>
      <w:tr>
        <w:trPr/>
        <w:tc>
          <w:tcPr>
            <w:tcW w:w="382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 of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consolidated statements of income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Offsetting Derivative Assets and Liabilities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tables below present a gross presentation, the effects of offsetting, and a net presentation of the Company’s derivatives as of </w:t>
      </w:r>
      <w:r>
        <w:rPr>
          <w:rFonts w:ascii="Times New Roman;serif" w:hAnsi="Times New Roman;serif"/>
          <w:b w:val="false"/>
          <w:color w:val="000000"/>
          <w:sz w:val="20"/>
        </w:rPr>
        <w:t>September 30, 2025 and December 31, 2024</w:t>
      </w:r>
      <w:r>
        <w:rPr>
          <w:rFonts w:ascii="Times New Roman;serif" w:hAnsi="Times New Roman;serif"/>
          <w:b w:val="false"/>
          <w:color w:val="000000"/>
          <w:sz w:val="20"/>
          <w:shd w:fill="FFFFFF" w:val="clear"/>
        </w:rPr>
        <w:t>. The net amounts of derivative assets and liabilities can be reconciled to the tabular disclosure of fair value. The tabular disclosure of fair value provides the location that derivative assets and liabilities are presented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479"/>
        <w:gridCol w:w="421"/>
        <w:gridCol w:w="423"/>
        <w:gridCol w:w="388"/>
        <w:gridCol w:w="656"/>
        <w:gridCol w:w="218"/>
        <w:gridCol w:w="109"/>
        <w:gridCol w:w="109"/>
        <w:gridCol w:w="109"/>
        <w:gridCol w:w="379"/>
        <w:gridCol w:w="785"/>
        <w:gridCol w:w="213"/>
        <w:gridCol w:w="109"/>
        <w:gridCol w:w="109"/>
        <w:gridCol w:w="109"/>
        <w:gridCol w:w="467"/>
        <w:gridCol w:w="789"/>
        <w:gridCol w:w="260"/>
        <w:gridCol w:w="118"/>
        <w:gridCol w:w="118"/>
        <w:gridCol w:w="118"/>
        <w:gridCol w:w="347"/>
        <w:gridCol w:w="683"/>
        <w:gridCol w:w="130"/>
        <w:gridCol w:w="118"/>
        <w:gridCol w:w="118"/>
        <w:gridCol w:w="118"/>
        <w:gridCol w:w="354"/>
        <w:gridCol w:w="515"/>
        <w:gridCol w:w="134"/>
        <w:gridCol w:w="118"/>
        <w:gridCol w:w="118"/>
        <w:gridCol w:w="118"/>
        <w:gridCol w:w="312"/>
        <w:gridCol w:w="358"/>
        <w:gridCol w:w="178"/>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Liabilities presented in the Statement of Financial Position</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Received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0"/>
        <w:gridCol w:w="404"/>
        <w:gridCol w:w="405"/>
        <w:gridCol w:w="335"/>
        <w:gridCol w:w="721"/>
        <w:gridCol w:w="188"/>
        <w:gridCol w:w="109"/>
        <w:gridCol w:w="109"/>
        <w:gridCol w:w="109"/>
        <w:gridCol w:w="388"/>
        <w:gridCol w:w="803"/>
        <w:gridCol w:w="217"/>
        <w:gridCol w:w="109"/>
        <w:gridCol w:w="109"/>
        <w:gridCol w:w="109"/>
        <w:gridCol w:w="410"/>
        <w:gridCol w:w="881"/>
        <w:gridCol w:w="230"/>
        <w:gridCol w:w="117"/>
        <w:gridCol w:w="117"/>
        <w:gridCol w:w="117"/>
        <w:gridCol w:w="340"/>
        <w:gridCol w:w="695"/>
        <w:gridCol w:w="131"/>
        <w:gridCol w:w="117"/>
        <w:gridCol w:w="117"/>
        <w:gridCol w:w="117"/>
        <w:gridCol w:w="347"/>
        <w:gridCol w:w="530"/>
        <w:gridCol w:w="136"/>
        <w:gridCol w:w="117"/>
        <w:gridCol w:w="117"/>
        <w:gridCol w:w="117"/>
        <w:gridCol w:w="233"/>
        <w:gridCol w:w="455"/>
        <w:gridCol w:w="18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Assets presented in the Statement of Financial Position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Received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Related Party Transactions</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may grant loans to certain executive officers and directors and the companies with which they are associated. The Company had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loans outstanding to related parties as of September 30, 2025 and December 31, 2024. Total deposits from certain executive officers and directors and the companies with which they are associated were $2.3 million and $2.1 million as of September 30, 2025 and December 31,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BFG is a small business loan broker, primarily under the SBA’s 7(a) loan program. As noted in Note 7 -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related party transactions with BFG for the three and nine months ended September 30, 2025 and 2024:</w:t>
      </w:r>
    </w:p>
    <w:tbl>
      <w:tblPr>
        <w:tblW w:w="8115"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7(a) loans sourced from BFG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fees paid to BFG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Distributions received from BFG</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two-class method is used in the calculation of basic and diluted earnings per share as the restricted stock awards are deemed to be participating securities. Under the two-class method, earnings available to common shareholders for the period are allocated between common shareholders and participating securities according to participation rights in undistributed earnings. The following table is a reconciliation of the components used to derive basic and diluted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per share for the three and nine months ended September 30, 2025 and 2024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60"/>
        <w:gridCol w:w="1580"/>
        <w:gridCol w:w="1589"/>
        <w:gridCol w:w="233"/>
        <w:gridCol w:w="681"/>
        <w:gridCol w:w="122"/>
        <w:gridCol w:w="109"/>
        <w:gridCol w:w="109"/>
        <w:gridCol w:w="109"/>
        <w:gridCol w:w="233"/>
        <w:gridCol w:w="681"/>
        <w:gridCol w:w="122"/>
        <w:gridCol w:w="109"/>
        <w:gridCol w:w="109"/>
        <w:gridCol w:w="109"/>
        <w:gridCol w:w="211"/>
        <w:gridCol w:w="721"/>
        <w:gridCol w:w="109"/>
        <w:gridCol w:w="109"/>
        <w:gridCol w:w="109"/>
        <w:gridCol w:w="109"/>
        <w:gridCol w:w="232"/>
        <w:gridCol w:w="678"/>
        <w:gridCol w:w="172"/>
      </w:tblGrid>
      <w:tr>
        <w:trPr/>
        <w:tc>
          <w:tcPr>
            <w:tcW w:w="18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Amounts allocated to participating common shareholders</w:t>
            </w:r>
            <w:r>
              <w:rPr>
                <w:rFonts w:ascii="Times New Roman;serif" w:hAnsi="Times New Roman;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shareholders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12,658,557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12,786,167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12,596,496</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458,391</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112,428</w:t>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13,530,003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13,167,315</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excluded from the calculation of diluted earnings per share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91,629</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earnings attributable to holders of unvested restricted stock issued to the Company’s directors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Accumulated Other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changes to accumulated other comprehensive income by component for the periods indicated (in thousands):</w:t>
      </w:r>
    </w:p>
    <w:tbl>
      <w:tblPr>
        <w:tblW w:w="10205" w:type="dxa"/>
        <w:jc w:val="left"/>
        <w:tblInd w:w="0" w:type="dxa"/>
        <w:tblLayout w:type="fixed"/>
        <w:tblCellMar>
          <w:top w:w="28" w:type="dxa"/>
          <w:left w:w="28" w:type="dxa"/>
          <w:bottom w:w="28" w:type="dxa"/>
          <w:right w:w="28" w:type="dxa"/>
        </w:tblCellMar>
      </w:tblPr>
      <w:tblGrid>
        <w:gridCol w:w="1607"/>
        <w:gridCol w:w="1282"/>
        <w:gridCol w:w="1255"/>
        <w:gridCol w:w="109"/>
        <w:gridCol w:w="109"/>
        <w:gridCol w:w="109"/>
        <w:gridCol w:w="595"/>
        <w:gridCol w:w="1314"/>
        <w:gridCol w:w="308"/>
        <w:gridCol w:w="109"/>
        <w:gridCol w:w="109"/>
        <w:gridCol w:w="109"/>
        <w:gridCol w:w="333"/>
        <w:gridCol w:w="834"/>
        <w:gridCol w:w="172"/>
        <w:gridCol w:w="109"/>
        <w:gridCol w:w="109"/>
        <w:gridCol w:w="109"/>
        <w:gridCol w:w="440"/>
        <w:gridCol w:w="754"/>
        <w:gridCol w:w="330"/>
      </w:tblGrid>
      <w:tr>
        <w:trPr/>
        <w:tc>
          <w:tcPr>
            <w:tcW w:w="160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0"/>
        <w:gridCol w:w="1335"/>
        <w:gridCol w:w="1342"/>
        <w:gridCol w:w="109"/>
        <w:gridCol w:w="109"/>
        <w:gridCol w:w="109"/>
        <w:gridCol w:w="586"/>
        <w:gridCol w:w="1294"/>
        <w:gridCol w:w="304"/>
        <w:gridCol w:w="109"/>
        <w:gridCol w:w="109"/>
        <w:gridCol w:w="109"/>
        <w:gridCol w:w="326"/>
        <w:gridCol w:w="813"/>
        <w:gridCol w:w="168"/>
        <w:gridCol w:w="109"/>
        <w:gridCol w:w="109"/>
        <w:gridCol w:w="109"/>
        <w:gridCol w:w="380"/>
        <w:gridCol w:w="842"/>
        <w:gridCol w:w="284"/>
      </w:tblGrid>
      <w:tr>
        <w:trPr/>
        <w:tc>
          <w:tcPr>
            <w:tcW w:w="155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6"/>
        <w:gridCol w:w="1721"/>
        <w:gridCol w:w="1722"/>
        <w:gridCol w:w="109"/>
        <w:gridCol w:w="109"/>
        <w:gridCol w:w="109"/>
        <w:gridCol w:w="665"/>
        <w:gridCol w:w="1469"/>
        <w:gridCol w:w="345"/>
        <w:gridCol w:w="109"/>
        <w:gridCol w:w="109"/>
        <w:gridCol w:w="109"/>
        <w:gridCol w:w="415"/>
        <w:gridCol w:w="919"/>
        <w:gridCol w:w="309"/>
      </w:tblGrid>
      <w:tr>
        <w:trPr/>
        <w:tc>
          <w:tcPr>
            <w:tcW w:w="198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2"/>
        <w:gridCol w:w="1721"/>
        <w:gridCol w:w="1726"/>
        <w:gridCol w:w="109"/>
        <w:gridCol w:w="109"/>
        <w:gridCol w:w="109"/>
        <w:gridCol w:w="665"/>
        <w:gridCol w:w="1469"/>
        <w:gridCol w:w="345"/>
        <w:gridCol w:w="109"/>
        <w:gridCol w:w="109"/>
        <w:gridCol w:w="109"/>
        <w:gridCol w:w="415"/>
        <w:gridCol w:w="919"/>
        <w:gridCol w:w="309"/>
      </w:tblGrid>
      <w:tr>
        <w:trPr/>
        <w:tc>
          <w:tcPr>
            <w:tcW w:w="198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the Company experienced significant growth in size and complexity, management reassessed its approach to analyzing revenues, financial performance, and business activities. To align with the internal financial reporting with the organizational structure and how the CODM manages the business, evaluates performance, and allocates resources, the Company completed a technology project to capture financial information by segment. The CODM currently reviews the revenues and financial results for three operating and reportable segments: traditional banking, banking as a service (“BaaS”), and treasury and administration. Considering management’s needs due to the increased volume and complexity of its business, management implemented new processes and utilized system capabilities to capture accounting information by cost centers. The cost centers are subsequently mapped to the established business segments and reports reflecting the new structure and processes were finalized and provided to the CODM during the third quarter of 2025. Due to the fact that financial data was not previously recorded by cost center, it is not practicable to present segment financial information for comparative prior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traditional banking segment provides loan and deposit products and services to consumers and businesses nationally and in and around the Salt Lake City, Utah MSA. The Company’s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applicable to our segments are consistent with those described in the notes to consolidated financial statements included in the 2024 Form 10-K. Intersegment interest and expense transactions are recorded at the Company’s cost; there is no intercompany profit or loss on intersegment transactions. The Company has implemented a transfer pricing process that credits or charges the traditional banking and BaaS segments with intrabank interest income or expense, with the treasury and administration segment as the offset for those entries.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for each of the Company’s reportable segments based on segment income or loss before other allocated operating expenses and net income. The CODM uses income or loss before other allocated operating expenses to allocate resources for each segment predominantly in the annual budget and forecasting process. The CODM considers budget-to-actual variances on a monthly basis using the income before other allocated operating expenses when making decisions about allocating capital and personnel to the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and its president.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tables provide segment information for the periods indicated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09"/>
        <w:gridCol w:w="506"/>
        <w:gridCol w:w="468"/>
        <w:gridCol w:w="109"/>
        <w:gridCol w:w="109"/>
        <w:gridCol w:w="109"/>
        <w:gridCol w:w="238"/>
        <w:gridCol w:w="932"/>
        <w:gridCol w:w="123"/>
        <w:gridCol w:w="109"/>
        <w:gridCol w:w="109"/>
        <w:gridCol w:w="109"/>
        <w:gridCol w:w="211"/>
        <w:gridCol w:w="826"/>
        <w:gridCol w:w="109"/>
        <w:gridCol w:w="109"/>
        <w:gridCol w:w="109"/>
        <w:gridCol w:w="109"/>
        <w:gridCol w:w="302"/>
        <w:gridCol w:w="1185"/>
        <w:gridCol w:w="156"/>
        <w:gridCol w:w="109"/>
        <w:gridCol w:w="109"/>
        <w:gridCol w:w="109"/>
        <w:gridCol w:w="334"/>
        <w:gridCol w:w="1001"/>
        <w:gridCol w:w="174"/>
        <w:gridCol w:w="109"/>
        <w:gridCol w:w="109"/>
        <w:gridCol w:w="109"/>
        <w:gridCol w:w="211"/>
        <w:gridCol w:w="826"/>
        <w:gridCol w:w="159"/>
      </w:tblGrid>
      <w:tr>
        <w:trPr/>
        <w:tc>
          <w:tcPr>
            <w:tcW w:w="8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and for the Three Months Ended September 30, 2025</w:t>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484,671 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6"/>
        <w:gridCol w:w="548"/>
        <w:gridCol w:w="513"/>
        <w:gridCol w:w="109"/>
        <w:gridCol w:w="109"/>
        <w:gridCol w:w="109"/>
        <w:gridCol w:w="259"/>
        <w:gridCol w:w="889"/>
        <w:gridCol w:w="134"/>
        <w:gridCol w:w="109"/>
        <w:gridCol w:w="109"/>
        <w:gridCol w:w="109"/>
        <w:gridCol w:w="211"/>
        <w:gridCol w:w="721"/>
        <w:gridCol w:w="109"/>
        <w:gridCol w:w="109"/>
        <w:gridCol w:w="109"/>
        <w:gridCol w:w="109"/>
        <w:gridCol w:w="341"/>
        <w:gridCol w:w="1170"/>
        <w:gridCol w:w="179"/>
        <w:gridCol w:w="109"/>
        <w:gridCol w:w="109"/>
        <w:gridCol w:w="109"/>
        <w:gridCol w:w="345"/>
        <w:gridCol w:w="1033"/>
        <w:gridCol w:w="180"/>
        <w:gridCol w:w="109"/>
        <w:gridCol w:w="109"/>
        <w:gridCol w:w="109"/>
        <w:gridCol w:w="211"/>
        <w:gridCol w:w="721"/>
        <w:gridCol w:w="160"/>
      </w:tblGrid>
      <w:tr>
        <w:trPr/>
        <w:tc>
          <w:tcPr>
            <w:tcW w:w="8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as a review and summary of significant factors affecting our financial condition and results of operations for the periods indicated and should be read together with our consolidated audited financial statements and related notes thereto included in the 2024 Form 10-K and our unaudited consolidated financial statements included in Part I, Item 1 of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2024 Form 10-K entitled “Risk Factors” and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primarily relate to the allowance for credit losses. See Note 1 - Summary of Significant Accounting Policies to the consolidated financial statements included in Part II, Item 8 in our 2024 Form 10-K for information on our accounting policy related to this critical accounting estimate.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nine months ended September 30, 2025 to the methods we used and judgments we made relating to critical accounting estimates from those disclosed in “Management’s Discussion and Analysis of Financial Condition and Results of Operations”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FinWise Bancorp is a Utah corporation and the parent company of FinWise Bank and FinWise Investment, LLC. Our assets consist primarily of our investment in the Bank and all of our material business activities are conducted through the Bank. </w:t>
      </w:r>
    </w:p>
    <w:p>
      <w:pPr>
        <w:pStyle w:val="TextBody"/>
        <w:bidi w:val="0"/>
        <w:spacing w:lineRule="auto" w:line="288" w:before="200" w:after="283"/>
        <w:jc w:val="left"/>
        <w:rPr/>
      </w:pPr>
      <w:r>
        <w:rPr>
          <w:rFonts w:ascii="Times New Roman;serif" w:hAnsi="Times New Roman;serif"/>
          <w:b w:val="false"/>
          <w:color w:val="000000"/>
          <w:sz w:val="20"/>
        </w:rPr>
        <w:t xml:space="preserve">We gather deposits in the Salt Lake City, Utah MSA through our one branch and nationwide from our Strategic Program service providers, SBA 7(a) borrowers, institutional deposit exchanges, brokered deposit arrangements and other deposit sources. </w:t>
      </w:r>
      <w:r>
        <w:rPr>
          <w:rFonts w:ascii="Times New Roman;serif" w:hAnsi="Times New Roman;serif"/>
          <w:b w:val="false"/>
          <w:color w:val="000000"/>
          <w:sz w:val="20"/>
          <w:shd w:fill="FFFFFF" w:val="clear"/>
        </w:rPr>
        <w:t>Attracting nationwide deposits from the general public, businesses and other financial institutions, and investing those deposits, together with borrowings and other sources of funds, is also critical to our banking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growth and our consistent ability to operate profitability since developing the third-party loan origination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condition and results of operations depend primarily on our ability to originate loans and leases directly, or by using our strategic relationships with third-party loan origination platforms, to earn interest and non-interest income. We focus on four main lending areas: (i) SBA 7(a) loans, (ii) Strategic Programs, (iii) residential and commercial real estate and (iv) commercial leasing. For a description and analysis of our loan categories, see “Financial Condition.”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 in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Historically, we managed our business on the basis of one operating and reportable segment. During the third quarter of 2025, we revised our reportable segments to reflect a change in the manner in which the business is managed. Based on </w:t>
      </w:r>
      <w:r>
        <w:rPr>
          <w:rFonts w:ascii="Times New Roman;serif" w:hAnsi="Times New Roman;serif"/>
          <w:b w:val="false"/>
          <w:color w:val="000000"/>
          <w:sz w:val="20"/>
        </w:rPr>
        <w:t>significant operational growth</w:t>
      </w:r>
      <w:r>
        <w:rPr>
          <w:color w:val="000000"/>
          <w:shd w:fill="FFFFFF" w:val="clear"/>
        </w:rPr>
        <w:t xml:space="preserve"> </w:t>
      </w:r>
      <w:r>
        <w:rPr>
          <w:rFonts w:ascii="Times New Roman;serif" w:hAnsi="Times New Roman;serif"/>
          <w:b w:val="false"/>
          <w:color w:val="000000"/>
          <w:sz w:val="20"/>
          <w:shd w:fill="FFFFFF" w:val="clear"/>
        </w:rPr>
        <w:t>and how our chief operating decision maker (“CODM”) reviews operating results and makes decisions about resource allocation, we now have three reportable segments: traditional banking, banking as a service (“BaaS”) and treasury and administration.</w:t>
      </w:r>
      <w:r>
        <w:rPr>
          <w:color w:val="000000"/>
        </w:rPr>
        <w:t xml:space="preserve"> </w:t>
      </w:r>
      <w:r>
        <w:rPr>
          <w:rFonts w:ascii="Times New Roman;serif" w:hAnsi="Times New Roman;serif"/>
          <w:b w:val="false"/>
          <w:color w:val="000000"/>
          <w:sz w:val="20"/>
        </w:rPr>
        <w:t>It is not practicable to provide prior period reportable segment results as segregating the data in a meaningful way would require unreasonable effort due to limitations in historical records.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and other items not specific to the traditional banking or BaaS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executive summary provides certain 2025 and 2024 consolidated financial highlights from the discussion and analysis that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For the three months ended September 30, 2025, originations increased to $1.8 billion from $1.4 billion when compared to the three months ended September 30, 2024. For the nine months ended September 30, 2025, originations increased to $4.5 billion from $3.7 billion when compared to the nine months ended September 30, 2024. New strategic programs and organic growth through certain established strategic programs contributed to the increase in loan originations.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interest margin (“NIM”) was 9.01% for the three months ended September 30, 2025, compared to 9.70% for the three months ended September 30, 2024. NIM was 8.37% for the nine months ended September 30, 2025, compared to 10.05% for the nine months ended September 30, 2024. NIM is impacted by income earned from interest-earning assets and interest costs incurred on interest-bearing liabilities.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generated $4.9 million and $3.5 million of net income for the three months ended September 30, 2025 and 2024, respectively, and $12.2 million and $9.9 million of net income for the nine months ended September 30, 2025 and 2024, respectively. Net income increased as we benefited from the past investment in expansion of our product offerings.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assets increased by $154.0 million to $899.9 million as of September 30, 2025 compared to December 31, 2024, principally in loans held-for-sale and loans held-for-investment. We believe our strong capital levels support our current and planned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principal components of net income for the periods indicated:</w:t>
      </w:r>
    </w:p>
    <w:tbl>
      <w:tblPr>
        <w:tblW w:w="10205" w:type="dxa"/>
        <w:jc w:val="left"/>
        <w:tblInd w:w="0" w:type="dxa"/>
        <w:tblLayout w:type="fixed"/>
        <w:tblCellMar>
          <w:top w:w="28" w:type="dxa"/>
          <w:left w:w="28" w:type="dxa"/>
          <w:bottom w:w="28" w:type="dxa"/>
          <w:right w:w="28" w:type="dxa"/>
        </w:tblCellMar>
      </w:tblPr>
      <w:tblGrid>
        <w:gridCol w:w="752"/>
        <w:gridCol w:w="626"/>
        <w:gridCol w:w="629"/>
        <w:gridCol w:w="211"/>
        <w:gridCol w:w="721"/>
        <w:gridCol w:w="109"/>
        <w:gridCol w:w="109"/>
        <w:gridCol w:w="109"/>
        <w:gridCol w:w="109"/>
        <w:gridCol w:w="211"/>
        <w:gridCol w:w="721"/>
        <w:gridCol w:w="109"/>
        <w:gridCol w:w="109"/>
        <w:gridCol w:w="109"/>
        <w:gridCol w:w="109"/>
        <w:gridCol w:w="307"/>
        <w:gridCol w:w="309"/>
        <w:gridCol w:w="551"/>
        <w:gridCol w:w="109"/>
        <w:gridCol w:w="109"/>
        <w:gridCol w:w="109"/>
        <w:gridCol w:w="211"/>
        <w:gridCol w:w="721"/>
        <w:gridCol w:w="109"/>
        <w:gridCol w:w="109"/>
        <w:gridCol w:w="109"/>
        <w:gridCol w:w="109"/>
        <w:gridCol w:w="211"/>
        <w:gridCol w:w="721"/>
        <w:gridCol w:w="109"/>
        <w:gridCol w:w="109"/>
        <w:gridCol w:w="109"/>
        <w:gridCol w:w="109"/>
        <w:gridCol w:w="307"/>
        <w:gridCol w:w="309"/>
        <w:gridCol w:w="616"/>
      </w:tblGrid>
      <w:tr>
        <w:trPr/>
        <w:tc>
          <w:tcPr>
            <w:tcW w:w="75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Interest Income and NIM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was the primary contributor to our earnings in 2025 and 2024.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increased for the three months ended September 30, 2025, compared to the same period in 2024 primarily due to an increase in the Bank’s credit enhanced balances in the held-for-investment portfolio of $40.7 million and increased average balances in the Strategic Program loans held-for-sale portfolio of $62.2 million and was offset in part by growth in the brokered CD portfolio used to fund the loan portfolio growth.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increased for the nine months ended September 30, 2025, compared to the same period in 2024 primarily due to an increase in average interest-earning assets of $183.4 million, partially offset by lower yields on interest-earning assets, and an increase in the average interest-bearing liabilities of $150.9 million mainly attributable to the increase in brokered deposits used to fund our loan growth.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NIM decreased to 9.01% for the three months ended September 30, 2025 from 9.70% for the three months ended September 30, 2024 and decreased to 8.37% for the nine months ended September 30, 2025 from 10.05% for the nine months ended September 30, 2024 primarily attributable to the Company’s strategy to reduce the average credit risk in the loan portfolio by increasing its investment in higher quality but lower yielding loans which was offset by the growth in the credit enhanced portfolio of $40.7 million.</w:t>
      </w:r>
    </w:p>
    <w:p>
      <w:pPr>
        <w:pStyle w:val="TextBody"/>
        <w:bidi w:val="0"/>
        <w:spacing w:lineRule="auto" w:line="288" w:before="200" w:after="283"/>
        <w:jc w:val="left"/>
        <w:rPr/>
      </w:pPr>
      <w:r>
        <w:rPr>
          <w:rFonts w:ascii="Times New Roman;serif" w:hAnsi="Times New Roman;serif"/>
          <w:b w:val="false"/>
          <w:i/>
          <w:color w:val="000000"/>
          <w:sz w:val="20"/>
        </w:rPr>
        <w:t>Average Balances and Yields</w:t>
      </w:r>
      <w:r>
        <w:rPr>
          <w:rFonts w:ascii="Times New Roman;serif" w:hAnsi="Times New Roman;serif"/>
          <w:b w:val="false"/>
          <w:color w:val="000000"/>
          <w:sz w:val="20"/>
        </w:rPr>
        <w:t>. The following tables present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33"/>
        <w:gridCol w:w="534"/>
        <w:gridCol w:w="494"/>
        <w:gridCol w:w="211"/>
        <w:gridCol w:w="826"/>
        <w:gridCol w:w="109"/>
        <w:gridCol w:w="109"/>
        <w:gridCol w:w="109"/>
        <w:gridCol w:w="109"/>
        <w:gridCol w:w="211"/>
        <w:gridCol w:w="721"/>
        <w:gridCol w:w="109"/>
        <w:gridCol w:w="109"/>
        <w:gridCol w:w="109"/>
        <w:gridCol w:w="109"/>
        <w:gridCol w:w="337"/>
        <w:gridCol w:w="339"/>
        <w:gridCol w:w="462"/>
        <w:gridCol w:w="109"/>
        <w:gridCol w:w="109"/>
        <w:gridCol w:w="109"/>
        <w:gridCol w:w="211"/>
        <w:gridCol w:w="826"/>
        <w:gridCol w:w="109"/>
        <w:gridCol w:w="109"/>
        <w:gridCol w:w="109"/>
        <w:gridCol w:w="109"/>
        <w:gridCol w:w="211"/>
        <w:gridCol w:w="721"/>
        <w:gridCol w:w="109"/>
        <w:gridCol w:w="109"/>
        <w:gridCol w:w="109"/>
        <w:gridCol w:w="109"/>
        <w:gridCol w:w="337"/>
        <w:gridCol w:w="339"/>
        <w:gridCol w:w="421"/>
      </w:tblGrid>
      <w:tr>
        <w:trPr/>
        <w:tc>
          <w:tcPr>
            <w:tcW w:w="9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w:t>
              <w:br/>
              <w:t>Yield/Cost</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Loans held-for-investment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income and interest rate spread</w:t>
            </w:r>
            <w:r>
              <w:rPr>
                <w:rFonts w:ascii="Times New Roman;serif" w:hAnsi="Times New Roman;serif"/>
                <w:b w:val="false"/>
                <w:color w:val="000000"/>
                <w:sz w:val="13"/>
              </w:rPr>
              <w:t>2</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margin</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156.47</w:t>
            </w:r>
          </w:p>
        </w:tc>
        <w:tc>
          <w:tcPr>
            <w:tcW w:w="4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13"/>
        <w:gridCol w:w="514"/>
        <w:gridCol w:w="473"/>
        <w:gridCol w:w="213"/>
        <w:gridCol w:w="836"/>
        <w:gridCol w:w="110"/>
        <w:gridCol w:w="109"/>
        <w:gridCol w:w="109"/>
        <w:gridCol w:w="109"/>
        <w:gridCol w:w="211"/>
        <w:gridCol w:w="721"/>
        <w:gridCol w:w="109"/>
        <w:gridCol w:w="109"/>
        <w:gridCol w:w="109"/>
        <w:gridCol w:w="109"/>
        <w:gridCol w:w="391"/>
        <w:gridCol w:w="288"/>
        <w:gridCol w:w="476"/>
        <w:gridCol w:w="109"/>
        <w:gridCol w:w="109"/>
        <w:gridCol w:w="109"/>
        <w:gridCol w:w="213"/>
        <w:gridCol w:w="836"/>
        <w:gridCol w:w="110"/>
        <w:gridCol w:w="109"/>
        <w:gridCol w:w="109"/>
        <w:gridCol w:w="109"/>
        <w:gridCol w:w="211"/>
        <w:gridCol w:w="721"/>
        <w:gridCol w:w="109"/>
        <w:gridCol w:w="109"/>
        <w:gridCol w:w="109"/>
        <w:gridCol w:w="109"/>
        <w:gridCol w:w="367"/>
        <w:gridCol w:w="311"/>
        <w:gridCol w:w="437"/>
      </w:tblGrid>
      <w:tr>
        <w:trPr/>
        <w:tc>
          <w:tcPr>
            <w:tcW w:w="9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 Yield/Cost</w:t>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576,814 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381,912 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482,990 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interest rate spread</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4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173.69</w:t>
            </w:r>
          </w:p>
        </w:tc>
        <w:tc>
          <w:tcPr>
            <w:tcW w:w="4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Loans placed on nonaccrual status are included in loan balances. See “Nonperforming Assets” below.</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Net interest margin is net interest income, expressed as a percentage of average earning assets.</w:t>
      </w:r>
    </w:p>
    <w:p>
      <w:pPr>
        <w:pStyle w:val="TextBody"/>
        <w:bidi w:val="0"/>
        <w:spacing w:lineRule="auto" w:line="288" w:before="200" w:after="283"/>
        <w:jc w:val="left"/>
        <w:rPr/>
      </w:pPr>
      <w:r>
        <w:rPr>
          <w:rFonts w:ascii="Times New Roman;serif" w:hAnsi="Times New Roman;serif"/>
          <w:b w:val="false"/>
          <w:i/>
          <w:color w:val="000000"/>
          <w:sz w:val="20"/>
        </w:rPr>
        <w:t xml:space="preserve">Rate/Volume Analysis. </w:t>
      </w:r>
      <w:r>
        <w:rPr>
          <w:rFonts w:ascii="Times New Roman;serif" w:hAnsi="Times New Roman;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253"/>
        <w:gridCol w:w="875"/>
        <w:gridCol w:w="845"/>
        <w:gridCol w:w="211"/>
        <w:gridCol w:w="494"/>
        <w:gridCol w:w="109"/>
        <w:gridCol w:w="109"/>
        <w:gridCol w:w="109"/>
        <w:gridCol w:w="109"/>
        <w:gridCol w:w="211"/>
        <w:gridCol w:w="616"/>
        <w:gridCol w:w="109"/>
        <w:gridCol w:w="109"/>
        <w:gridCol w:w="109"/>
        <w:gridCol w:w="109"/>
        <w:gridCol w:w="211"/>
        <w:gridCol w:w="616"/>
        <w:gridCol w:w="109"/>
        <w:gridCol w:w="109"/>
        <w:gridCol w:w="109"/>
        <w:gridCol w:w="109"/>
        <w:gridCol w:w="211"/>
        <w:gridCol w:w="644"/>
        <w:gridCol w:w="109"/>
        <w:gridCol w:w="109"/>
        <w:gridCol w:w="109"/>
        <w:gridCol w:w="109"/>
        <w:gridCol w:w="211"/>
        <w:gridCol w:w="616"/>
        <w:gridCol w:w="109"/>
        <w:gridCol w:w="109"/>
        <w:gridCol w:w="109"/>
        <w:gridCol w:w="109"/>
        <w:gridCol w:w="211"/>
        <w:gridCol w:w="644"/>
        <w:gridCol w:w="156"/>
      </w:tblGrid>
      <w:tr>
        <w:trPr/>
        <w:tc>
          <w:tcPr>
            <w:tcW w:w="125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 xml:space="preserve">Change in: </w:t>
            </w:r>
          </w:p>
        </w:tc>
      </w:tr>
      <w:tr>
        <w:trPr/>
        <w:tc>
          <w:tcPr>
            <w:tcW w:w="2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with the Federal Reserve, non-U.S. central banks and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provision for credit losses for the three and nine months ended September 30, 2025, compared to the same periods in 2024, resulted primarily from growth of the credit enhanced loan portfolio as well as higher net charge-offs.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major categories of non-interest income for the periods indicated:</w:t>
      </w:r>
    </w:p>
    <w:tbl>
      <w:tblPr>
        <w:tblW w:w="8800" w:type="dxa"/>
        <w:jc w:val="left"/>
        <w:tblInd w:w="0" w:type="dxa"/>
        <w:tblLayout w:type="fixed"/>
        <w:tblCellMar>
          <w:top w:w="28" w:type="dxa"/>
          <w:left w:w="28" w:type="dxa"/>
          <w:bottom w:w="28" w:type="dxa"/>
          <w:right w:w="28" w:type="dxa"/>
        </w:tblCellMar>
      </w:tblPr>
      <w:tblGrid>
        <w:gridCol w:w="1303"/>
        <w:gridCol w:w="1146"/>
        <w:gridCol w:w="1150"/>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411"/>
        <w:gridCol w:w="415"/>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18,585.0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total non-interest income for the three months ended September 30, 2025, compared to the same period in 2024 was primarily due to higher credit enhanced loan balances. Credit enhancement income mirrors the provision for credit losses on credit enhanced loans and increased principally due to the higher credit enhanced loan balances outstanding at September 30, 2025. The higher Strategic Program fees resulted from increased originations. The gain on sale of loans increased as FinWise increased its sales of the guaranteed portion of SBA 7(a) loan balances to capitalize on favorable market conditions. Other miscellaneous income increased primarily from an increase in dividends received from BFG of $0.3 million as well as an increase in operating lease rental income of $0.3 million. Offsetting these non-interest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increases in part was a decrease in SBA loan servicing fees, net, due to an increase in the provision for SBA servicing losses due to a change in assumptions used in valuing the SBA servicing asset.</w:t>
      </w:r>
    </w:p>
    <w:p>
      <w:pPr>
        <w:pStyle w:val="TextBody"/>
        <w:bidi w:val="0"/>
        <w:spacing w:before="0" w:after="0"/>
        <w:jc w:val="left"/>
        <w:rPr/>
      </w:pPr>
      <w:r>
        <w:rPr/>
      </w:r>
    </w:p>
    <w:tbl>
      <w:tblPr>
        <w:tblW w:w="8905" w:type="dxa"/>
        <w:jc w:val="left"/>
        <w:tblInd w:w="0" w:type="dxa"/>
        <w:tblLayout w:type="fixed"/>
        <w:tblCellMar>
          <w:top w:w="28" w:type="dxa"/>
          <w:left w:w="28" w:type="dxa"/>
          <w:bottom w:w="28" w:type="dxa"/>
          <w:right w:w="28" w:type="dxa"/>
        </w:tblCellMar>
      </w:tblPr>
      <w:tblGrid>
        <w:gridCol w:w="1303"/>
        <w:gridCol w:w="1146"/>
        <w:gridCol w:w="11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411"/>
        <w:gridCol w:w="415"/>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12,839.8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income for the nine months ended September 30, 2025, compared to the same period in 2024 was primarily due to higher credit enhanced loan balances, which generated greater credit enhancement income. Additionally, the increased sales of the guaranteed portions of SBA 7(a) loans led to an increase in gains on loan sales, while higher originations resulted in increased Strategic Program fees. Other miscellaneous income also increased, largely because of an increase in operating lease rental income of $0.8 million and an increase in dividends received from BFG of $0.7 million. Offsetting these non-interest income increases in part was a decrease in SBA loan servicing fees, net, due to an increase in the provision for SBA servicing losses due to a change in assumptions used in valuing the SBA servicing asset.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major categories of non-interest expense for the periods indicated:</w:t>
      </w:r>
    </w:p>
    <w:tbl>
      <w:tblPr>
        <w:tblW w:w="8501" w:type="dxa"/>
        <w:jc w:val="left"/>
        <w:tblInd w:w="0" w:type="dxa"/>
        <w:tblLayout w:type="fixed"/>
        <w:tblCellMar>
          <w:top w:w="28" w:type="dxa"/>
          <w:left w:w="28" w:type="dxa"/>
          <w:bottom w:w="28" w:type="dxa"/>
          <w:right w:w="28" w:type="dxa"/>
        </w:tblCellMar>
      </w:tblPr>
      <w:tblGrid>
        <w:gridCol w:w="1195"/>
        <w:gridCol w:w="1049"/>
        <w:gridCol w:w="105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413"/>
        <w:gridCol w:w="413"/>
        <w:gridCol w:w="37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servicing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66,842.8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guarantee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66,111.7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expense for the three months ended September 30, 2025, compared to the same period in 2024, was primarily due to an increase in credit enhancement guarantee expense related to growth in credit enhanced loans, salaries and employee benefits mainly from the amortization of deferred compensation awards incurred to retain and motivate our employees, and increases in other operating expenses due to greater servicing costs linked to the balance sheet programs of $0.2 million, operating lease depreciation of $0.2 million, elevated FDIC assessments of $0.2 million reflecting our increased deposit balances, data processing services of $0.2 million and expenditures on computer software of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8501" w:type="dxa"/>
        <w:jc w:val="left"/>
        <w:tblInd w:w="0" w:type="dxa"/>
        <w:tblLayout w:type="fixed"/>
        <w:tblCellMar>
          <w:top w:w="28" w:type="dxa"/>
          <w:left w:w="28" w:type="dxa"/>
          <w:bottom w:w="28" w:type="dxa"/>
          <w:right w:w="28" w:type="dxa"/>
        </w:tblCellMar>
      </w:tblPr>
      <w:tblGrid>
        <w:gridCol w:w="1195"/>
        <w:gridCol w:w="1049"/>
        <w:gridCol w:w="105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413"/>
        <w:gridCol w:w="413"/>
        <w:gridCol w:w="37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servicing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70,099.6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guarantee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69,538.6</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expense for the nine months ended September 30, 2025, compared to the same period in 2024, was primarily due to an increase in salaries and employee benefits mainly from the amortization of deferred compensation awards incurred to retain and motivate our employees and credit enhancement guarantee expense related to growth in credit enhanced loans. The increases in other operating expenses were primarily due to expenditures on computer software of $1.3 million and operating lease depreciation of $0.6 million. Partially offsetting these non-interest expense increases was a decrease in professional services primarily resulting from a reduction in contract services of $1.2 million connected to the development of various programs that launched during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for the three and nine months ended September 30, 2025 and 2024 resulted in an effective income tax rate of 23.7%, 25.1%, 25.2% and 25.2%, respectively. The effective tax rate differed from the federal statutory rate of 21.0% for the three and nine months ended September 30, 2025 principally due to state taxes and an increase in permanent differences particularly due to non-deductible compensation under Section 162(m) of the Internal Revenue Code as well as changes in deferred tax assets and liabilities related to restricted stock, increased allowances for loan losses, accrued bonuses, and qualified tax leases.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net income for the three and nine months ended September 30, 2025, compared to the same periods in 2024, were primarily the result of the factors discussed in the foregoing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further described in Note 15, Segments, in Part I, Item 1 of this Report, during the third quarter of 2025, we implemented segment reporting following the completion of a technology initiative to capture segment-specific financial data and develop reports used by our chief operating decision maker (“CODM”) to review our financial performance and determine how to allocate resources. Our operations are comprised of three reportable segments: traditional banking, banking as a service and treasury and administration.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periods prior to July 1, 2025, our operations were managed and reported as a single segment, and historical financial data by segment was not maintained. Accordingly, it is not practicable to present segment information for prior periods. 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tables provide segment information for the periods indicated (dollars in thousands): </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09"/>
        <w:gridCol w:w="506"/>
        <w:gridCol w:w="468"/>
        <w:gridCol w:w="109"/>
        <w:gridCol w:w="109"/>
        <w:gridCol w:w="109"/>
        <w:gridCol w:w="238"/>
        <w:gridCol w:w="932"/>
        <w:gridCol w:w="123"/>
        <w:gridCol w:w="109"/>
        <w:gridCol w:w="109"/>
        <w:gridCol w:w="109"/>
        <w:gridCol w:w="211"/>
        <w:gridCol w:w="826"/>
        <w:gridCol w:w="109"/>
        <w:gridCol w:w="109"/>
        <w:gridCol w:w="109"/>
        <w:gridCol w:w="109"/>
        <w:gridCol w:w="302"/>
        <w:gridCol w:w="1185"/>
        <w:gridCol w:w="156"/>
        <w:gridCol w:w="109"/>
        <w:gridCol w:w="109"/>
        <w:gridCol w:w="109"/>
        <w:gridCol w:w="334"/>
        <w:gridCol w:w="1001"/>
        <w:gridCol w:w="174"/>
        <w:gridCol w:w="109"/>
        <w:gridCol w:w="109"/>
        <w:gridCol w:w="109"/>
        <w:gridCol w:w="211"/>
        <w:gridCol w:w="826"/>
        <w:gridCol w:w="159"/>
      </w:tblGrid>
      <w:tr>
        <w:trPr/>
        <w:tc>
          <w:tcPr>
            <w:tcW w:w="8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and for the Three Months Ended September 30, 2025</w:t>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484,671 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6"/>
        <w:gridCol w:w="548"/>
        <w:gridCol w:w="513"/>
        <w:gridCol w:w="109"/>
        <w:gridCol w:w="109"/>
        <w:gridCol w:w="109"/>
        <w:gridCol w:w="259"/>
        <w:gridCol w:w="889"/>
        <w:gridCol w:w="134"/>
        <w:gridCol w:w="109"/>
        <w:gridCol w:w="109"/>
        <w:gridCol w:w="109"/>
        <w:gridCol w:w="211"/>
        <w:gridCol w:w="721"/>
        <w:gridCol w:w="109"/>
        <w:gridCol w:w="109"/>
        <w:gridCol w:w="109"/>
        <w:gridCol w:w="109"/>
        <w:gridCol w:w="341"/>
        <w:gridCol w:w="1170"/>
        <w:gridCol w:w="179"/>
        <w:gridCol w:w="109"/>
        <w:gridCol w:w="109"/>
        <w:gridCol w:w="109"/>
        <w:gridCol w:w="345"/>
        <w:gridCol w:w="1033"/>
        <w:gridCol w:w="180"/>
        <w:gridCol w:w="109"/>
        <w:gridCol w:w="109"/>
        <w:gridCol w:w="109"/>
        <w:gridCol w:w="211"/>
        <w:gridCol w:w="721"/>
        <w:gridCol w:w="160"/>
      </w:tblGrid>
      <w:tr>
        <w:trPr/>
        <w:tc>
          <w:tcPr>
            <w:tcW w:w="8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BaaS segment’s strong performance for the three and nine months ended September 30, 2025 underscores the success of our Strategic Program initiatives, while traditional banking continues to provide a stable foundation. Treasury and administration remains focused on optimizing liquidity and supporting the funding needs of our other operating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Looking ahead, we expect continued growth in BaaS as we expand our fintech partnerships and product offerings. Traditional banking performance will be influenced by interest rate trends and treasury and administration will remain focused on optimizing liquidity and supporting business growth. We continue to monitor regulatory developments and market conditions that may impact segment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selected components of our consolidated balance sheets as of September 30, 2025 and December 31, 2024:</w:t>
      </w:r>
    </w:p>
    <w:tbl>
      <w:tblPr>
        <w:tblW w:w="10205" w:type="dxa"/>
        <w:jc w:val="left"/>
        <w:tblInd w:w="0" w:type="dxa"/>
        <w:tblLayout w:type="fixed"/>
        <w:tblCellMar>
          <w:top w:w="28" w:type="dxa"/>
          <w:left w:w="28" w:type="dxa"/>
          <w:bottom w:w="28" w:type="dxa"/>
          <w:right w:w="28" w:type="dxa"/>
        </w:tblCellMar>
      </w:tblPr>
      <w:tblGrid>
        <w:gridCol w:w="1612"/>
        <w:gridCol w:w="1307"/>
        <w:gridCol w:w="1300"/>
        <w:gridCol w:w="277"/>
        <w:gridCol w:w="947"/>
        <w:gridCol w:w="355"/>
        <w:gridCol w:w="109"/>
        <w:gridCol w:w="109"/>
        <w:gridCol w:w="109"/>
        <w:gridCol w:w="271"/>
        <w:gridCol w:w="929"/>
        <w:gridCol w:w="349"/>
        <w:gridCol w:w="109"/>
        <w:gridCol w:w="109"/>
        <w:gridCol w:w="109"/>
        <w:gridCol w:w="211"/>
        <w:gridCol w:w="671"/>
        <w:gridCol w:w="109"/>
        <w:gridCol w:w="109"/>
        <w:gridCol w:w="109"/>
        <w:gridCol w:w="109"/>
        <w:gridCol w:w="281"/>
        <w:gridCol w:w="284"/>
        <w:gridCol w:w="321"/>
      </w:tblGrid>
      <w:tr>
        <w:trPr/>
        <w:tc>
          <w:tcPr>
            <w:tcW w:w="161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banks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95,265 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99,562 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 at lower of cost or fair value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533,549 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899,929 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745,976 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682,310 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712,164 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572,256 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187,765 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173,720 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to total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Interest-Bearing Deposits in Other Banks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interest-bearing deposits in other banks from December 31, 2024 to September 30, 2025, was primarily due to normal operating activities. Aside from minimal balances held with our correspondent banks, the majority of our interest-bearing deposits are held at the Federal Reserve.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classify investment securities as either held-to-maturity or available-for-sale based on our intentions and our ability to hold such securities until maturity. In determining such classifications, securities that we have the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yields of our investment securities at September 30, 2025. The weighted average yield of investment securities was calculated using the sum of all interest that the investments generate, divided by the average book value. There are no tax-exempt securities.</w:t>
      </w:r>
    </w:p>
    <w:tbl>
      <w:tblPr>
        <w:tblW w:w="10205" w:type="dxa"/>
        <w:jc w:val="left"/>
        <w:tblInd w:w="0" w:type="dxa"/>
        <w:tblLayout w:type="fixed"/>
        <w:tblCellMar>
          <w:top w:w="28" w:type="dxa"/>
          <w:left w:w="28" w:type="dxa"/>
          <w:bottom w:w="28" w:type="dxa"/>
          <w:right w:w="28" w:type="dxa"/>
        </w:tblCellMar>
      </w:tblPr>
      <w:tblGrid>
        <w:gridCol w:w="1156"/>
        <w:gridCol w:w="1007"/>
        <w:gridCol w:w="1010"/>
        <w:gridCol w:w="297"/>
        <w:gridCol w:w="293"/>
        <w:gridCol w:w="721"/>
        <w:gridCol w:w="109"/>
        <w:gridCol w:w="109"/>
        <w:gridCol w:w="109"/>
        <w:gridCol w:w="255"/>
        <w:gridCol w:w="256"/>
        <w:gridCol w:w="550"/>
        <w:gridCol w:w="109"/>
        <w:gridCol w:w="109"/>
        <w:gridCol w:w="109"/>
        <w:gridCol w:w="308"/>
        <w:gridCol w:w="243"/>
        <w:gridCol w:w="606"/>
        <w:gridCol w:w="109"/>
        <w:gridCol w:w="109"/>
        <w:gridCol w:w="109"/>
        <w:gridCol w:w="295"/>
        <w:gridCol w:w="291"/>
        <w:gridCol w:w="726"/>
        <w:gridCol w:w="109"/>
        <w:gridCol w:w="109"/>
        <w:gridCol w:w="109"/>
        <w:gridCol w:w="255"/>
        <w:gridCol w:w="256"/>
        <w:gridCol w:w="372"/>
      </w:tblGrid>
      <w:tr>
        <w:trPr/>
        <w:tc>
          <w:tcPr>
            <w:tcW w:w="1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U.S. Treasuries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Mortgage-backed securities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Collateralized mortgage obligations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sales or transfers of investment securities between classifications during the nine months ended September 30, 2025 and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a total of sixteen securities in an unrealized loss position, consisting of seven collateralized mortgage obligations and nine mortgage-backed securities. At December 31, 2024, we had a total of twenty-two securities in an unrealized loss position, consisting of four U.S. Treasuries, eight collateralized mortgage obligations and ten mortgage-backed securities.</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Strategic Program Loans Held-for-Sale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through our Strategic Program service providers, offer unsecured and secured consumer and business loans to borrowers within certain approved credit profiles nationwide. Loans originated through these programs are limited to predetermined Bank underwriting criteria, which has been approved by our board of directors. We generally retain the loans and/or receivables for a number of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loans held-for-sale increased $65.1 million as of September 30, 2025 compared to December 31, 2024, primarily as a result of greater hold periods for new originations for certain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Loans Held-for-Investment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loan portfolio held-for-investment by loan program as of the dates indicated:</w:t>
      </w:r>
    </w:p>
    <w:tbl>
      <w:tblPr>
        <w:tblW w:w="9993" w:type="dxa"/>
        <w:jc w:val="left"/>
        <w:tblInd w:w="0" w:type="dxa"/>
        <w:tblLayout w:type="fixed"/>
        <w:tblCellMar>
          <w:top w:w="28" w:type="dxa"/>
          <w:left w:w="28" w:type="dxa"/>
          <w:bottom w:w="28" w:type="dxa"/>
          <w:right w:w="28" w:type="dxa"/>
        </w:tblCellMar>
      </w:tblPr>
      <w:tblGrid>
        <w:gridCol w:w="1614"/>
        <w:gridCol w:w="1418"/>
        <w:gridCol w:w="1423"/>
        <w:gridCol w:w="240"/>
        <w:gridCol w:w="941"/>
        <w:gridCol w:w="124"/>
        <w:gridCol w:w="124"/>
        <w:gridCol w:w="124"/>
        <w:gridCol w:w="124"/>
        <w:gridCol w:w="285"/>
        <w:gridCol w:w="286"/>
        <w:gridCol w:w="351"/>
        <w:gridCol w:w="109"/>
        <w:gridCol w:w="109"/>
        <w:gridCol w:w="109"/>
        <w:gridCol w:w="235"/>
        <w:gridCol w:w="920"/>
        <w:gridCol w:w="121"/>
        <w:gridCol w:w="121"/>
        <w:gridCol w:w="121"/>
        <w:gridCol w:w="121"/>
        <w:gridCol w:w="285"/>
        <w:gridCol w:w="286"/>
        <w:gridCol w:w="402"/>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567,802 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SBA loans as of September 30, 2025 and December 31, 2024 include $132.2 million and $158.7 million, respectively, of SBA 7(a) loan balances that are guaranteed by the 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our loan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originate and service loans partially guaranteed by the SBA under its Section 7(a) loan program for small businesses and professionals throughout the United States.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had total SBA 7(a) loans of $240.1 million and $255.1 million, respectively, representing 42.3% and 54.8% of our total loans held-for-investment, respectively. Loans are sourced primarily through our referral relationship with BFG. Although BFG actively markets throughout the United States, we have developed a lending presence in the New York and New Jersey geographies due to its physical location in New York.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guaranteed held-for-investment loan growth and an increased recurring stream of interest income and partially offset the decline in gain-on-sale revenue. During the third quarter of 2024 and considering the wider spreads on sale of SBA loans available, FinWise resumed selling limited amounts of SBA loans.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total commercial leases of $90.4 million and $70.2 million, respectively, representing 15.9% and 15.1% of our total loans held-for-investment, respectively.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underwriting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non-real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 loans consist of loans and leases made to commercial enterprises that are not secured by real estate. As of September 30, 2025 and December 31, 2024, we had total commercial non-real estate loans of $4.8 million and $3.7 million, respectively, representing 0.9% and 0.8%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are included in this product loan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Residential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September 30, 2025 and December 31, 2024, we had total residential real estate loans of $60.5 million and $51.6 million, respectively, representing 10.7% and 11.1%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the general market conditions associated with the area and type of project being funded in addition to the borrower’s financial condition and ability to meet the required debt obligation. These loans are generally secured by mortgages for residential property located primarily in the Salt Lake City, Utah MSA, and we obtain guarantees from responsible parties. Historically, we have retained these loans on our consolidated balance sheets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 our Strategic Program service providers, we issue unsecured and secured consumer and business loans to borrowers within certain approved credit profiles nationwide. Although we have generally sold most of these loans, we may choose to hold more of the funded loans and/or receivables based on a number of factors including the amount of our available capital. As of September 30, 2025 and December 31, 2024, we had total Strategic Program loans held-for-investment of $63.0 million and $20.1 million, respectively, representing 11.1% and 4.3% of our total loans held-for-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investment, respectively. Credit enhanced loans, where the Strategic Program sponsoring fintech company retains the credit risk, totaled $41.4 million as of September 30, 2025 and $0.9 million as of December 31, 2024. Loans originated through the Strategic Program are limited to predetermined Bank underwriting criteria, which has been approved by our board of directors. The primary form of repayment on these loans is from the borrower’s personal or business cash flow. Secured loans are secured by liens on consumer or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September 30, 2025 and December 31, 2024, we had total commercial real estate loans of $84.7 million and $42.4 million, respectively, representing 14.9% and 9.1% of our total loans held-for-investment, respectively. Of these amounts, $83.3 million and $41.0 million represented owner occupied properties as of September 30, 2025 and December 31, 2024,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Consumer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Consumer lending provides financing for personal, family, or household purposes on a nationwide basis. Most of these loans are originated through our loan origination system platform and come from a variety of sources, including other approved merchant or dealer relationships and lending platforms. As of September 30, 2025 and December 31, 2024, we had total consumer loans of $24.3 million and $22.2 million, respectively, representing 4.3% and 4.8% of our total loans held-for-investment, respectively. We use a debt-to-income (“DTI”) ratio test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these loans are underwritten as if they were unsecured. On larger loans, we may file a Uniform Commercial Code (“UCC”)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Loan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contractual maturity ranges of loans in our loan portfolio and the amount of such loans with fixed and variable rates in each maturity range as of September 30, 2025:</w:t>
      </w:r>
    </w:p>
    <w:tbl>
      <w:tblPr>
        <w:tblW w:w="10205" w:type="dxa"/>
        <w:jc w:val="left"/>
        <w:tblInd w:w="0" w:type="dxa"/>
        <w:tblLayout w:type="fixed"/>
        <w:tblCellMar>
          <w:top w:w="28" w:type="dxa"/>
          <w:left w:w="28" w:type="dxa"/>
          <w:bottom w:w="28" w:type="dxa"/>
          <w:right w:w="28" w:type="dxa"/>
        </w:tblCellMar>
      </w:tblPr>
      <w:tblGrid>
        <w:gridCol w:w="650"/>
        <w:gridCol w:w="451"/>
        <w:gridCol w:w="453"/>
        <w:gridCol w:w="211"/>
        <w:gridCol w:w="826"/>
        <w:gridCol w:w="109"/>
        <w:gridCol w:w="109"/>
        <w:gridCol w:w="109"/>
        <w:gridCol w:w="109"/>
        <w:gridCol w:w="338"/>
        <w:gridCol w:w="1324"/>
        <w:gridCol w:w="174"/>
        <w:gridCol w:w="109"/>
        <w:gridCol w:w="109"/>
        <w:gridCol w:w="109"/>
        <w:gridCol w:w="355"/>
        <w:gridCol w:w="1391"/>
        <w:gridCol w:w="183"/>
        <w:gridCol w:w="109"/>
        <w:gridCol w:w="109"/>
        <w:gridCol w:w="109"/>
        <w:gridCol w:w="250"/>
        <w:gridCol w:w="856"/>
        <w:gridCol w:w="129"/>
        <w:gridCol w:w="109"/>
        <w:gridCol w:w="109"/>
        <w:gridCol w:w="109"/>
        <w:gridCol w:w="211"/>
        <w:gridCol w:w="826"/>
        <w:gridCol w:w="160"/>
      </w:tblGrid>
      <w:tr>
        <w:trPr/>
        <w:tc>
          <w:tcPr>
            <w:tcW w:w="6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5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 Held-for-Investment</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Fixed rate loans: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fixed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108,426 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Variable rate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variable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131,997 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214,526 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140,305 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50,288 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567,802 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Nonperforming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loan which we deem to be uncollectible, in whole or in part, is charged off to the extent of the anticipated loss. In general, commercial loans that are past due for 90 days or more are charged off unless the loan is both well secured and in the process of collection. Consumer loans and credit card balances are charged off at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had a total of $42.8 million in nonperforming assets, which included $0.5 million in material loan modifications at September 30, 2025. The amount of nonperforming assets as of September 30, 2025 includes $23.3 million of SBA 7(a) loan balances that are guaranteed by the SBA. We had $36.5 million in nonperforming assets which included $0.8 million in material loan modifications at December 31, 2024. The amount of nonperforming assets as of December 31, 2024 includes $19.2 million of SBA 7(a) loan balances that are guaranteed by the SBA. The increase in nonperforming assets from year-end was primarily attributable to an increase in the SBA 7(a) loan portfolio being classified as nonaccrual mainly due to the negative impact of sustained elevated interest rates on the Company’s small business borrowers. Due to elevated interest rates, the slowdown of consumer spending and the variable rate nature of our SBA portfolio, the risk of default has become and continues to be elevated and may result in additional delinquencies in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service providers also provide for loan modifications to borrowers. The service providers are authorized to make the loan modifications consistent with modification program terms previously approved by FinWise but without prior FinWise consent on the specific loans in order to react to immediately to borrower contact and optimize collections. As of September 30, 2025 the balance of outstanding loan modifications was approximately $0.3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 Profile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our underwriting policies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credit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to review all loans in our portfolio for accurate risk grading. Any required changes to the loan risk grading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held-for-investment due to their small balances and similar characteristics. As credit quality for Strategic Program loans have been highly correlated with delinquency levels, the Strategic Program loans are evaluated collectively for impairment.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Pass - A Pass asset is higher quality and does not fit any of the other categories described below. The likelihood of loss is believed to be remote.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Doubtful – A doubtful asset has an existing weakness or weaknesses that make collection or liquidation in full, on the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basis of currently existing facts and conditions, highly questionable and improbable.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288" w:before="200" w:after="283"/>
        <w:jc w:val="left"/>
        <w:rPr/>
      </w:pPr>
      <w:r>
        <w:rPr>
          <w:rFonts w:ascii="Times New Roman;serif" w:hAnsi="Times New Roman;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Credit quality for Strategic Program loans has been highly correlated with delinquency levels.</w:t>
      </w:r>
    </w:p>
    <w:p>
      <w:pPr>
        <w:pStyle w:val="TextBody"/>
        <w:bidi w:val="0"/>
        <w:spacing w:lineRule="auto" w:line="288" w:before="200" w:after="283"/>
        <w:jc w:val="left"/>
        <w:rPr/>
      </w:pPr>
      <w:r>
        <w:rPr>
          <w:rFonts w:ascii="Times New Roman;serif" w:hAnsi="Times New Roman;serif"/>
          <w:b w:val="false"/>
          <w:color w:val="000000"/>
          <w:sz w:val="20"/>
        </w:rPr>
        <w:t xml:space="preserve">See Note 3 - </w:t>
      </w:r>
      <w:r>
        <w:rPr>
          <w:rFonts w:ascii="Times New Roman;serif" w:hAnsi="Times New Roman;serif"/>
          <w:b w:val="false"/>
          <w:color w:val="000000"/>
          <w:sz w:val="20"/>
          <w:shd w:fill="FFFFFF" w:val="clear"/>
        </w:rPr>
        <w:t>Loans</w:t>
      </w:r>
      <w:r>
        <w:rPr>
          <w:color w:val="000000"/>
        </w:rPr>
        <w:t xml:space="preserve"> </w:t>
      </w:r>
      <w:r>
        <w:rPr>
          <w:rFonts w:ascii="Times New Roman;serif" w:hAnsi="Times New Roman;serif"/>
          <w:b w:val="false"/>
          <w:color w:val="000000"/>
          <w:sz w:val="20"/>
        </w:rPr>
        <w:t>to the consolidated financial statements included in Part I, Item 1 for more information on the credit quality of our loans held-for-investment (“LHFI”) portfolio.</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changes in the ACL for the periods and dates indicated:</w:t>
      </w:r>
    </w:p>
    <w:tbl>
      <w:tblPr>
        <w:tblW w:w="10205" w:type="dxa"/>
        <w:jc w:val="left"/>
        <w:tblInd w:w="0" w:type="dxa"/>
        <w:tblLayout w:type="fixed"/>
        <w:tblCellMar>
          <w:top w:w="28" w:type="dxa"/>
          <w:left w:w="28" w:type="dxa"/>
          <w:bottom w:w="28" w:type="dxa"/>
          <w:right w:w="28" w:type="dxa"/>
        </w:tblCellMar>
      </w:tblPr>
      <w:tblGrid>
        <w:gridCol w:w="988"/>
        <w:gridCol w:w="821"/>
        <w:gridCol w:w="825"/>
        <w:gridCol w:w="339"/>
        <w:gridCol w:w="1161"/>
        <w:gridCol w:w="175"/>
        <w:gridCol w:w="109"/>
        <w:gridCol w:w="109"/>
        <w:gridCol w:w="109"/>
        <w:gridCol w:w="339"/>
        <w:gridCol w:w="1161"/>
        <w:gridCol w:w="175"/>
        <w:gridCol w:w="109"/>
        <w:gridCol w:w="109"/>
        <w:gridCol w:w="109"/>
        <w:gridCol w:w="322"/>
        <w:gridCol w:w="1105"/>
        <w:gridCol w:w="166"/>
        <w:gridCol w:w="109"/>
        <w:gridCol w:w="109"/>
        <w:gridCol w:w="109"/>
        <w:gridCol w:w="318"/>
        <w:gridCol w:w="1089"/>
        <w:gridCol w:w="240"/>
      </w:tblGrid>
      <w:tr>
        <w:trPr/>
        <w:tc>
          <w:tcPr>
            <w:tcW w:w="98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2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Charge-offs</w:t>
            </w:r>
          </w:p>
        </w:tc>
        <w:tc>
          <w:tcPr>
            <w:tcW w:w="1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Recoveries</w:t>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allocation of the ACL and the percentage of loans in each category to total loans as of September 30, 2025 and December 31, 2024. The ACL related to Strategic Programs constitutes 68.3% and 47.8% of the total ACL while comprising 11.1% and 4.3%, respectively, of total loans held-for-investment as of September 30, 2025 and December 31, 2024, respectively. The percentage of ACL related to Strategic Program loans retained reflects the increased credit risks associated with certain retained Strategic Program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91"/>
        <w:gridCol w:w="806"/>
        <w:gridCol w:w="779"/>
        <w:gridCol w:w="211"/>
        <w:gridCol w:w="721"/>
        <w:gridCol w:w="109"/>
        <w:gridCol w:w="109"/>
        <w:gridCol w:w="109"/>
        <w:gridCol w:w="109"/>
        <w:gridCol w:w="577"/>
        <w:gridCol w:w="478"/>
        <w:gridCol w:w="1199"/>
        <w:gridCol w:w="109"/>
        <w:gridCol w:w="109"/>
        <w:gridCol w:w="109"/>
        <w:gridCol w:w="211"/>
        <w:gridCol w:w="721"/>
        <w:gridCol w:w="109"/>
        <w:gridCol w:w="109"/>
        <w:gridCol w:w="109"/>
        <w:gridCol w:w="109"/>
        <w:gridCol w:w="555"/>
        <w:gridCol w:w="448"/>
        <w:gridCol w:w="1309"/>
      </w:tblGrid>
      <w:tr>
        <w:trPr/>
        <w:tc>
          <w:tcPr>
            <w:tcW w:w="99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September 30, 2025:</w:t>
      </w:r>
    </w:p>
    <w:tbl>
      <w:tblPr>
        <w:tblW w:w="8916" w:type="dxa"/>
        <w:jc w:val="left"/>
        <w:tblInd w:w="0" w:type="dxa"/>
        <w:tblLayout w:type="fixed"/>
        <w:tblCellMar>
          <w:top w:w="28" w:type="dxa"/>
          <w:left w:w="28" w:type="dxa"/>
          <w:bottom w:w="28" w:type="dxa"/>
          <w:right w:w="28" w:type="dxa"/>
        </w:tblCellMar>
      </w:tblPr>
      <w:tblGrid>
        <w:gridCol w:w="1120"/>
        <w:gridCol w:w="982"/>
        <w:gridCol w:w="987"/>
        <w:gridCol w:w="389"/>
        <w:gridCol w:w="389"/>
        <w:gridCol w:w="976"/>
        <w:gridCol w:w="109"/>
        <w:gridCol w:w="109"/>
        <w:gridCol w:w="109"/>
        <w:gridCol w:w="370"/>
        <w:gridCol w:w="370"/>
        <w:gridCol w:w="924"/>
        <w:gridCol w:w="109"/>
        <w:gridCol w:w="109"/>
        <w:gridCol w:w="109"/>
        <w:gridCol w:w="393"/>
        <w:gridCol w:w="347"/>
        <w:gridCol w:w="101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2811.8 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December 31, 2024:</w:t>
      </w:r>
    </w:p>
    <w:tbl>
      <w:tblPr>
        <w:tblW w:w="8872" w:type="dxa"/>
        <w:jc w:val="left"/>
        <w:tblInd w:w="0" w:type="dxa"/>
        <w:tblLayout w:type="fixed"/>
        <w:tblCellMar>
          <w:top w:w="28" w:type="dxa"/>
          <w:left w:w="28" w:type="dxa"/>
          <w:bottom w:w="28" w:type="dxa"/>
          <w:right w:w="28" w:type="dxa"/>
        </w:tblCellMar>
      </w:tblPr>
      <w:tblGrid>
        <w:gridCol w:w="1104"/>
        <w:gridCol w:w="968"/>
        <w:gridCol w:w="973"/>
        <w:gridCol w:w="389"/>
        <w:gridCol w:w="389"/>
        <w:gridCol w:w="976"/>
        <w:gridCol w:w="109"/>
        <w:gridCol w:w="109"/>
        <w:gridCol w:w="109"/>
        <w:gridCol w:w="370"/>
        <w:gridCol w:w="370"/>
        <w:gridCol w:w="924"/>
        <w:gridCol w:w="109"/>
        <w:gridCol w:w="109"/>
        <w:gridCol w:w="109"/>
        <w:gridCol w:w="357"/>
        <w:gridCol w:w="357"/>
        <w:gridCol w:w="1041"/>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 xml:space="preserve">Nonaccrual Loans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comparing September 30, 2025 to December 31, 2024, the increase in ACL to total loans held-for-investment was primarily due to the growth in the credit enhanced loans included in the Strategic Program loans held-for-investment. The decrease in nonaccrual loans to total loans held-for-investment as shown above was primarily due to the growth in the loans held-for-investment portfolio. The increase in the ACL to nonaccrual loans ratio as shown above primarily pertained to growth in the credit enhanced loans included in the Strategic Program loans held-for-investment offset in part by the increase in nonaccrual loans, concentrated in the SBA product.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net charge-offs (“NCO”), average loans and the ratio of annualized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669"/>
        <w:gridCol w:w="513"/>
        <w:gridCol w:w="476"/>
        <w:gridCol w:w="216"/>
        <w:gridCol w:w="633"/>
        <w:gridCol w:w="112"/>
        <w:gridCol w:w="112"/>
        <w:gridCol w:w="112"/>
        <w:gridCol w:w="112"/>
        <w:gridCol w:w="216"/>
        <w:gridCol w:w="849"/>
        <w:gridCol w:w="112"/>
        <w:gridCol w:w="112"/>
        <w:gridCol w:w="112"/>
        <w:gridCol w:w="112"/>
        <w:gridCol w:w="302"/>
        <w:gridCol w:w="275"/>
        <w:gridCol w:w="687"/>
        <w:gridCol w:w="109"/>
        <w:gridCol w:w="109"/>
        <w:gridCol w:w="109"/>
        <w:gridCol w:w="216"/>
        <w:gridCol w:w="633"/>
        <w:gridCol w:w="112"/>
        <w:gridCol w:w="112"/>
        <w:gridCol w:w="112"/>
        <w:gridCol w:w="112"/>
        <w:gridCol w:w="216"/>
        <w:gridCol w:w="849"/>
        <w:gridCol w:w="112"/>
        <w:gridCol w:w="112"/>
        <w:gridCol w:w="112"/>
        <w:gridCol w:w="112"/>
        <w:gridCol w:w="304"/>
        <w:gridCol w:w="260"/>
        <w:gridCol w:w="772"/>
      </w:tblGrid>
      <w:tr>
        <w:trPr/>
        <w:tc>
          <w:tcPr>
            <w:tcW w:w="66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16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550,534 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677"/>
        <w:gridCol w:w="522"/>
        <w:gridCol w:w="486"/>
        <w:gridCol w:w="215"/>
        <w:gridCol w:w="628"/>
        <w:gridCol w:w="111"/>
        <w:gridCol w:w="111"/>
        <w:gridCol w:w="111"/>
        <w:gridCol w:w="111"/>
        <w:gridCol w:w="215"/>
        <w:gridCol w:w="842"/>
        <w:gridCol w:w="111"/>
        <w:gridCol w:w="111"/>
        <w:gridCol w:w="111"/>
        <w:gridCol w:w="111"/>
        <w:gridCol w:w="304"/>
        <w:gridCol w:w="277"/>
        <w:gridCol w:w="692"/>
        <w:gridCol w:w="109"/>
        <w:gridCol w:w="109"/>
        <w:gridCol w:w="109"/>
        <w:gridCol w:w="215"/>
        <w:gridCol w:w="628"/>
        <w:gridCol w:w="111"/>
        <w:gridCol w:w="111"/>
        <w:gridCol w:w="111"/>
        <w:gridCol w:w="111"/>
        <w:gridCol w:w="215"/>
        <w:gridCol w:w="842"/>
        <w:gridCol w:w="111"/>
        <w:gridCol w:w="111"/>
        <w:gridCol w:w="111"/>
        <w:gridCol w:w="111"/>
        <w:gridCol w:w="306"/>
        <w:gridCol w:w="262"/>
        <w:gridCol w:w="776"/>
      </w:tblGrid>
      <w:tr>
        <w:trPr/>
        <w:tc>
          <w:tcPr>
            <w:tcW w:w="67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1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517,961 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401,725 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total ratio of annualized NCO to average loans outstanding remained consistent during the three months ended September 30, 2025, as compared to the three months ended September 30, 2024, primarily due to a higher growth rate in the quarterly average balances of Strategic Program loans related to the credit enhanced program when compared to the growth rate of net charge-offs in that program.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ratio of annualized NCO to average loans outstanding was lower during the nine months ended September 30, 2025, as compared to the same prior year period due to a higher growth rate in the quarterly average balances of the total loan portfolio when compared to the growth rate of net charge-offs.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assets at September 30, 2025 were $899.9 million, an increase of $154.0 million from December 31, 2024. The increase in total assets was primarily due to continued growth in our loans held-for-investment, net, and loans held-for-sale portfolios of $85.7 million and $65.1 million, respectively, and an increase in our credit enhancement asset of $11.1 million, partially offset by a decrease of $4.3 million in interest-bearing cash deposits.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Deposits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end of period balances of our deposit portfolio for the periods indicated:</w:t>
      </w:r>
    </w:p>
    <w:tbl>
      <w:tblPr>
        <w:tblW w:w="850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285"/>
        <w:gridCol w:w="286"/>
        <w:gridCol w:w="441"/>
        <w:gridCol w:w="109"/>
        <w:gridCol w:w="109"/>
        <w:gridCol w:w="109"/>
        <w:gridCol w:w="211"/>
        <w:gridCol w:w="826"/>
        <w:gridCol w:w="109"/>
        <w:gridCol w:w="109"/>
        <w:gridCol w:w="109"/>
        <w:gridCol w:w="109"/>
        <w:gridCol w:w="285"/>
        <w:gridCol w:w="286"/>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deposits as of September 30, 2025 compared to December 31, 2024 of $137.4 million was driven primarily by increases in brokered time deposits of $105.0 million, which were added to fund loan growth and increase balance sheet liquidity. Deposits are used to fund our lending programs.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estimated uninsured deposits were $182.0 million and $183.2 million as of September 30, 2025 and December 31, 2024, respectively. Estimated uninsured deposits at the Bank as of September 30, 2025 include $62.1 million of total deposits contractually required to be maintained at the Bank pursuant to our Strategic Program agreements and an additional $44.6 million of total deposits associated with accounts owned by the parent holding company or the Bank. The maturity profile of our uninsured time deposits, those amounts that exceed the FDIC insurance limit, at September 30, 2025 is as follows:</w:t>
      </w:r>
    </w:p>
    <w:tbl>
      <w:tblPr>
        <w:tblW w:w="8213" w:type="dxa"/>
        <w:jc w:val="left"/>
        <w:tblInd w:w="0" w:type="dxa"/>
        <w:tblLayout w:type="fixed"/>
        <w:tblCellMar>
          <w:top w:w="28" w:type="dxa"/>
          <w:left w:w="28" w:type="dxa"/>
          <w:bottom w:w="28" w:type="dxa"/>
          <w:right w:w="28" w:type="dxa"/>
        </w:tblCellMar>
      </w:tblPr>
      <w:tblGrid>
        <w:gridCol w:w="782"/>
        <w:gridCol w:w="687"/>
        <w:gridCol w:w="690"/>
        <w:gridCol w:w="228"/>
        <w:gridCol w:w="390"/>
        <w:gridCol w:w="118"/>
        <w:gridCol w:w="109"/>
        <w:gridCol w:w="109"/>
        <w:gridCol w:w="109"/>
        <w:gridCol w:w="286"/>
        <w:gridCol w:w="553"/>
        <w:gridCol w:w="150"/>
        <w:gridCol w:w="109"/>
        <w:gridCol w:w="109"/>
        <w:gridCol w:w="109"/>
        <w:gridCol w:w="282"/>
        <w:gridCol w:w="623"/>
        <w:gridCol w:w="145"/>
        <w:gridCol w:w="109"/>
        <w:gridCol w:w="109"/>
        <w:gridCol w:w="109"/>
        <w:gridCol w:w="223"/>
        <w:gridCol w:w="652"/>
        <w:gridCol w:w="115"/>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5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Six</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uninsured</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increased to $712.2 million, or 24.4%, as of September 30, 2025 from $572.3 million as of December 31, 2024 primarily due to an increase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Liquidity Management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primarily utilize short-term and long-term borrowings to supplement deposits to fund our lending and investment activities. At September 30, 2025, we had the ability to access $216.8 million from the Federal Reserve Bank on a collateralized basis. The Bank had an available unsecured line of credit with two correspondent banks to borrow up to </w:t>
      </w:r>
      <w:r>
        <w:rPr>
          <w:rFonts w:ascii="Times New Roman;serif" w:hAnsi="Times New Roman;serif"/>
          <w:b w:val="false"/>
          <w:color w:val="000000"/>
          <w:sz w:val="20"/>
        </w:rPr>
        <w:t>$6.1 million</w:t>
      </w:r>
      <w:r>
        <w:rPr>
          <w:color w:val="000000"/>
          <w:shd w:fill="FFFFFF" w:val="clear"/>
        </w:rPr>
        <w:t xml:space="preserve"> </w:t>
      </w:r>
      <w:r>
        <w:rPr>
          <w:rFonts w:ascii="Times New Roman;serif" w:hAnsi="Times New Roman;serif"/>
          <w:b w:val="false"/>
          <w:color w:val="000000"/>
          <w:sz w:val="20"/>
          <w:shd w:fill="FFFFFF" w:val="clear"/>
        </w:rPr>
        <w:t>in overnight funds. We also maintain a $18.5 million line of credit with Federal Home Loan Bank, secured by specific pledged loans. We had no outstanding balances on any unsecured or secured lines of credit as of September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most liquid assets are cash and cash equivalents. The levels of these assets depend on our operating, financing, lending and investing activities during any given period. At September 30, 2025, liquid assets (defined as cash and due from banks and interest-bearing deposits) totaled $105.6 million and constituted </w:t>
      </w:r>
      <w:r>
        <w:rPr>
          <w:rFonts w:ascii="Times New Roman;serif" w:hAnsi="Times New Roman;serif"/>
          <w:b w:val="false"/>
          <w:color w:val="000000"/>
          <w:sz w:val="20"/>
        </w:rPr>
        <w:t>11.7%</w:t>
      </w:r>
      <w:r>
        <w:rPr>
          <w:color w:val="000000"/>
          <w:shd w:fill="FFFFFF" w:val="clear"/>
        </w:rPr>
        <w:t xml:space="preserve"> </w:t>
      </w:r>
      <w:r>
        <w:rPr>
          <w:rFonts w:ascii="Times New Roman;serif" w:hAnsi="Times New Roman;serif"/>
          <w:b w:val="false"/>
          <w:color w:val="000000"/>
          <w:sz w:val="20"/>
          <w:shd w:fill="FFFFFF" w:val="clear"/>
        </w:rPr>
        <w:t xml:space="preserve">of total assets. </w:t>
      </w:r>
      <w:r>
        <w:rPr>
          <w:rFonts w:ascii="Times New Roman;serif" w:hAnsi="Times New Roman;serif"/>
          <w:b w:val="false"/>
          <w:color w:val="000000"/>
          <w:sz w:val="20"/>
        </w:rPr>
        <w:t>W</w:t>
      </w:r>
      <w:r>
        <w:rPr>
          <w:rFonts w:ascii="Times New Roman;serif" w:hAnsi="Times New Roman;serif"/>
          <w:b w:val="false"/>
          <w:color w:val="000000"/>
          <w:sz w:val="20"/>
          <w:shd w:fill="FFFFFF" w:val="clear"/>
        </w:rPr>
        <w:t>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Capital Resources</w:t>
      </w:r>
    </w:p>
    <w:p>
      <w:pPr>
        <w:pStyle w:val="TextBody"/>
        <w:bidi w:val="0"/>
        <w:spacing w:lineRule="auto" w:line="288" w:before="200" w:after="283"/>
        <w:jc w:val="left"/>
        <w:rPr/>
      </w:pPr>
      <w:r>
        <w:rPr>
          <w:rFonts w:ascii="Times New Roman;serif" w:hAnsi="Times New Roman;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w:t>
      </w:r>
      <w:r>
        <w:rPr>
          <w:rFonts w:ascii="Times New Roman;serif" w:hAnsi="Times New Roman;serif"/>
          <w:b w:val="false"/>
          <w:color w:val="000000"/>
          <w:sz w:val="20"/>
        </w:rPr>
        <w:t>t or credit exposure, investment activity, potential product and business expansions, acquisitions and strategic or infrastructure investments.</w:t>
      </w:r>
    </w:p>
    <w:p>
      <w:pPr>
        <w:pStyle w:val="TextBody"/>
        <w:bidi w:val="0"/>
        <w:spacing w:lineRule="auto" w:line="288" w:before="200" w:after="283"/>
        <w:jc w:val="left"/>
        <w:rPr/>
      </w:pPr>
      <w:r>
        <w:rPr>
          <w:rFonts w:ascii="Times New Roman;serif" w:hAnsi="Times New Roman;serif"/>
          <w:b w:val="false"/>
          <w:color w:val="000000"/>
          <w:sz w:val="20"/>
        </w:rPr>
        <w:t>Shareholders’ equity increased $14.0 million to $187.8 million at September 30, 2025 compared to $173.7 million at December 31, 2024, primar</w:t>
      </w:r>
      <w:r>
        <w:rPr>
          <w:rFonts w:ascii="Times New Roman;serif" w:hAnsi="Times New Roman;serif"/>
          <w:b w:val="false"/>
          <w:color w:val="000000"/>
          <w:sz w:val="20"/>
          <w:shd w:fill="FFFFFF" w:val="clear"/>
        </w:rPr>
        <w:t xml:space="preserve">ily due to earnings of </w:t>
      </w:r>
      <w:r>
        <w:rPr>
          <w:rFonts w:ascii="Times New Roman;serif" w:hAnsi="Times New Roman;serif"/>
          <w:b w:val="false"/>
          <w:color w:val="000000"/>
          <w:sz w:val="20"/>
        </w:rPr>
        <w:t>$12.2 million</w:t>
      </w:r>
      <w:r>
        <w:rPr>
          <w:color w:val="000000"/>
          <w:shd w:fill="FFFFFF" w:val="clear"/>
        </w:rPr>
        <w:t xml:space="preserve"> </w:t>
      </w:r>
      <w:r>
        <w:rPr>
          <w:rFonts w:ascii="Times New Roman;serif" w:hAnsi="Times New Roman;serif"/>
          <w:b w:val="false"/>
          <w:color w:val="000000"/>
          <w:sz w:val="20"/>
          <w:shd w:fill="FFFFFF" w:val="clear"/>
        </w:rPr>
        <w:t>reported for the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several indicators of capital strength. The most commonly used measure is total equity to total assets, which was 20.9% and 23.3% as of September 30, 2025 and December 31, 2024,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return on average equity was 10.6% and 8.3% for the three months ended September 30, 2025 and 2024, respectively, and 9.1% and 8.1% for the nine months ended September 30, 2025 and 2024, respectively. Our return on average assets was 2.2% and 2.1% for the three months ended September 30, 2025 and 2024, respectively, and 2.0% and 2.1% for the nine months ended September 30, 2025 and 2024,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the most recent notification from the FDIC categorized the Bank as well-capitalized under the regulatory framework for prompt corrective action (there are no conditions or events since that notification we believe have changed the Bank’s category). See Note 5 - Capital Requirements for additional information regarding our regulatory capital requirements.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Repurchase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stock repurchase program authorized by our Board of Directors. The stock repurchase program became effective as of March 6, 2024 and authorizes us to repurchase 641,832 shares of our common stock in the aggregate in open market transactions, privately negotiated transactions, or any manner that complies with the provisions of Rule 10b-18 of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During the three months ended September 30, 2025, there were no open-market share repurchases. Since the repurchase program’s inception, we have repurchased and subsequently retired a total of 44,608 shares for $0.5 million at an average price of $10.30 per share. See Note 1 - Summary of Significant Accounting Policies for more information. </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Contractual Obligations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September 30, 2025:</w:t>
      </w:r>
    </w:p>
    <w:tbl>
      <w:tblPr>
        <w:tblW w:w="9632"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Less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Than Five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Off-Balance-Sheet Financing Arrangements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Reconciliations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GAAP.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The Bank incurs expenses for the amounts owed to the strategic partner for the credit guarantee and for servicing of the credit enhanced portfolio, if applicable (credit enhancement program expenses). See the following reconciliations of non-GAAP measures for the impact of the credit enhancement on our financial condition and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total interest income on LHFI and average yield on LHFI:</w:t>
      </w:r>
    </w:p>
    <w:tbl>
      <w:tblPr>
        <w:tblW w:w="10205" w:type="dxa"/>
        <w:jc w:val="left"/>
        <w:tblInd w:w="0" w:type="dxa"/>
        <w:tblLayout w:type="fixed"/>
        <w:tblCellMar>
          <w:top w:w="28" w:type="dxa"/>
          <w:left w:w="28" w:type="dxa"/>
          <w:bottom w:w="28" w:type="dxa"/>
          <w:right w:w="28" w:type="dxa"/>
        </w:tblCellMar>
      </w:tblPr>
      <w:tblGrid>
        <w:gridCol w:w="654"/>
        <w:gridCol w:w="430"/>
        <w:gridCol w:w="431"/>
        <w:gridCol w:w="221"/>
        <w:gridCol w:w="869"/>
        <w:gridCol w:w="114"/>
        <w:gridCol w:w="109"/>
        <w:gridCol w:w="109"/>
        <w:gridCol w:w="109"/>
        <w:gridCol w:w="239"/>
        <w:gridCol w:w="818"/>
        <w:gridCol w:w="123"/>
        <w:gridCol w:w="109"/>
        <w:gridCol w:w="109"/>
        <w:gridCol w:w="109"/>
        <w:gridCol w:w="435"/>
        <w:gridCol w:w="207"/>
        <w:gridCol w:w="517"/>
        <w:gridCol w:w="109"/>
        <w:gridCol w:w="109"/>
        <w:gridCol w:w="109"/>
        <w:gridCol w:w="221"/>
        <w:gridCol w:w="869"/>
        <w:gridCol w:w="114"/>
        <w:gridCol w:w="109"/>
        <w:gridCol w:w="109"/>
        <w:gridCol w:w="109"/>
        <w:gridCol w:w="239"/>
        <w:gridCol w:w="818"/>
        <w:gridCol w:w="123"/>
        <w:gridCol w:w="109"/>
        <w:gridCol w:w="109"/>
        <w:gridCol w:w="109"/>
        <w:gridCol w:w="437"/>
        <w:gridCol w:w="200"/>
        <w:gridCol w:w="491"/>
      </w:tblGrid>
      <w:tr>
        <w:trPr/>
        <w:tc>
          <w:tcPr>
            <w:tcW w:w="6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654"/>
        <w:gridCol w:w="430"/>
        <w:gridCol w:w="431"/>
        <w:gridCol w:w="221"/>
        <w:gridCol w:w="869"/>
        <w:gridCol w:w="114"/>
        <w:gridCol w:w="109"/>
        <w:gridCol w:w="109"/>
        <w:gridCol w:w="109"/>
        <w:gridCol w:w="239"/>
        <w:gridCol w:w="818"/>
        <w:gridCol w:w="123"/>
        <w:gridCol w:w="109"/>
        <w:gridCol w:w="109"/>
        <w:gridCol w:w="109"/>
        <w:gridCol w:w="435"/>
        <w:gridCol w:w="207"/>
        <w:gridCol w:w="517"/>
        <w:gridCol w:w="109"/>
        <w:gridCol w:w="109"/>
        <w:gridCol w:w="109"/>
        <w:gridCol w:w="221"/>
        <w:gridCol w:w="869"/>
        <w:gridCol w:w="114"/>
        <w:gridCol w:w="109"/>
        <w:gridCol w:w="109"/>
        <w:gridCol w:w="109"/>
        <w:gridCol w:w="239"/>
        <w:gridCol w:w="818"/>
        <w:gridCol w:w="123"/>
        <w:gridCol w:w="109"/>
        <w:gridCol w:w="109"/>
        <w:gridCol w:w="109"/>
        <w:gridCol w:w="437"/>
        <w:gridCol w:w="200"/>
        <w:gridCol w:w="491"/>
      </w:tblGrid>
      <w:tr>
        <w:trPr/>
        <w:tc>
          <w:tcPr>
            <w:tcW w:w="6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Nine Months Ended</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400,983 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on LHFI net of credit enhancement program expenses and the average yield on LHFI net of credit enhancement program expenses are non-GAAP measures that include the impact of credit enhancement program expenses on total interest income on LHFI and the respective average yield on LHFI, the most directly comparable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net interest income and NIM:</w:t>
      </w:r>
    </w:p>
    <w:tbl>
      <w:tblPr>
        <w:tblW w:w="10205" w:type="dxa"/>
        <w:jc w:val="left"/>
        <w:tblInd w:w="0" w:type="dxa"/>
        <w:tblLayout w:type="fixed"/>
        <w:tblCellMar>
          <w:top w:w="28" w:type="dxa"/>
          <w:left w:w="28" w:type="dxa"/>
          <w:bottom w:w="28" w:type="dxa"/>
          <w:right w:w="28" w:type="dxa"/>
        </w:tblCellMar>
      </w:tblPr>
      <w:tblGrid>
        <w:gridCol w:w="602"/>
        <w:gridCol w:w="378"/>
        <w:gridCol w:w="379"/>
        <w:gridCol w:w="293"/>
        <w:gridCol w:w="1147"/>
        <w:gridCol w:w="152"/>
        <w:gridCol w:w="109"/>
        <w:gridCol w:w="109"/>
        <w:gridCol w:w="109"/>
        <w:gridCol w:w="217"/>
        <w:gridCol w:w="741"/>
        <w:gridCol w:w="112"/>
        <w:gridCol w:w="109"/>
        <w:gridCol w:w="109"/>
        <w:gridCol w:w="109"/>
        <w:gridCol w:w="346"/>
        <w:gridCol w:w="176"/>
        <w:gridCol w:w="440"/>
        <w:gridCol w:w="109"/>
        <w:gridCol w:w="109"/>
        <w:gridCol w:w="109"/>
        <w:gridCol w:w="293"/>
        <w:gridCol w:w="1147"/>
        <w:gridCol w:w="152"/>
        <w:gridCol w:w="109"/>
        <w:gridCol w:w="109"/>
        <w:gridCol w:w="109"/>
        <w:gridCol w:w="217"/>
        <w:gridCol w:w="741"/>
        <w:gridCol w:w="112"/>
        <w:gridCol w:w="109"/>
        <w:gridCol w:w="109"/>
        <w:gridCol w:w="109"/>
        <w:gridCol w:w="368"/>
        <w:gridCol w:w="152"/>
        <w:gridCol w:w="405"/>
      </w:tblGrid>
      <w:tr>
        <w:trPr/>
        <w:tc>
          <w:tcPr>
            <w:tcW w:w="6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605,525 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605,525 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90"/>
        <w:gridCol w:w="366"/>
        <w:gridCol w:w="367"/>
        <w:gridCol w:w="290"/>
        <w:gridCol w:w="1135"/>
        <w:gridCol w:w="150"/>
        <w:gridCol w:w="109"/>
        <w:gridCol w:w="109"/>
        <w:gridCol w:w="109"/>
        <w:gridCol w:w="215"/>
        <w:gridCol w:w="737"/>
        <w:gridCol w:w="111"/>
        <w:gridCol w:w="109"/>
        <w:gridCol w:w="109"/>
        <w:gridCol w:w="109"/>
        <w:gridCol w:w="345"/>
        <w:gridCol w:w="174"/>
        <w:gridCol w:w="435"/>
        <w:gridCol w:w="109"/>
        <w:gridCol w:w="109"/>
        <w:gridCol w:w="109"/>
        <w:gridCol w:w="290"/>
        <w:gridCol w:w="1135"/>
        <w:gridCol w:w="150"/>
        <w:gridCol w:w="109"/>
        <w:gridCol w:w="109"/>
        <w:gridCol w:w="109"/>
        <w:gridCol w:w="215"/>
        <w:gridCol w:w="737"/>
        <w:gridCol w:w="111"/>
        <w:gridCol w:w="109"/>
        <w:gridCol w:w="109"/>
        <w:gridCol w:w="109"/>
        <w:gridCol w:w="368"/>
        <w:gridCol w:w="251"/>
        <w:gridCol w:w="398"/>
      </w:tblGrid>
      <w:tr>
        <w:trPr/>
        <w:tc>
          <w:tcPr>
            <w:tcW w:w="5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Nine Months Ended</w:t>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576,814 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576,814 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expenses less credit enhancement program expenses is a non-GAAP measure presented to illustrate the impact of credit enhancement program expenses on non-interest expense:</w:t>
      </w:r>
    </w:p>
    <w:tbl>
      <w:tblPr>
        <w:tblW w:w="10205" w:type="dxa"/>
        <w:jc w:val="left"/>
        <w:tblInd w:w="0" w:type="dxa"/>
        <w:tblLayout w:type="fixed"/>
        <w:tblCellMar>
          <w:top w:w="28" w:type="dxa"/>
          <w:left w:w="28" w:type="dxa"/>
          <w:bottom w:w="28" w:type="dxa"/>
          <w:right w:w="28" w:type="dxa"/>
        </w:tblCellMar>
      </w:tblPr>
      <w:tblGrid>
        <w:gridCol w:w="1313"/>
        <w:gridCol w:w="1074"/>
        <w:gridCol w:w="1076"/>
        <w:gridCol w:w="294"/>
        <w:gridCol w:w="1007"/>
        <w:gridCol w:w="152"/>
        <w:gridCol w:w="109"/>
        <w:gridCol w:w="109"/>
        <w:gridCol w:w="109"/>
        <w:gridCol w:w="294"/>
        <w:gridCol w:w="1007"/>
        <w:gridCol w:w="152"/>
        <w:gridCol w:w="109"/>
        <w:gridCol w:w="109"/>
        <w:gridCol w:w="109"/>
        <w:gridCol w:w="283"/>
        <w:gridCol w:w="971"/>
        <w:gridCol w:w="146"/>
        <w:gridCol w:w="109"/>
        <w:gridCol w:w="109"/>
        <w:gridCol w:w="109"/>
        <w:gridCol w:w="280"/>
        <w:gridCol w:w="961"/>
        <w:gridCol w:w="214"/>
      </w:tblGrid>
      <w:tr>
        <w:trPr/>
        <w:tc>
          <w:tcPr>
            <w:tcW w:w="131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39,269 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 is a non-GAAP measure that illustrates the impact of credit enhancement program expenses on non-interest expense, the most directly comparable GAAP measure.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 is a non-GAAP measure to illustrate the impact of credit enhancement income resulting from credit enhanced loans on non-interest income:</w:t>
      </w:r>
    </w:p>
    <w:tbl>
      <w:tblPr>
        <w:tblW w:w="10205" w:type="dxa"/>
        <w:jc w:val="left"/>
        <w:tblInd w:w="0" w:type="dxa"/>
        <w:tblLayout w:type="fixed"/>
        <w:tblCellMar>
          <w:top w:w="28" w:type="dxa"/>
          <w:left w:w="28" w:type="dxa"/>
          <w:bottom w:w="28" w:type="dxa"/>
          <w:right w:w="28" w:type="dxa"/>
        </w:tblCellMar>
      </w:tblPr>
      <w:tblGrid>
        <w:gridCol w:w="1232"/>
        <w:gridCol w:w="1014"/>
        <w:gridCol w:w="1016"/>
        <w:gridCol w:w="306"/>
        <w:gridCol w:w="1048"/>
        <w:gridCol w:w="158"/>
        <w:gridCol w:w="109"/>
        <w:gridCol w:w="109"/>
        <w:gridCol w:w="109"/>
        <w:gridCol w:w="336"/>
        <w:gridCol w:w="985"/>
        <w:gridCol w:w="175"/>
        <w:gridCol w:w="109"/>
        <w:gridCol w:w="109"/>
        <w:gridCol w:w="109"/>
        <w:gridCol w:w="294"/>
        <w:gridCol w:w="1006"/>
        <w:gridCol w:w="151"/>
        <w:gridCol w:w="109"/>
        <w:gridCol w:w="109"/>
        <w:gridCol w:w="109"/>
        <w:gridCol w:w="290"/>
        <w:gridCol w:w="994"/>
        <w:gridCol w:w="219"/>
      </w:tblGrid>
      <w:tr>
        <w:trPr/>
        <w:tc>
          <w:tcPr>
            <w:tcW w:w="123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income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 is presented to illustrate the effect of the credit enhanced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269"/>
        <w:gridCol w:w="1993"/>
        <w:gridCol w:w="1998"/>
        <w:gridCol w:w="364"/>
        <w:gridCol w:w="1246"/>
        <w:gridCol w:w="188"/>
        <w:gridCol w:w="109"/>
        <w:gridCol w:w="109"/>
        <w:gridCol w:w="109"/>
        <w:gridCol w:w="352"/>
        <w:gridCol w:w="1205"/>
        <w:gridCol w:w="263"/>
      </w:tblGrid>
      <w:tr>
        <w:trPr/>
        <w:tc>
          <w:tcPr>
            <w:tcW w:w="226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related to credit enhanced loans</w:t>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excluding the effect of the allowance for credit losses related to credit enhanced loans</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excluding the effect of the allowance for credit losses related to credit enhanced loans is a non-GAAP measure that reflects the effect of the credit enhanced program on the allowance for credit losses. The total outstanding balance of LHFI with credit enhancement as of September 30, 2025 and December 31, 2024 was approximately $41.4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summarizes the results of our EAR analysis in simulating the change in net interest income and fair value of equity over a 12-month horizon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IMPACT ON NET INTEREST INCOME UNDER A STATIC BALANCE SHEET, PARALLEL INTEREST RATE SHOCK</w:t>
      </w:r>
    </w:p>
    <w:tbl>
      <w:tblPr>
        <w:tblW w:w="10818" w:type="dxa"/>
        <w:jc w:val="left"/>
        <w:tblInd w:w="0" w:type="dxa"/>
        <w:tblLayout w:type="fixed"/>
        <w:tblCellMar>
          <w:top w:w="28" w:type="dxa"/>
          <w:left w:w="28" w:type="dxa"/>
          <w:bottom w:w="28" w:type="dxa"/>
          <w:right w:w="28" w:type="dxa"/>
        </w:tblCellMar>
      </w:tblPr>
      <w:tblGrid>
        <w:gridCol w:w="499"/>
        <w:gridCol w:w="440"/>
        <w:gridCol w:w="337"/>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55"/>
        <w:gridCol w:w="256"/>
        <w:gridCol w:w="292"/>
        <w:gridCol w:w="109"/>
        <w:gridCol w:w="109"/>
        <w:gridCol w:w="109"/>
        <w:gridCol w:w="255"/>
        <w:gridCol w:w="256"/>
        <w:gridCol w:w="339"/>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illustrates the results of our EVE analysis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ECONOMIC VALUE OF EQUITY ANALYSIS UNDER A STATIC BALANCE SHEET, PARALLEL INTEREST RATE SHOCK</w:t>
      </w:r>
    </w:p>
    <w:tbl>
      <w:tblPr>
        <w:tblW w:w="10818" w:type="dxa"/>
        <w:jc w:val="left"/>
        <w:tblInd w:w="0" w:type="dxa"/>
        <w:tblLayout w:type="fixed"/>
        <w:tblCellMar>
          <w:top w:w="28" w:type="dxa"/>
          <w:left w:w="28" w:type="dxa"/>
          <w:bottom w:w="28" w:type="dxa"/>
          <w:right w:w="28" w:type="dxa"/>
        </w:tblCellMar>
      </w:tblPr>
      <w:tblGrid>
        <w:gridCol w:w="672"/>
        <w:gridCol w:w="301"/>
        <w:gridCol w:w="303"/>
        <w:gridCol w:w="109"/>
        <w:gridCol w:w="109"/>
        <w:gridCol w:w="109"/>
        <w:gridCol w:w="263"/>
        <w:gridCol w:w="263"/>
        <w:gridCol w:w="271"/>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55"/>
        <w:gridCol w:w="256"/>
        <w:gridCol w:w="339"/>
      </w:tblGrid>
      <w:tr>
        <w:trPr/>
        <w:tc>
          <w:tcPr>
            <w:tcW w:w="6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Sensitivity and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(as such term is defined in Rules 13a-15(f) and 15d-15(f) under the Exchange Act) during the fiscal quarter ended September 30, 2025 that have materially affected, or are reasonably likely to materially affect, our internal control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Between July and August 2025, several lawsuits were filed against the Company in the United States District Court for the District of Utah. The complaints generally assert claims of negligence, breach of implied contract and unjust enrichment, on behalf of various classes of putative individuals who claimed to have been harmed in connection with an alleged data breach involving the Company. The plaintiffs are seeking equitable and injunctive relief as well as an unspecified amount of monetary damages in connection with their claims, which include an award of attorneys’ fees and costs. On October 3, 2025, the Court entered an Order consolidating the pending cases and all subsequently filed putative class actions involving the same or substantially the same obligations into the pending matter into Minter et. al v. FinWise Bank et. al, Case No. 2:25-cv-00569-JNP-CMR. The Company has disputed the claims and is vigorously defending the lawsuit.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outcome of the pending litigation described above is uncertain. We intend to defend vigorously against the foregoing pending lawsuit and any other lawsuits as they may arise in the ordinary course of business. However, litigation is inherently uncertain, and we are unable to predict the outcome of these lawsuits and are unable to estimate the range of loss, if any, that could result from an unfavorable outcome. We also cannot provide any assurance that the ultimate resolution of any lawsuits will not have a material adverse effect on our reputation, business, prospects, results of operations or financial condition. For additional information concerning contingencies and uncertainties, see Note 6, Commitments and Contingencies, of the Notes to the Consolidated Financial Statements included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rPr>
        <w:t>There are a number of factors that may adversely affect our business, financial results or stock price. Refer to Part I, Item 1A. “Risk Factors” of the 2024 Form 10-K for a discussion of these risks. There have been no material changes to the risk factors disclosed in our 2024 Form 10-K, as filed with the SEC on March 25, 202</w:t>
      </w:r>
      <w:r>
        <w:rPr>
          <w:rFonts w:ascii="Times New Roman;serif" w:hAnsi="Times New Roman;serif"/>
          <w:b w:val="false"/>
          <w:color w:val="000000"/>
          <w:sz w:val="20"/>
          <w:shd w:fill="FFFFFF" w:val="clear"/>
        </w:rPr>
        <w:t>4, except as noted below.</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credit enhancement arrangements with certain of our Strategic Program service providers exposes us to counterparty risk which may result in increased credit or fraud risk or losses to us.</w:t>
      </w:r>
    </w:p>
    <w:p>
      <w:pPr>
        <w:pStyle w:val="TextBody"/>
        <w:bidi w:val="0"/>
        <w:spacing w:lineRule="auto" w:line="288" w:before="200" w:after="283"/>
        <w:jc w:val="left"/>
        <w:rPr/>
      </w:pPr>
      <w:r>
        <w:rPr>
          <w:rFonts w:ascii="Times New Roman;serif" w:hAnsi="Times New Roman;serif"/>
          <w:b w:val="false"/>
          <w:color w:val="000000"/>
          <w:sz w:val="20"/>
          <w:shd w:fill="FFFFFF" w:val="clear"/>
        </w:rPr>
        <w:t>We have entered into agreements with certain of our Strategic Program service providers pursuant to which the service providers provide credit enhancement on loans which protects the Bank by indemnifying or reimbursing the Bank for incurred credit and fraud losses. Reimbursement or indemnification for incurred losses is provided for through a deposit reserve account that is replenished periodically by the respective service provider. In the event that cash flow from the loans covered by the agreement is insufficient to fund the deposit reserve account in an amount required to support the service provider’s indemnification or reimbursement obligations due to deterioration of the performance of such loans or otherwise, and the service provider is unable or unwilling to fund any shortfalls or otherwise breaches its obligations under the agreement, we will generally retain all income related to such loans (which may be reduced) and assume responsibility for primarily servicing the loans. Consequently, we would retain all the contractual interest but would be exposed to increased credit or fraud risk or losses on such loans as a result of this counterparty risk</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implemented segment reporting into our financial results for the three months ended September 30, 2025 and this change to our financial reporting could be confusing to investors and may not have the desired effects.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Beginning with the quarter ended September 30, 2025, we implemented segment reporting following the completion of a technology initiative to capture segment-specific financial data and develop reports used by our CODM to review our financial performance and determine how to allocate resources. Our operations are now comprised of three reportable segments: traditional banking, banking as a service and treasury and administration.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provided disclosures about our new segment reporting structure elsewhere in this Report, but there is no guarantee that investors or the market will understand this change to our financial reporting. There is also no guarantee that this change to our financial reporting will have the desired effect. In addition, for periods prior to July 1, 2025, our operations were managed and reported as a single segment, and historical financial data by segment was not maintained. Accordingly, it is not practicable to present segment information for prior periods. Failure of investors or analysts to understand our revised segment reporting structure may negatively affect their ability to understand our financial performance and operating results which could adversely affect our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of our directors or officers have adopted, modified, or terminated a Rule 10b5-1(c) trading arrangement or a non-Rule 10b5-1 trading arrangement during the fiscal quarter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29"/>
        <w:gridCol w:w="288"/>
        <w:gridCol w:w="289"/>
        <w:gridCol w:w="109"/>
        <w:gridCol w:w="109"/>
        <w:gridCol w:w="109"/>
        <w:gridCol w:w="2637"/>
        <w:gridCol w:w="2613"/>
        <w:gridCol w:w="3722"/>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finw-20250930xex311.htm">
              <w:r>
                <w:rPr>
                  <w:rStyle w:val="InternetLink"/>
                  <w:rFonts w:ascii="Times New Roman;serif" w:hAnsi="Times New Roman;serif"/>
                  <w:b w:val="false"/>
                  <w:color w:val="0000FF"/>
                  <w:sz w:val="20"/>
                  <w:u w:val="single"/>
                </w:rPr>
                <w:t>Rule 13a-14(a) Certification of the Principal Executive Officer.</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50930xex312.htm">
              <w:r>
                <w:rPr>
                  <w:rStyle w:val="InternetLink"/>
                  <w:rFonts w:ascii="Times New Roman;serif" w:hAnsi="Times New Roman;serif"/>
                  <w:b w:val="false"/>
                  <w:color w:val="0000FF"/>
                  <w:sz w:val="20"/>
                  <w:u w:val="single"/>
                </w:rPr>
                <w:t>Rule 13a-14(a) Certification of the Principal Financial Officer.</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0930x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in Exhibit 101).</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The certifications attached hereto are not considered “filed” for purposes of Section 18 of the Securities Exchange Act of 1934 (“Exchange Act”), as amended, or otherwise subject to the limitations of that section, nor shall they be deemed incorporated by reference into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200" w:after="200"/>
        <w:jc w:val="left"/>
        <w:rPr/>
      </w:pPr>
      <w:hyperlink w:anchor="icbfbeea609ee401f929ad99d9f409fc6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539" w:type="dxa"/>
        <w:jc w:val="left"/>
        <w:tblInd w:w="0" w:type="dxa"/>
        <w:tblLayout w:type="fixed"/>
        <w:tblCellMar>
          <w:top w:w="28" w:type="dxa"/>
          <w:left w:w="28" w:type="dxa"/>
          <w:bottom w:w="28" w:type="dxa"/>
          <w:right w:w="28" w:type="dxa"/>
        </w:tblCellMar>
      </w:tblPr>
      <w:tblGrid>
        <w:gridCol w:w="797"/>
        <w:gridCol w:w="702"/>
        <w:gridCol w:w="706"/>
        <w:gridCol w:w="243"/>
        <w:gridCol w:w="243"/>
        <w:gridCol w:w="243"/>
        <w:gridCol w:w="1343"/>
        <w:gridCol w:w="1343"/>
        <w:gridCol w:w="191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Robert Wahlman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Robert Wahlman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Kent Landvatter,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1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Robert Wahlman,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57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FinWise Bancorp (the “Company”) for the period ending September 30, 2025,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part of the Report or as a separate disclosure document.</w:t>
      </w:r>
    </w:p>
    <w:tbl>
      <w:tblPr>
        <w:tblW w:w="757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33665</Words>
  <Characters>186447</Characters>
  <CharactersWithSpaces>217453</CharactersWithSpaces>
  <Paragraphs>7285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