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626110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Pursuant to Section 13 OR 15(d) of The Securities Exchange Act of 1934</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Date of Report (Date of earliest event reported): August 4, 2023</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FINWISE BANCORP</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0"/>
          </w:cols>
          <w:pgMar w:left="300" w:top="1133" w:right="299" w:bottom="1440" w:gutter="0" w:footer="0" w:header="0"/>
        </w:sectPr>
      </w:pPr>
    </w:p>
    <w:p>
      <w:pPr>
        <w:spacing w:after="0" w:line="145" w:lineRule="exact"/>
        <w:rPr>
          <w:sz w:val="24"/>
          <w:szCs w:val="24"/>
          <w:color w:val="auto"/>
        </w:rPr>
      </w:pPr>
    </w:p>
    <w:p>
      <w:pPr>
        <w:ind w:left="1740"/>
        <w:spacing w:after="0"/>
        <w:rPr>
          <w:sz w:val="20"/>
          <w:szCs w:val="20"/>
          <w:color w:val="auto"/>
        </w:rPr>
      </w:pPr>
      <w:r>
        <w:rPr>
          <w:rFonts w:ascii="Arial" w:cs="Arial" w:eastAsia="Arial" w:hAnsi="Arial"/>
          <w:sz w:val="11"/>
          <w:szCs w:val="11"/>
          <w:b w:val="1"/>
          <w:bCs w:val="1"/>
          <w:color w:val="auto"/>
        </w:rPr>
        <w:t>Utah</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500"/>
        <w:spacing w:after="0"/>
        <w:rPr>
          <w:sz w:val="20"/>
          <w:szCs w:val="20"/>
          <w:color w:val="auto"/>
        </w:rPr>
      </w:pPr>
      <w:r>
        <w:rPr>
          <w:rFonts w:ascii="Arial" w:cs="Arial" w:eastAsia="Arial" w:hAnsi="Arial"/>
          <w:sz w:val="10"/>
          <w:szCs w:val="10"/>
          <w:b w:val="1"/>
          <w:bCs w:val="1"/>
          <w:color w:val="auto"/>
        </w:rPr>
        <w:t>001-40721</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83-0356689</w:t>
      </w:r>
    </w:p>
    <w:p>
      <w:pPr>
        <w:spacing w:after="0" w:line="69" w:lineRule="exact"/>
        <w:rPr>
          <w:sz w:val="24"/>
          <w:szCs w:val="24"/>
          <w:color w:val="auto"/>
        </w:rPr>
      </w:pPr>
    </w:p>
    <w:p>
      <w:pPr>
        <w:sectPr>
          <w:pgSz w:w="11900" w:h="16838" w:orient="portrait"/>
          <w:cols w:equalWidth="0" w:num="3">
            <w:col w:w="4660" w:space="720"/>
            <w:col w:w="3020" w:space="720"/>
            <w:col w:w="2180"/>
          </w:cols>
          <w:pgMar w:left="300" w:top="1133" w:right="299" w:bottom="1440" w:gutter="0" w:footer="0" w:header="0"/>
          <w:type w:val="continuous"/>
        </w:sectPr>
      </w:pPr>
    </w:p>
    <w:p>
      <w:pPr>
        <w:ind w:left="44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280" w:space="720"/>
            <w:col w:w="2840" w:space="720"/>
            <w:col w:w="2740"/>
          </w:cols>
          <w:pgMar w:left="300" w:top="1133" w:right="299" w:bottom="1440" w:gutter="0" w:footer="0" w:header="0"/>
          <w:type w:val="continuous"/>
        </w:sectPr>
      </w:pPr>
    </w:p>
    <w:p>
      <w:pPr>
        <w:spacing w:after="0" w:line="48" w:lineRule="exact"/>
        <w:rPr>
          <w:sz w:val="24"/>
          <w:szCs w:val="24"/>
          <w:color w:val="auto"/>
        </w:rPr>
      </w:pPr>
    </w:p>
    <w:p>
      <w:pPr>
        <w:ind w:left="1860"/>
        <w:spacing w:after="0"/>
        <w:rPr>
          <w:sz w:val="20"/>
          <w:szCs w:val="20"/>
          <w:color w:val="auto"/>
        </w:rPr>
      </w:pPr>
      <w:r>
        <w:rPr>
          <w:rFonts w:ascii="Arial" w:cs="Arial" w:eastAsia="Arial" w:hAnsi="Arial"/>
          <w:sz w:val="10"/>
          <w:szCs w:val="10"/>
          <w:b w:val="1"/>
          <w:bCs w:val="1"/>
          <w:color w:val="auto"/>
        </w:rPr>
        <w:t>756 East Winchester St., Suite 100</w:t>
      </w:r>
    </w:p>
    <w:p>
      <w:pPr>
        <w:sectPr>
          <w:pgSz w:w="11900" w:h="16838" w:orient="portrait"/>
          <w:cols w:equalWidth="0" w:num="1">
            <w:col w:w="11300"/>
          </w:cols>
          <w:pgMar w:left="300" w:top="1133" w:right="299" w:bottom="1440" w:gutter="0" w:footer="0" w:header="0"/>
          <w:type w:val="continuous"/>
        </w:sectPr>
      </w:pPr>
    </w:p>
    <w:p>
      <w:pPr>
        <w:spacing w:after="0" w:line="65" w:lineRule="exact"/>
        <w:rPr>
          <w:sz w:val="24"/>
          <w:szCs w:val="24"/>
          <w:color w:val="auto"/>
        </w:rPr>
      </w:pPr>
    </w:p>
    <w:p>
      <w:pPr>
        <w:ind w:left="2300"/>
        <w:spacing w:after="0"/>
        <w:rPr>
          <w:sz w:val="20"/>
          <w:szCs w:val="20"/>
          <w:color w:val="auto"/>
        </w:rPr>
      </w:pPr>
      <w:r>
        <w:rPr>
          <w:rFonts w:ascii="Arial" w:cs="Arial" w:eastAsia="Arial" w:hAnsi="Arial"/>
          <w:sz w:val="11"/>
          <w:szCs w:val="11"/>
          <w:b w:val="1"/>
          <w:bCs w:val="1"/>
          <w:color w:val="auto"/>
        </w:rPr>
        <w:t>Murray, Utah</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84107</w:t>
      </w:r>
    </w:p>
    <w:p>
      <w:pPr>
        <w:spacing w:after="0" w:line="69" w:lineRule="exact"/>
        <w:rPr>
          <w:sz w:val="24"/>
          <w:szCs w:val="24"/>
          <w:color w:val="auto"/>
        </w:rPr>
      </w:pPr>
    </w:p>
    <w:p>
      <w:pPr>
        <w:sectPr>
          <w:pgSz w:w="11900" w:h="16838" w:orient="portrait"/>
          <w:cols w:equalWidth="0" w:num="2">
            <w:col w:w="8180" w:space="720"/>
            <w:col w:w="2400"/>
          </w:cols>
          <w:pgMar w:left="300" w:top="1133" w:right="299" w:bottom="1440" w:gutter="0" w:footer="0" w:header="0"/>
          <w:type w:val="continuous"/>
        </w:sectPr>
      </w:pPr>
    </w:p>
    <w:p>
      <w:pPr>
        <w:ind w:left="178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8080" w:space="720"/>
            <w:col w:w="2500"/>
          </w:cols>
          <w:pgMar w:left="300" w:top="1133" w:right="299" w:bottom="1440" w:gutter="0" w:footer="0" w:header="0"/>
          <w:type w:val="continuous"/>
        </w:sectPr>
      </w:pPr>
    </w:p>
    <w:p>
      <w:pPr>
        <w:spacing w:after="0" w:line="12" w:lineRule="exact"/>
        <w:rPr>
          <w:sz w:val="24"/>
          <w:szCs w:val="24"/>
          <w:color w:val="auto"/>
        </w:rPr>
      </w:pPr>
    </w:p>
    <w:p>
      <w:pPr>
        <w:ind w:left="400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(801) 501-7200</w:t>
      </w:r>
    </w:p>
    <w:p>
      <w:pPr>
        <w:spacing w:after="0" w:line="123" w:lineRule="exact"/>
        <w:rPr>
          <w:sz w:val="24"/>
          <w:szCs w:val="24"/>
          <w:color w:val="auto"/>
        </w:rPr>
      </w:pPr>
    </w:p>
    <w:p>
      <w:pPr>
        <w:ind w:left="5260"/>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2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2" w:lineRule="exact"/>
        <w:rPr>
          <w:sz w:val="24"/>
          <w:szCs w:val="24"/>
          <w:color w:val="auto"/>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1"/>
          <w:szCs w:val="11"/>
          <w:color w:val="auto"/>
          <w:highlight w:val="black"/>
        </w:rPr>
      </w:pPr>
    </w:p>
    <w:p>
      <w:pPr>
        <w:ind w:left="580" w:hanging="576"/>
        <w:spacing w:after="0"/>
        <w:tabs>
          <w:tab w:leader="none" w:pos="5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2"/>
          <w:szCs w:val="12"/>
          <w:color w:val="auto"/>
        </w:rPr>
        <w:t>Pre-commencement communications pursuant to Rule 13e-4(c) under the Exchange Act (17 CFR 240.13e-4(c))</w:t>
      </w:r>
    </w:p>
    <w:p>
      <w:pPr>
        <w:spacing w:after="0" w:line="204"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ind w:left="86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980" w:type="dxa"/>
            <w:vAlign w:val="bottom"/>
            <w:gridSpan w:val="2"/>
          </w:tcPr>
          <w:p>
            <w:pPr>
              <w:spacing w:after="0"/>
              <w:rPr>
                <w:sz w:val="20"/>
                <w:szCs w:val="20"/>
                <w:color w:val="auto"/>
              </w:rPr>
            </w:pPr>
            <w:r>
              <w:rPr>
                <w:rFonts w:ascii="Arial" w:cs="Arial" w:eastAsia="Arial" w:hAnsi="Arial"/>
                <w:sz w:val="12"/>
                <w:szCs w:val="12"/>
                <w:color w:val="auto"/>
                <w:w w:val="98"/>
              </w:rPr>
              <w:t>the Exchange Act.</w:t>
            </w:r>
          </w:p>
        </w:tc>
        <w:tc>
          <w:tcPr>
            <w:tcW w:w="36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highlight w:val="black"/>
              </w:rPr>
              <w: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r>
      <w:tr>
        <w:trPr>
          <w:trHeight w:val="133"/>
        </w:trPr>
        <w:tc>
          <w:tcPr>
            <w:tcW w:w="120" w:type="dxa"/>
            <w:vAlign w:val="bottom"/>
            <w:tcBorders>
              <w:left w:val="single" w:sz="8" w:color="auto"/>
            </w:tcBorders>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color w:val="auto"/>
                <w:w w:val="87"/>
              </w:rPr>
              <w:t>Title of each class</w:t>
            </w:r>
          </w:p>
        </w:tc>
        <w:tc>
          <w:tcPr>
            <w:tcW w:w="3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2"/>
                <w:szCs w:val="12"/>
                <w:color w:val="auto"/>
              </w:rPr>
              <w:t>Trading Symbol(s)</w:t>
            </w:r>
          </w:p>
        </w:tc>
        <w:tc>
          <w:tcPr>
            <w:tcW w:w="100" w:type="dxa"/>
            <w:vAlign w:val="bottom"/>
          </w:tcPr>
          <w:p>
            <w:pPr>
              <w:spacing w:after="0"/>
              <w:rPr>
                <w:sz w:val="11"/>
                <w:szCs w:val="11"/>
                <w:color w:val="auto"/>
              </w:rPr>
            </w:pPr>
          </w:p>
        </w:tc>
        <w:tc>
          <w:tcPr>
            <w:tcW w:w="3880" w:type="dxa"/>
            <w:vAlign w:val="bottom"/>
            <w:tcBorders>
              <w:right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of exchange on which registered</w:t>
            </w:r>
          </w:p>
        </w:tc>
      </w:tr>
      <w:tr>
        <w:trPr>
          <w:trHeight w:val="25"/>
        </w:trPr>
        <w:tc>
          <w:tcPr>
            <w:tcW w:w="120" w:type="dxa"/>
            <w:vAlign w:val="bottom"/>
            <w:tcBorders>
              <w:left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160"/>
        </w:trPr>
        <w:tc>
          <w:tcPr>
            <w:tcW w:w="120" w:type="dxa"/>
            <w:vAlign w:val="bottom"/>
            <w:tcBorders>
              <w:left w:val="single" w:sz="8" w:color="auto"/>
              <w:bottom w:val="single" w:sz="8" w:color="auto"/>
            </w:tcBorders>
          </w:tcPr>
          <w:p>
            <w:pPr>
              <w:spacing w:after="0"/>
              <w:rPr>
                <w:sz w:val="13"/>
                <w:szCs w:val="13"/>
                <w:color w:val="auto"/>
              </w:rPr>
            </w:pPr>
          </w:p>
        </w:tc>
        <w:tc>
          <w:tcPr>
            <w:tcW w:w="4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Common Stock, par value $0.001 per share</w:t>
            </w: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FINW</w:t>
            </w:r>
          </w:p>
        </w:tc>
        <w:tc>
          <w:tcPr>
            <w:tcW w:w="100" w:type="dxa"/>
            <w:vAlign w:val="bottom"/>
            <w:tcBorders>
              <w:bottom w:val="single" w:sz="8" w:color="auto"/>
            </w:tcBorders>
          </w:tcPr>
          <w:p>
            <w:pPr>
              <w:spacing w:after="0"/>
              <w:rPr>
                <w:sz w:val="13"/>
                <w:szCs w:val="13"/>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The NASDAQ Stock Market LLC</w:t>
            </w:r>
          </w:p>
        </w:tc>
      </w:tr>
      <w:tr>
        <w:trPr>
          <w:trHeight w:val="214"/>
        </w:trPr>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651"/>
        </w:trPr>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type w:val="continuous"/>
        </w:sectPr>
      </w:pPr>
    </w:p>
    <w:bookmarkStart w:id="1" w:name="page2"/>
    <w:bookmarkEnd w:id="1"/>
    <w:p>
      <w:pPr>
        <w:ind w:left="8"/>
        <w:spacing w:after="0"/>
        <w:tabs>
          <w:tab w:leader="none" w:pos="628"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27" w:lineRule="exact"/>
        <w:rPr>
          <w:sz w:val="20"/>
          <w:szCs w:val="20"/>
          <w:color w:val="auto"/>
        </w:rPr>
      </w:pPr>
    </w:p>
    <w:p>
      <w:pPr>
        <w:jc w:val="both"/>
        <w:ind w:left="648"/>
        <w:spacing w:after="0" w:line="298" w:lineRule="auto"/>
        <w:rPr>
          <w:sz w:val="20"/>
          <w:szCs w:val="20"/>
          <w:color w:val="auto"/>
        </w:rPr>
      </w:pPr>
      <w:r>
        <w:rPr>
          <w:rFonts w:ascii="Arial" w:cs="Arial" w:eastAsia="Arial" w:hAnsi="Arial"/>
          <w:sz w:val="11"/>
          <w:szCs w:val="11"/>
          <w:color w:val="auto"/>
        </w:rPr>
        <w:t>FinWise Bancorp has prepared materials for investors and other business information. A copy of the materials is furnished as Exhibit 99.1 to this Current Report on Form 8-K and is incorporated herein by reference. The information set forth under “Item 7.01 Regulation FD Disclosure,” including Exhibit 99.1 attached hereto, shall not be deemed “filed” for purposes of Section 18 of the Securities Act of 1934, as amended, nor shall such information be deemed incorporated by reference in any filing under the Securities Act of 1933, as amended, except as shall be expressly set forth by specific reference in such filing.</w:t>
      </w:r>
    </w:p>
    <w:p>
      <w:pPr>
        <w:spacing w:after="0" w:line="362"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27" w:lineRule="exact"/>
        <w:rPr>
          <w:sz w:val="20"/>
          <w:szCs w:val="20"/>
          <w:color w:val="auto"/>
        </w:rPr>
      </w:pPr>
    </w:p>
    <w:p>
      <w:pPr>
        <w:ind w:left="328" w:hanging="328"/>
        <w:spacing w:after="0"/>
        <w:tabs>
          <w:tab w:leader="none" w:pos="32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Exhibit No.</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Description</w:t>
            </w:r>
          </w:p>
        </w:tc>
      </w:tr>
      <w:tr>
        <w:trPr>
          <w:trHeight w:val="241"/>
        </w:trPr>
        <w:tc>
          <w:tcPr>
            <w:tcW w:w="220" w:type="dxa"/>
            <w:vAlign w:val="bottom"/>
          </w:tcPr>
          <w:p>
            <w:pPr>
              <w:spacing w:after="0"/>
              <w:rPr>
                <w:sz w:val="20"/>
                <w:szCs w:val="20"/>
                <w:color w:val="auto"/>
              </w:rPr>
            </w:pPr>
            <w:r>
              <w:rPr>
                <w:rFonts w:ascii="Arial" w:cs="Arial" w:eastAsia="Arial" w:hAnsi="Arial"/>
                <w:sz w:val="12"/>
                <w:szCs w:val="12"/>
                <w:color w:val="0E32E1"/>
                <w:w w:val="85"/>
              </w:rPr>
              <w:t>99.</w:t>
            </w:r>
            <w:r>
              <w:rPr>
                <w:rFonts w:ascii="Arial" w:cs="Arial" w:eastAsia="Arial" w:hAnsi="Arial"/>
                <w:sz w:val="12"/>
                <w:szCs w:val="12"/>
                <w:u w:val="single" w:color="auto"/>
                <w:color w:val="0E32E1"/>
                <w:w w:val="85"/>
              </w:rPr>
              <w:t>1</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2"/>
                <w:szCs w:val="12"/>
                <w:color w:val="0000FF"/>
              </w:rPr>
              <w:t>Investor Presentation of FinWise Bancorp (furnished pursuant to Regulation FD).</w:t>
            </w:r>
          </w:p>
        </w:tc>
      </w:tr>
      <w:tr>
        <w:trPr>
          <w:trHeight w:val="691"/>
        </w:trPr>
        <w:tc>
          <w:tcPr>
            <w:tcW w:w="220" w:type="dxa"/>
            <w:vAlign w:val="bottom"/>
            <w:tcBorders>
              <w:top w:val="single" w:sz="8" w:color="0E32E1"/>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20" w:type="dxa"/>
            <w:vAlign w:val="bottom"/>
            <w:tcBorders>
              <w:top w:val="single" w:sz="8" w:color="0000FF"/>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10"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FinWise Bancorp has duly caused this report to be signed on its behalf by the undersigned hereunto duly authorized.</w:t>
      </w:r>
    </w:p>
    <w:p>
      <w:pPr>
        <w:spacing w:after="0" w:line="178" w:lineRule="exact"/>
        <w:rPr>
          <w:sz w:val="20"/>
          <w:szCs w:val="20"/>
          <w:color w:val="auto"/>
        </w:rPr>
      </w:pPr>
    </w:p>
    <w:p>
      <w:pPr>
        <w:spacing w:after="0"/>
        <w:tabs>
          <w:tab w:leader="none" w:pos="5640" w:val="left"/>
        </w:tabs>
        <w:rPr>
          <w:sz w:val="20"/>
          <w:szCs w:val="20"/>
          <w:color w:val="auto"/>
        </w:rPr>
      </w:pPr>
      <w:r>
        <w:rPr>
          <w:rFonts w:ascii="Arial" w:cs="Arial" w:eastAsia="Arial" w:hAnsi="Arial"/>
          <w:sz w:val="12"/>
          <w:szCs w:val="12"/>
          <w:color w:val="auto"/>
        </w:rPr>
        <w:t>DATE: August 4, 2023</w:t>
      </w:r>
      <w:r>
        <w:rPr>
          <w:sz w:val="20"/>
          <w:szCs w:val="20"/>
          <w:color w:val="auto"/>
        </w:rPr>
        <w:tab/>
      </w:r>
      <w:r>
        <w:rPr>
          <w:rFonts w:ascii="Arial" w:cs="Arial" w:eastAsia="Arial" w:hAnsi="Arial"/>
          <w:sz w:val="11"/>
          <w:szCs w:val="11"/>
          <w:b w:val="1"/>
          <w:bCs w:val="1"/>
          <w:color w:val="auto"/>
        </w:rPr>
        <w:t>FINWISE BANCORP</w:t>
      </w: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20955</wp:posOffset>
            </wp:positionV>
            <wp:extent cx="35890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3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 Javvis Jacobson</w:t>
      </w:r>
    </w:p>
    <w:p>
      <w:pPr>
        <w:spacing w:after="0" w:line="42"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Title: Chief Financial Officer and Executive Vice President</w:t>
      </w:r>
    </w:p>
    <w:p>
      <w:pPr>
        <w:sectPr>
          <w:pgSz w:w="11900" w:h="16838" w:orient="portrait"/>
          <w:cols w:equalWidth="0" w:num="1">
            <w:col w:w="10159"/>
          </w:cols>
          <w:pgMar w:left="300" w:top="91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21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549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2023-08-04T15:37:31Z</dcterms:created>
  <dcterms:modified xsi:type="dcterms:W3CDTF">2023-08-04T15:37:31Z</dcterms:modified>
</cp:coreProperties>
</file>